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7BF9" w14:textId="3825B90A" w:rsidR="006403B1" w:rsidRPr="00566CD3" w:rsidRDefault="006B60D5" w:rsidP="0050349C">
      <w:pPr>
        <w:pStyle w:val="Body"/>
        <w:spacing w:after="200" w:line="240" w:lineRule="auto"/>
        <w:jc w:val="center"/>
        <w:rPr>
          <w:b/>
          <w:sz w:val="20"/>
        </w:rPr>
      </w:pPr>
      <w:r w:rsidRPr="00566CD3">
        <w:rPr>
          <w:b/>
          <w:sz w:val="20"/>
        </w:rPr>
        <w:t xml:space="preserve">PROSPECTO </w:t>
      </w:r>
      <w:r w:rsidR="000F6532" w:rsidRPr="00566CD3">
        <w:rPr>
          <w:b/>
          <w:sz w:val="20"/>
        </w:rPr>
        <w:t>DEFINITIVO</w:t>
      </w:r>
      <w:r w:rsidR="006403B1" w:rsidRPr="00566CD3">
        <w:rPr>
          <w:b/>
          <w:sz w:val="20"/>
        </w:rPr>
        <w:t xml:space="preserve"> DA </w:t>
      </w:r>
      <w:r w:rsidR="004C4DF9" w:rsidRPr="00566CD3">
        <w:rPr>
          <w:b/>
          <w:sz w:val="20"/>
        </w:rPr>
        <w:t>OFERTA PÚBLICA DE DISTRIBUIÇÃO DE DEBÊNTURES</w:t>
      </w:r>
      <w:r w:rsidR="0093025D" w:rsidRPr="00566CD3">
        <w:rPr>
          <w:b/>
          <w:sz w:val="20"/>
        </w:rPr>
        <w:t xml:space="preserve"> SIMPLES</w:t>
      </w:r>
      <w:r w:rsidR="004C4DF9" w:rsidRPr="00566CD3">
        <w:rPr>
          <w:b/>
          <w:sz w:val="20"/>
        </w:rPr>
        <w:t xml:space="preserve">, NÃO CONVERSÍVEIS EM AÇÕES, DA ESPÉCIE QUIROGRAFÁRIA, </w:t>
      </w:r>
      <w:r w:rsidR="00EC5D6F" w:rsidRPr="00566CD3">
        <w:rPr>
          <w:b/>
          <w:sz w:val="20"/>
        </w:rPr>
        <w:t>EM DUAS SÉRIES</w:t>
      </w:r>
      <w:r w:rsidR="004C4DF9" w:rsidRPr="00566CD3">
        <w:rPr>
          <w:b/>
          <w:sz w:val="20"/>
        </w:rPr>
        <w:t xml:space="preserve">, DA </w:t>
      </w:r>
      <w:r w:rsidR="00EC5D6F" w:rsidRPr="00566CD3">
        <w:rPr>
          <w:b/>
          <w:sz w:val="20"/>
        </w:rPr>
        <w:t>4</w:t>
      </w:r>
      <w:r w:rsidR="004C4DF9" w:rsidRPr="00566CD3">
        <w:rPr>
          <w:b/>
          <w:sz w:val="20"/>
        </w:rPr>
        <w:t>ª (</w:t>
      </w:r>
      <w:r w:rsidR="00EC5D6F" w:rsidRPr="00566CD3">
        <w:rPr>
          <w:b/>
          <w:sz w:val="20"/>
        </w:rPr>
        <w:t>QUARTA</w:t>
      </w:r>
      <w:r w:rsidR="004C4DF9" w:rsidRPr="00566CD3">
        <w:rPr>
          <w:b/>
          <w:sz w:val="20"/>
        </w:rPr>
        <w:t>) EMISSÃO DA</w:t>
      </w:r>
      <w:r w:rsidR="004C4DF9" w:rsidRPr="00566CD3" w:rsidDel="004C4DF9">
        <w:rPr>
          <w:b/>
          <w:sz w:val="20"/>
        </w:rPr>
        <w:t xml:space="preserve"> </w:t>
      </w:r>
    </w:p>
    <w:p w14:paraId="2556C4FE" w14:textId="77777777" w:rsidR="006403B1" w:rsidRPr="0020727A" w:rsidRDefault="00364245" w:rsidP="006403B1">
      <w:pPr>
        <w:jc w:val="center"/>
        <w:rPr>
          <w:rFonts w:cs="Arial"/>
          <w:kern w:val="20"/>
          <w:sz w:val="16"/>
        </w:rPr>
      </w:pPr>
      <w:bookmarkStart w:id="0" w:name="_Hlk86330785"/>
      <w:bookmarkEnd w:id="0"/>
      <w:r w:rsidRPr="005C106B">
        <w:rPr>
          <w:noProof/>
        </w:rPr>
        <w:drawing>
          <wp:inline distT="0" distB="0" distL="0" distR="0" wp14:anchorId="59BD35E3" wp14:editId="4AC93B40">
            <wp:extent cx="2377440" cy="429260"/>
            <wp:effectExtent l="0" t="0" r="0" b="0"/>
            <wp:docPr id="11" name="Imagem 10" descr="Description: São Martinho - SMTO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escription: São Martinho - SMTO3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429260"/>
                    </a:xfrm>
                    <a:prstGeom prst="rect">
                      <a:avLst/>
                    </a:prstGeom>
                    <a:noFill/>
                    <a:ln>
                      <a:noFill/>
                    </a:ln>
                  </pic:spPr>
                </pic:pic>
              </a:graphicData>
            </a:graphic>
          </wp:inline>
        </w:drawing>
      </w:r>
    </w:p>
    <w:p w14:paraId="0CD00D55" w14:textId="77777777" w:rsidR="006403B1" w:rsidRPr="00566CD3" w:rsidRDefault="00EC5D6F" w:rsidP="0096695C">
      <w:pPr>
        <w:spacing w:after="120"/>
        <w:jc w:val="center"/>
        <w:rPr>
          <w:kern w:val="20"/>
          <w:sz w:val="8"/>
        </w:rPr>
      </w:pPr>
      <w:r w:rsidRPr="00566CD3">
        <w:rPr>
          <w:b/>
          <w:sz w:val="28"/>
        </w:rPr>
        <w:t>SÃO MARTINHO</w:t>
      </w:r>
      <w:r w:rsidR="004C4DF9" w:rsidRPr="00566CD3">
        <w:rPr>
          <w:b/>
          <w:sz w:val="28"/>
        </w:rPr>
        <w:t xml:space="preserve"> S.A</w:t>
      </w:r>
      <w:r w:rsidR="004C4DF9" w:rsidRPr="00566CD3">
        <w:rPr>
          <w:b/>
          <w:sz w:val="14"/>
        </w:rPr>
        <w:t>.</w:t>
      </w:r>
      <w:r w:rsidR="004C4DF9" w:rsidRPr="00566CD3">
        <w:rPr>
          <w:b/>
        </w:rPr>
        <w:br/>
      </w:r>
      <w:r w:rsidR="004C4DF9" w:rsidRPr="00566CD3">
        <w:rPr>
          <w:sz w:val="12"/>
        </w:rPr>
        <w:t xml:space="preserve">Companhia Aberta – CVM nº </w:t>
      </w:r>
      <w:r w:rsidRPr="00566CD3">
        <w:rPr>
          <w:sz w:val="12"/>
        </w:rPr>
        <w:t>20516</w:t>
      </w:r>
      <w:r w:rsidR="004C4DF9" w:rsidRPr="00566CD3">
        <w:rPr>
          <w:sz w:val="12"/>
        </w:rPr>
        <w:br/>
        <w:t xml:space="preserve">CNPJ nº </w:t>
      </w:r>
      <w:r w:rsidRPr="00566CD3">
        <w:rPr>
          <w:sz w:val="12"/>
        </w:rPr>
        <w:t>51.446.860/0001-56</w:t>
      </w:r>
      <w:r w:rsidR="004C4DF9" w:rsidRPr="00566CD3">
        <w:rPr>
          <w:sz w:val="12"/>
        </w:rPr>
        <w:br/>
        <w:t xml:space="preserve">NIRE </w:t>
      </w:r>
      <w:r w:rsidR="00C11ED8" w:rsidRPr="00566CD3">
        <w:rPr>
          <w:sz w:val="12"/>
        </w:rPr>
        <w:t>35.300.010.485</w:t>
      </w:r>
      <w:r w:rsidR="004C4DF9" w:rsidRPr="00566CD3">
        <w:rPr>
          <w:sz w:val="12"/>
        </w:rPr>
        <w:br/>
      </w:r>
      <w:r w:rsidRPr="00566CD3">
        <w:rPr>
          <w:sz w:val="12"/>
        </w:rPr>
        <w:t>Fazenda São Martinho, s/n, CEP 14850-000, Pradópolis, SP</w:t>
      </w:r>
    </w:p>
    <w:p w14:paraId="249C2D2E" w14:textId="77777777" w:rsidR="006403B1" w:rsidRPr="00566CD3" w:rsidRDefault="00BF0B03" w:rsidP="006403B1">
      <w:pPr>
        <w:contextualSpacing/>
        <w:jc w:val="center"/>
        <w:rPr>
          <w:b/>
          <w:kern w:val="20"/>
          <w:sz w:val="14"/>
        </w:rPr>
      </w:pPr>
      <w:r w:rsidRPr="00566CD3">
        <w:rPr>
          <w:b/>
          <w:kern w:val="20"/>
          <w:sz w:val="14"/>
        </w:rPr>
        <w:t xml:space="preserve">Perfazendo o montante total de, </w:t>
      </w:r>
    </w:p>
    <w:p w14:paraId="167DF323" w14:textId="77777777" w:rsidR="009A733D" w:rsidRPr="00566CD3" w:rsidRDefault="00BE013B" w:rsidP="006403B1">
      <w:pPr>
        <w:contextualSpacing/>
        <w:jc w:val="center"/>
        <w:rPr>
          <w:b/>
          <w:kern w:val="20"/>
          <w:sz w:val="30"/>
        </w:rPr>
      </w:pPr>
      <w:r w:rsidRPr="00566CD3">
        <w:rPr>
          <w:b/>
          <w:kern w:val="20"/>
          <w:sz w:val="30"/>
        </w:rPr>
        <w:t>R$1.</w:t>
      </w:r>
      <w:r w:rsidR="00450C11" w:rsidRPr="00566CD3">
        <w:rPr>
          <w:b/>
          <w:kern w:val="20"/>
          <w:sz w:val="30"/>
        </w:rPr>
        <w:t>200.</w:t>
      </w:r>
      <w:r w:rsidRPr="00566CD3">
        <w:rPr>
          <w:b/>
          <w:kern w:val="20"/>
          <w:sz w:val="30"/>
        </w:rPr>
        <w:t>000.000,00</w:t>
      </w:r>
    </w:p>
    <w:p w14:paraId="78E54CBE" w14:textId="77777777" w:rsidR="00BF0B03" w:rsidRPr="00566CD3" w:rsidRDefault="009A733D" w:rsidP="006403B1">
      <w:pPr>
        <w:contextualSpacing/>
        <w:jc w:val="center"/>
        <w:rPr>
          <w:b/>
          <w:kern w:val="20"/>
          <w:sz w:val="30"/>
        </w:rPr>
      </w:pPr>
      <w:r w:rsidRPr="00566CD3">
        <w:rPr>
          <w:b/>
          <w:kern w:val="20"/>
          <w:sz w:val="14"/>
        </w:rPr>
        <w:t xml:space="preserve"> </w:t>
      </w:r>
      <w:r w:rsidR="00BE013B" w:rsidRPr="00566CD3">
        <w:rPr>
          <w:b/>
          <w:kern w:val="20"/>
          <w:sz w:val="14"/>
        </w:rPr>
        <w:t>(um bilhão</w:t>
      </w:r>
      <w:r w:rsidR="00450C11" w:rsidRPr="00566CD3">
        <w:rPr>
          <w:b/>
          <w:kern w:val="20"/>
          <w:sz w:val="14"/>
        </w:rPr>
        <w:t xml:space="preserve"> e duzentos milhões</w:t>
      </w:r>
      <w:r w:rsidR="00BE013B" w:rsidRPr="00566CD3">
        <w:rPr>
          <w:b/>
          <w:kern w:val="20"/>
          <w:sz w:val="14"/>
        </w:rPr>
        <w:t xml:space="preserve"> de reais)</w:t>
      </w:r>
    </w:p>
    <w:p w14:paraId="0FBE1CB9" w14:textId="77777777" w:rsidR="006403B1" w:rsidRPr="00566CD3" w:rsidRDefault="006403B1" w:rsidP="006403B1">
      <w:pPr>
        <w:contextualSpacing/>
        <w:jc w:val="center"/>
        <w:rPr>
          <w:b/>
          <w:kern w:val="20"/>
          <w:sz w:val="14"/>
        </w:rPr>
      </w:pPr>
      <w:r w:rsidRPr="00566CD3">
        <w:rPr>
          <w:b/>
          <w:kern w:val="20"/>
          <w:sz w:val="14"/>
        </w:rPr>
        <w:t>Código ISIN das Debêntures</w:t>
      </w:r>
      <w:r w:rsidR="00951642" w:rsidRPr="00566CD3">
        <w:rPr>
          <w:b/>
          <w:kern w:val="20"/>
          <w:sz w:val="14"/>
        </w:rPr>
        <w:t xml:space="preserve"> da Primeira Série</w:t>
      </w:r>
      <w:r w:rsidRPr="00566CD3">
        <w:rPr>
          <w:b/>
          <w:kern w:val="20"/>
          <w:sz w:val="14"/>
        </w:rPr>
        <w:t xml:space="preserve">: </w:t>
      </w:r>
      <w:bookmarkStart w:id="1" w:name="_Hlk89278606"/>
      <w:r w:rsidR="00BE013B" w:rsidRPr="00566CD3">
        <w:rPr>
          <w:b/>
          <w:kern w:val="20"/>
          <w:sz w:val="14"/>
        </w:rPr>
        <w:t>BRSMTODBS013</w:t>
      </w:r>
      <w:bookmarkEnd w:id="1"/>
    </w:p>
    <w:p w14:paraId="0B6096E3" w14:textId="77777777" w:rsidR="00951642" w:rsidRPr="00566CD3" w:rsidRDefault="00951642" w:rsidP="006403B1">
      <w:pPr>
        <w:contextualSpacing/>
        <w:jc w:val="center"/>
        <w:rPr>
          <w:b/>
          <w:kern w:val="20"/>
          <w:sz w:val="14"/>
        </w:rPr>
      </w:pPr>
      <w:r w:rsidRPr="00566CD3">
        <w:rPr>
          <w:b/>
          <w:kern w:val="20"/>
          <w:sz w:val="14"/>
        </w:rPr>
        <w:t xml:space="preserve">Código ISIN das Debêntures da Segunda Série: </w:t>
      </w:r>
      <w:bookmarkStart w:id="2" w:name="_Hlk89278615"/>
      <w:r w:rsidR="00BE013B" w:rsidRPr="00566CD3">
        <w:rPr>
          <w:b/>
          <w:kern w:val="20"/>
          <w:sz w:val="14"/>
        </w:rPr>
        <w:t>BRSMTODBS021</w:t>
      </w:r>
      <w:bookmarkEnd w:id="2"/>
    </w:p>
    <w:p w14:paraId="145CB3E7" w14:textId="77777777" w:rsidR="006403B1" w:rsidRPr="00566CD3" w:rsidRDefault="00300534" w:rsidP="009A733D">
      <w:pPr>
        <w:spacing w:after="100"/>
        <w:jc w:val="center"/>
        <w:rPr>
          <w:kern w:val="20"/>
          <w:sz w:val="14"/>
        </w:rPr>
      </w:pPr>
      <w:r w:rsidRPr="00566CD3">
        <w:rPr>
          <w:b/>
          <w:kern w:val="20"/>
          <w:sz w:val="14"/>
        </w:rPr>
        <w:t>Classificação de Risco</w:t>
      </w:r>
      <w:r w:rsidR="00BE013B" w:rsidRPr="00566CD3">
        <w:rPr>
          <w:b/>
          <w:kern w:val="20"/>
          <w:sz w:val="14"/>
        </w:rPr>
        <w:t xml:space="preserve"> </w:t>
      </w:r>
      <w:r w:rsidRPr="00566CD3">
        <w:rPr>
          <w:b/>
          <w:kern w:val="20"/>
          <w:sz w:val="14"/>
        </w:rPr>
        <w:t>da Emissão (</w:t>
      </w:r>
      <w:r w:rsidRPr="00566CD3">
        <w:rPr>
          <w:b/>
          <w:i/>
          <w:kern w:val="20"/>
          <w:sz w:val="14"/>
        </w:rPr>
        <w:t>Rating</w:t>
      </w:r>
      <w:r w:rsidRPr="00566CD3">
        <w:rPr>
          <w:b/>
          <w:kern w:val="20"/>
          <w:sz w:val="14"/>
        </w:rPr>
        <w:t xml:space="preserve">) pela </w:t>
      </w:r>
      <w:r w:rsidR="005B05FE" w:rsidRPr="00566CD3">
        <w:rPr>
          <w:b/>
          <w:kern w:val="20"/>
          <w:sz w:val="14"/>
        </w:rPr>
        <w:t>Standard &amp; Poor’s Ratings do Brasil Ltda.:</w:t>
      </w:r>
      <w:r w:rsidRPr="00566CD3">
        <w:rPr>
          <w:b/>
          <w:kern w:val="20"/>
          <w:sz w:val="14"/>
        </w:rPr>
        <w:t xml:space="preserve"> </w:t>
      </w:r>
      <w:r w:rsidR="00DB205D" w:rsidRPr="00566CD3">
        <w:rPr>
          <w:b/>
          <w:kern w:val="20"/>
          <w:sz w:val="14"/>
        </w:rPr>
        <w:t>“brAAA”</w:t>
      </w:r>
    </w:p>
    <w:p w14:paraId="436E6A27" w14:textId="77777777" w:rsidR="000A22DA" w:rsidRPr="00566CD3" w:rsidRDefault="00EC5D6F" w:rsidP="000E7F05">
      <w:pPr>
        <w:spacing w:after="40"/>
        <w:jc w:val="both"/>
        <w:rPr>
          <w:spacing w:val="-6"/>
          <w:sz w:val="8"/>
        </w:rPr>
      </w:pPr>
      <w:r w:rsidRPr="00566CD3">
        <w:rPr>
          <w:spacing w:val="-6"/>
          <w:sz w:val="8"/>
        </w:rPr>
        <w:t xml:space="preserve">A </w:t>
      </w:r>
      <w:r w:rsidR="00132C21" w:rsidRPr="00566CD3">
        <w:rPr>
          <w:b/>
          <w:spacing w:val="-6"/>
          <w:sz w:val="8"/>
        </w:rPr>
        <w:t>SÃO MARTINHO S.A</w:t>
      </w:r>
      <w:r w:rsidRPr="00566CD3">
        <w:rPr>
          <w:b/>
          <w:spacing w:val="-6"/>
          <w:sz w:val="8"/>
        </w:rPr>
        <w:t>.</w:t>
      </w:r>
      <w:r w:rsidRPr="00566CD3">
        <w:rPr>
          <w:spacing w:val="-6"/>
          <w:sz w:val="8"/>
        </w:rPr>
        <w:t xml:space="preserve"> (“</w:t>
      </w:r>
      <w:r w:rsidRPr="00566CD3">
        <w:rPr>
          <w:b/>
          <w:spacing w:val="-6"/>
          <w:sz w:val="8"/>
          <w:u w:val="single"/>
        </w:rPr>
        <w:t>EMISSORA</w:t>
      </w:r>
      <w:r w:rsidRPr="00566CD3">
        <w:rPr>
          <w:spacing w:val="-6"/>
          <w:sz w:val="8"/>
        </w:rPr>
        <w:t>”) ESTÁ REALIZANDO UMA OFERTA PÚBLICA DE DISTRIBUIÇÃO DE</w:t>
      </w:r>
      <w:r w:rsidR="000A22DA" w:rsidRPr="00566CD3">
        <w:rPr>
          <w:spacing w:val="-6"/>
          <w:sz w:val="8"/>
        </w:rPr>
        <w:t xml:space="preserve"> 1.</w:t>
      </w:r>
      <w:r w:rsidR="00450C11" w:rsidRPr="00566CD3">
        <w:rPr>
          <w:spacing w:val="-6"/>
          <w:sz w:val="8"/>
        </w:rPr>
        <w:t>200</w:t>
      </w:r>
      <w:r w:rsidR="000A22DA" w:rsidRPr="00566CD3">
        <w:rPr>
          <w:spacing w:val="-6"/>
          <w:sz w:val="8"/>
        </w:rPr>
        <w:t>.000 (UM MILHÃO</w:t>
      </w:r>
      <w:r w:rsidR="00450C11" w:rsidRPr="00566CD3">
        <w:rPr>
          <w:spacing w:val="-6"/>
          <w:sz w:val="8"/>
        </w:rPr>
        <w:t xml:space="preserve"> E DUZENTOS MIL</w:t>
      </w:r>
      <w:r w:rsidR="000A22DA" w:rsidRPr="00566CD3">
        <w:rPr>
          <w:spacing w:val="-6"/>
          <w:sz w:val="8"/>
        </w:rPr>
        <w:t xml:space="preserve">) DE </w:t>
      </w:r>
      <w:r w:rsidRPr="00566CD3">
        <w:rPr>
          <w:spacing w:val="-6"/>
          <w:sz w:val="8"/>
        </w:rPr>
        <w:t>DEBÊNTURES</w:t>
      </w:r>
      <w:r w:rsidR="0093025D" w:rsidRPr="00566CD3">
        <w:rPr>
          <w:spacing w:val="-6"/>
          <w:sz w:val="8"/>
        </w:rPr>
        <w:t xml:space="preserve"> SIMPLES</w:t>
      </w:r>
      <w:r w:rsidRPr="00566CD3">
        <w:rPr>
          <w:spacing w:val="-6"/>
          <w:sz w:val="8"/>
        </w:rPr>
        <w:t xml:space="preserve">, </w:t>
      </w:r>
      <w:r w:rsidR="00EC356F" w:rsidRPr="00566CD3">
        <w:rPr>
          <w:spacing w:val="-6"/>
          <w:sz w:val="8"/>
        </w:rPr>
        <w:t xml:space="preserve">CONSIDERANDO </w:t>
      </w:r>
      <w:r w:rsidR="000A22DA" w:rsidRPr="00566CD3">
        <w:rPr>
          <w:spacing w:val="-6"/>
          <w:sz w:val="8"/>
        </w:rPr>
        <w:t xml:space="preserve"> </w:t>
      </w:r>
      <w:r w:rsidRPr="00566CD3">
        <w:rPr>
          <w:spacing w:val="-6"/>
          <w:sz w:val="8"/>
        </w:rPr>
        <w:t xml:space="preserve">AS DEBÊNTURES ADICIONAIS (CONFORME ABAIXO DEFINIDAS), TODAS NOMINATIVAS, ESCRITURAIS, NÃO CONVERSÍVEIS EM AÇÕES, DA ESPÉCIE QUIROGRAFÁRIA, EM </w:t>
      </w:r>
      <w:r w:rsidR="00051C4D" w:rsidRPr="00566CD3">
        <w:rPr>
          <w:spacing w:val="-6"/>
          <w:sz w:val="8"/>
        </w:rPr>
        <w:t>DUAS SÉRIES</w:t>
      </w:r>
      <w:r w:rsidRPr="00566CD3">
        <w:rPr>
          <w:spacing w:val="-6"/>
          <w:sz w:val="8"/>
        </w:rPr>
        <w:t xml:space="preserve">, DA </w:t>
      </w:r>
      <w:r w:rsidR="00051C4D" w:rsidRPr="00566CD3">
        <w:rPr>
          <w:spacing w:val="-6"/>
          <w:sz w:val="8"/>
        </w:rPr>
        <w:t>4</w:t>
      </w:r>
      <w:r w:rsidRPr="00566CD3">
        <w:rPr>
          <w:spacing w:val="-6"/>
          <w:sz w:val="8"/>
        </w:rPr>
        <w:t>ª</w:t>
      </w:r>
      <w:r w:rsidR="004C4DF9" w:rsidRPr="00566CD3">
        <w:rPr>
          <w:rFonts w:cs="Arial"/>
          <w:spacing w:val="-6"/>
          <w:sz w:val="8"/>
          <w:szCs w:val="8"/>
          <w:rtl/>
          <w:lang w:bidi="ar-YE"/>
        </w:rPr>
        <w:t xml:space="preserve"> </w:t>
      </w:r>
      <w:r w:rsidRPr="00566CD3">
        <w:rPr>
          <w:spacing w:val="-6"/>
          <w:sz w:val="8"/>
        </w:rPr>
        <w:t>(</w:t>
      </w:r>
      <w:r w:rsidR="00051C4D" w:rsidRPr="00566CD3">
        <w:rPr>
          <w:spacing w:val="-6"/>
          <w:sz w:val="8"/>
        </w:rPr>
        <w:t>QUARTA</w:t>
      </w:r>
      <w:r w:rsidRPr="00566CD3">
        <w:rPr>
          <w:spacing w:val="-6"/>
          <w:sz w:val="8"/>
        </w:rPr>
        <w:t>) EMISSÃO DA EMISSORA (“</w:t>
      </w:r>
      <w:r w:rsidRPr="00566CD3">
        <w:rPr>
          <w:b/>
          <w:spacing w:val="-6"/>
          <w:sz w:val="8"/>
          <w:u w:val="single"/>
        </w:rPr>
        <w:t>EMISSÃO</w:t>
      </w:r>
      <w:r w:rsidRPr="00566CD3">
        <w:rPr>
          <w:spacing w:val="-6"/>
          <w:sz w:val="8"/>
        </w:rPr>
        <w:t xml:space="preserve">”), COM VALOR NOMINAL UNITÁRIO DE R$1.000,00 (MIL REAIS), NA DATA DE EMISSÃO DAS DEBÊNTURES (CONFORME ABAIXO DEFINIDO), QUAL SEJA, </w:t>
      </w:r>
      <w:r w:rsidR="000A22DA" w:rsidRPr="00566CD3">
        <w:rPr>
          <w:spacing w:val="-6"/>
          <w:sz w:val="8"/>
        </w:rPr>
        <w:t xml:space="preserve">15 </w:t>
      </w:r>
      <w:r w:rsidRPr="00566CD3">
        <w:rPr>
          <w:spacing w:val="-6"/>
          <w:sz w:val="8"/>
        </w:rPr>
        <w:t xml:space="preserve">DE </w:t>
      </w:r>
      <w:r w:rsidR="000A22DA" w:rsidRPr="00566CD3">
        <w:rPr>
          <w:spacing w:val="-6"/>
          <w:sz w:val="8"/>
        </w:rPr>
        <w:t xml:space="preserve">JANEIRO </w:t>
      </w:r>
      <w:r w:rsidRPr="00566CD3">
        <w:rPr>
          <w:spacing w:val="-6"/>
          <w:sz w:val="8"/>
        </w:rPr>
        <w:t xml:space="preserve">DE </w:t>
      </w:r>
      <w:r w:rsidR="000A22DA" w:rsidRPr="00566CD3">
        <w:rPr>
          <w:spacing w:val="-6"/>
          <w:sz w:val="8"/>
        </w:rPr>
        <w:t xml:space="preserve">2022 </w:t>
      </w:r>
      <w:r w:rsidRPr="00566CD3">
        <w:rPr>
          <w:spacing w:val="-6"/>
          <w:sz w:val="8"/>
        </w:rPr>
        <w:t>(“</w:t>
      </w:r>
      <w:r w:rsidRPr="00566CD3">
        <w:rPr>
          <w:b/>
          <w:spacing w:val="-6"/>
          <w:sz w:val="8"/>
          <w:u w:val="single"/>
        </w:rPr>
        <w:t>DATA DE EMISSÃO</w:t>
      </w:r>
      <w:r w:rsidRPr="00566CD3">
        <w:rPr>
          <w:spacing w:val="-6"/>
          <w:sz w:val="8"/>
        </w:rPr>
        <w:t>”), PERFAZENDO O MONTANTE TOTAL DE R$ </w:t>
      </w:r>
      <w:r w:rsidR="000A22DA" w:rsidRPr="00566CD3">
        <w:rPr>
          <w:spacing w:val="-6"/>
          <w:sz w:val="8"/>
        </w:rPr>
        <w:t>1.</w:t>
      </w:r>
      <w:r w:rsidR="00450C11" w:rsidRPr="00566CD3">
        <w:rPr>
          <w:spacing w:val="-6"/>
          <w:sz w:val="8"/>
        </w:rPr>
        <w:t>200.</w:t>
      </w:r>
      <w:r w:rsidR="000A22DA" w:rsidRPr="00566CD3">
        <w:rPr>
          <w:spacing w:val="-6"/>
          <w:sz w:val="8"/>
        </w:rPr>
        <w:t xml:space="preserve">000.000,00 </w:t>
      </w:r>
      <w:r w:rsidRPr="00566CD3">
        <w:rPr>
          <w:spacing w:val="-6"/>
          <w:sz w:val="8"/>
        </w:rPr>
        <w:t>(</w:t>
      </w:r>
      <w:r w:rsidR="000A22DA" w:rsidRPr="00566CD3">
        <w:rPr>
          <w:spacing w:val="-6"/>
          <w:sz w:val="8"/>
        </w:rPr>
        <w:t xml:space="preserve">UM BILHÃO </w:t>
      </w:r>
      <w:r w:rsidR="00450C11" w:rsidRPr="00566CD3">
        <w:rPr>
          <w:spacing w:val="-6"/>
          <w:sz w:val="8"/>
        </w:rPr>
        <w:t xml:space="preserve">E DUZENTOS MILHÕES </w:t>
      </w:r>
      <w:r w:rsidR="000A22DA" w:rsidRPr="00566CD3">
        <w:rPr>
          <w:spacing w:val="-6"/>
          <w:sz w:val="8"/>
        </w:rPr>
        <w:t>DE</w:t>
      </w:r>
      <w:r w:rsidRPr="00566CD3">
        <w:rPr>
          <w:spacing w:val="-6"/>
          <w:sz w:val="8"/>
        </w:rPr>
        <w:t xml:space="preserve"> REAIS), </w:t>
      </w:r>
      <w:r w:rsidR="00EC356F" w:rsidRPr="00566CD3">
        <w:rPr>
          <w:spacing w:val="-6"/>
          <w:sz w:val="8"/>
        </w:rPr>
        <w:t>CONSIDERANDO</w:t>
      </w:r>
      <w:r w:rsidRPr="00566CD3">
        <w:rPr>
          <w:spacing w:val="-6"/>
          <w:sz w:val="8"/>
        </w:rPr>
        <w:t xml:space="preserve"> AS DEBÊNTURES ADICIONAIS (“</w:t>
      </w:r>
      <w:r w:rsidRPr="00566CD3">
        <w:rPr>
          <w:b/>
          <w:spacing w:val="-6"/>
          <w:sz w:val="8"/>
          <w:u w:val="single"/>
        </w:rPr>
        <w:t>DEBÊNTURES</w:t>
      </w:r>
      <w:r w:rsidRPr="00566CD3">
        <w:rPr>
          <w:spacing w:val="-6"/>
          <w:sz w:val="8"/>
        </w:rPr>
        <w:t>”), SOB A COORDENAÇÃO D</w:t>
      </w:r>
      <w:r w:rsidR="00051C4D" w:rsidRPr="00566CD3">
        <w:rPr>
          <w:spacing w:val="-6"/>
          <w:sz w:val="8"/>
        </w:rPr>
        <w:t>A</w:t>
      </w:r>
      <w:r w:rsidRPr="00566CD3">
        <w:rPr>
          <w:spacing w:val="-6"/>
          <w:sz w:val="8"/>
        </w:rPr>
        <w:t xml:space="preserve"> </w:t>
      </w:r>
      <w:r w:rsidR="00051C4D" w:rsidRPr="00566CD3">
        <w:rPr>
          <w:b/>
          <w:spacing w:val="-6"/>
          <w:sz w:val="8"/>
        </w:rPr>
        <w:t>XP INVESTIMENTOS CORRETORA DE CÂMBIO, TÍTULOS E VALORES MOBILIÁRIOS S.A</w:t>
      </w:r>
      <w:r w:rsidRPr="00566CD3">
        <w:rPr>
          <w:b/>
          <w:spacing w:val="-6"/>
          <w:sz w:val="8"/>
        </w:rPr>
        <w:t>.</w:t>
      </w:r>
      <w:r w:rsidRPr="00566CD3">
        <w:rPr>
          <w:spacing w:val="-6"/>
          <w:sz w:val="8"/>
        </w:rPr>
        <w:t xml:space="preserve"> (“</w:t>
      </w:r>
      <w:r w:rsidR="00051C4D" w:rsidRPr="00566CD3">
        <w:rPr>
          <w:b/>
          <w:spacing w:val="-6"/>
          <w:sz w:val="8"/>
          <w:u w:val="single"/>
        </w:rPr>
        <w:t>XP</w:t>
      </w:r>
      <w:r w:rsidRPr="00566CD3">
        <w:rPr>
          <w:spacing w:val="-6"/>
          <w:sz w:val="8"/>
        </w:rPr>
        <w:t>” OU “</w:t>
      </w:r>
      <w:r w:rsidRPr="00566CD3">
        <w:rPr>
          <w:b/>
          <w:spacing w:val="-6"/>
          <w:sz w:val="8"/>
          <w:u w:val="single"/>
        </w:rPr>
        <w:t>COORDENADOR LÍDER</w:t>
      </w:r>
      <w:r w:rsidRPr="00566CD3">
        <w:rPr>
          <w:spacing w:val="-6"/>
          <w:sz w:val="8"/>
        </w:rPr>
        <w:t>”), NOS TERMOS DA INSTRUÇÃO DA COMISSÃO DE VALORES MOBILIÁRIOS (“</w:t>
      </w:r>
      <w:r w:rsidRPr="00566CD3">
        <w:rPr>
          <w:b/>
          <w:spacing w:val="-6"/>
          <w:sz w:val="8"/>
          <w:u w:val="single"/>
        </w:rPr>
        <w:t>CVM</w:t>
      </w:r>
      <w:r w:rsidRPr="00566CD3">
        <w:rPr>
          <w:spacing w:val="-6"/>
          <w:sz w:val="8"/>
        </w:rPr>
        <w:t>”) Nº 400, DE 29 DE DEZEMBRO DE 2003, CONFORME ALTERADA (“</w:t>
      </w:r>
      <w:r w:rsidRPr="00566CD3">
        <w:rPr>
          <w:b/>
          <w:spacing w:val="-6"/>
          <w:sz w:val="8"/>
          <w:u w:val="single"/>
        </w:rPr>
        <w:t>INSTRUÇÃO CVM 400</w:t>
      </w:r>
      <w:r w:rsidRPr="00566CD3">
        <w:rPr>
          <w:spacing w:val="-6"/>
          <w:sz w:val="8"/>
        </w:rPr>
        <w:t>”), DO</w:t>
      </w:r>
      <w:r w:rsidR="00012EDE" w:rsidRPr="00566CD3">
        <w:rPr>
          <w:rFonts w:cs="Arial"/>
          <w:spacing w:val="-6"/>
          <w:sz w:val="8"/>
          <w:szCs w:val="8"/>
          <w:rtl/>
          <w:lang w:bidi="ar-YE"/>
        </w:rPr>
        <w:t xml:space="preserve"> </w:t>
      </w:r>
      <w:r w:rsidRPr="00566CD3">
        <w:rPr>
          <w:spacing w:val="-6"/>
          <w:sz w:val="8"/>
        </w:rPr>
        <w:t>CÓDIGO ANBIMA (CONFORME DEFINIDO NESTE PROSPECTO), E DAS DEMAIS DISPOSIÇÕES LEGAIS E REGULAMENTARES APLICÁVEIS (“</w:t>
      </w:r>
      <w:r w:rsidRPr="00566CD3">
        <w:rPr>
          <w:b/>
          <w:spacing w:val="-6"/>
          <w:sz w:val="8"/>
          <w:u w:val="single"/>
        </w:rPr>
        <w:t>OFERTA</w:t>
      </w:r>
      <w:r w:rsidRPr="00566CD3">
        <w:rPr>
          <w:spacing w:val="-6"/>
          <w:sz w:val="8"/>
        </w:rPr>
        <w:t xml:space="preserve">”). </w:t>
      </w:r>
    </w:p>
    <w:p w14:paraId="7DEB2DB6" w14:textId="656F9A59" w:rsidR="000A22DA" w:rsidRPr="00566CD3" w:rsidRDefault="00EC5D6F" w:rsidP="000E7F05">
      <w:pPr>
        <w:spacing w:after="40"/>
        <w:jc w:val="both"/>
        <w:rPr>
          <w:spacing w:val="-6"/>
          <w:sz w:val="8"/>
        </w:rPr>
      </w:pPr>
      <w:r w:rsidRPr="00566CD3">
        <w:rPr>
          <w:spacing w:val="-6"/>
          <w:sz w:val="8"/>
        </w:rPr>
        <w:t xml:space="preserve">AS DEBÊNTURES SERÃO OBJETO DE DISTRIBUIÇÃO PÚBLICA, NOS TERMOS DA INSTRUÇÃO CVM 400, DA LEI DE MERCADO DE VALORES MOBILIÁRIOS (CONFORME DEFINIDO NESTE PROSPECTO), E DO CÓDIGO ANBIMA (CONFORME DEFINIDO NESTE PROSPECTO) E DAS DEMAIS DISPOSIÇÕES LEGAIS E REGULAMENTARES APLICÁVEIS, SOB REGIME DE GARANTIA FIRME DE COLOCAÇÃO, PARA O VALOR TOTAL DA EMISSÃO (SEM CONSIDERAR AS DEBÊNTURES ADICIONAIS, AS QUAIS SERÃO COLOCADAS SOB REGIME DE </w:t>
      </w:r>
      <w:r w:rsidR="000A22DA" w:rsidRPr="00566CD3">
        <w:rPr>
          <w:spacing w:val="-6"/>
          <w:sz w:val="8"/>
        </w:rPr>
        <w:t>MELHORES ESFORÇOS DE COLOCAÇÃO</w:t>
      </w:r>
      <w:r w:rsidRPr="00566CD3">
        <w:rPr>
          <w:spacing w:val="-6"/>
          <w:sz w:val="8"/>
        </w:rPr>
        <w:t xml:space="preserve">), NOS TERMOS DO CONTRATO DE DISTRIBUIÇÃO (CONFORME DEFINIDO NESTE PROSPECTO), COM A INTERMEDIAÇÃO </w:t>
      </w:r>
      <w:r w:rsidR="00051C4D" w:rsidRPr="00566CD3">
        <w:rPr>
          <w:spacing w:val="-6"/>
          <w:sz w:val="8"/>
        </w:rPr>
        <w:t>DO COORDENADOR LÍDER</w:t>
      </w:r>
      <w:r w:rsidRPr="00566CD3">
        <w:rPr>
          <w:spacing w:val="-6"/>
          <w:sz w:val="8"/>
        </w:rPr>
        <w:t xml:space="preserve"> E/OU OUTRAS INSTITUIÇÕES FINANCEIRAS, QUE NÃO SE ENQUADREM COMO </w:t>
      </w:r>
      <w:r w:rsidR="00051C4D" w:rsidRPr="00566CD3">
        <w:rPr>
          <w:spacing w:val="-6"/>
          <w:sz w:val="8"/>
        </w:rPr>
        <w:t>COORDENADOR</w:t>
      </w:r>
      <w:r w:rsidRPr="00566CD3">
        <w:rPr>
          <w:spacing w:val="-6"/>
          <w:sz w:val="8"/>
        </w:rPr>
        <w:t>, AUTORIZADAS A OPERAR NO MERCADO DE CAPITAIS PARA PARTICIPAREM DA COLOCAÇÃO DAS DEBÊNTURES JUNTO A POTENCIAIS INVESTIDORES E CLIENTES (“</w:t>
      </w:r>
      <w:r w:rsidRPr="00566CD3">
        <w:rPr>
          <w:b/>
          <w:spacing w:val="-6"/>
          <w:sz w:val="8"/>
          <w:u w:val="single"/>
        </w:rPr>
        <w:t>PARTICIPANTES ESPECIAIS</w:t>
      </w:r>
      <w:r w:rsidRPr="00566CD3">
        <w:rPr>
          <w:spacing w:val="-6"/>
          <w:sz w:val="8"/>
        </w:rPr>
        <w:t xml:space="preserve">” E, EM CONJUNTO COM </w:t>
      </w:r>
      <w:r w:rsidR="00051C4D" w:rsidRPr="00566CD3">
        <w:rPr>
          <w:spacing w:val="-6"/>
          <w:sz w:val="8"/>
        </w:rPr>
        <w:t>O COORDENADOR LÍDER</w:t>
      </w:r>
      <w:r w:rsidRPr="00566CD3">
        <w:rPr>
          <w:spacing w:val="-6"/>
          <w:sz w:val="8"/>
        </w:rPr>
        <w:t>, “</w:t>
      </w:r>
      <w:r w:rsidRPr="00566CD3">
        <w:rPr>
          <w:b/>
          <w:spacing w:val="-6"/>
          <w:sz w:val="8"/>
          <w:u w:val="single"/>
        </w:rPr>
        <w:t>INSTITUIÇÕES PARTICIPANTES DA OFERTA</w:t>
      </w:r>
      <w:r w:rsidRPr="00566CD3">
        <w:rPr>
          <w:spacing w:val="-6"/>
          <w:sz w:val="8"/>
        </w:rPr>
        <w:t xml:space="preserve">”). </w:t>
      </w:r>
      <w:r w:rsidRPr="00566CD3">
        <w:rPr>
          <w:b/>
          <w:spacing w:val="-6"/>
          <w:sz w:val="8"/>
        </w:rPr>
        <w:t xml:space="preserve">PARA MAIS INFORMAÇÕES SOBRE O REGIME DE COLOCAÇÃO DAS DEBÊNTURES, VEJA A SEÇÃO “INFORMAÇÕES RELATIVAS À EMISSÃO, À OFERTA E ÀS DEBÊNTURES – CONTRATO DE DISTRIBUIÇÃO – REGIME DE COLOCAÇÃO”, NA PÁGINA </w:t>
      </w:r>
      <w:r w:rsidR="0063390C" w:rsidRPr="00566CD3">
        <w:rPr>
          <w:rFonts w:cs="Arial"/>
          <w:b/>
          <w:bCs/>
          <w:spacing w:val="-6"/>
          <w:sz w:val="8"/>
          <w:szCs w:val="8"/>
        </w:rPr>
        <w:fldChar w:fldCharType="begin"/>
      </w:r>
      <w:r w:rsidR="0063390C" w:rsidRPr="00566CD3">
        <w:rPr>
          <w:b/>
          <w:spacing w:val="-6"/>
          <w:sz w:val="8"/>
        </w:rPr>
        <w:instrText xml:space="preserve"> PAGEREF _Ref434934462 \h </w:instrText>
      </w:r>
      <w:r w:rsidR="0063390C" w:rsidRPr="00566CD3">
        <w:rPr>
          <w:rFonts w:cs="Arial"/>
          <w:b/>
          <w:bCs/>
          <w:spacing w:val="-6"/>
          <w:sz w:val="8"/>
          <w:szCs w:val="8"/>
        </w:rPr>
      </w:r>
      <w:r w:rsidR="0063390C" w:rsidRPr="00566CD3">
        <w:rPr>
          <w:rFonts w:cs="Arial"/>
          <w:b/>
          <w:bCs/>
          <w:spacing w:val="-6"/>
          <w:sz w:val="8"/>
          <w:szCs w:val="8"/>
        </w:rPr>
        <w:fldChar w:fldCharType="separate"/>
      </w:r>
      <w:r w:rsidR="001166EA">
        <w:rPr>
          <w:b/>
          <w:noProof/>
          <w:spacing w:val="-6"/>
          <w:sz w:val="8"/>
        </w:rPr>
        <w:t>113</w:t>
      </w:r>
      <w:r w:rsidR="0063390C" w:rsidRPr="00566CD3">
        <w:rPr>
          <w:rFonts w:cs="Arial"/>
          <w:b/>
          <w:bCs/>
          <w:spacing w:val="-6"/>
          <w:sz w:val="8"/>
          <w:szCs w:val="8"/>
        </w:rPr>
        <w:fldChar w:fldCharType="end"/>
      </w:r>
      <w:r w:rsidR="000A22DA" w:rsidRPr="00566CD3">
        <w:rPr>
          <w:b/>
          <w:spacing w:val="-6"/>
          <w:sz w:val="8"/>
        </w:rPr>
        <w:t xml:space="preserve"> </w:t>
      </w:r>
      <w:r w:rsidRPr="00566CD3">
        <w:rPr>
          <w:b/>
          <w:spacing w:val="-6"/>
          <w:sz w:val="8"/>
        </w:rPr>
        <w:t>DESTE PROSPECTO</w:t>
      </w:r>
      <w:r w:rsidRPr="00566CD3">
        <w:rPr>
          <w:spacing w:val="-6"/>
          <w:sz w:val="8"/>
        </w:rPr>
        <w:t xml:space="preserve">. </w:t>
      </w:r>
    </w:p>
    <w:p w14:paraId="42458D43" w14:textId="476773E1" w:rsidR="0090429E" w:rsidRPr="00566CD3" w:rsidRDefault="00EC356F" w:rsidP="000E7F05">
      <w:pPr>
        <w:spacing w:after="40"/>
        <w:jc w:val="both"/>
        <w:rPr>
          <w:spacing w:val="-6"/>
          <w:sz w:val="8"/>
        </w:rPr>
      </w:pPr>
      <w:r w:rsidRPr="00566CD3">
        <w:rPr>
          <w:spacing w:val="-6"/>
          <w:sz w:val="8"/>
        </w:rPr>
        <w:t>FOI</w:t>
      </w:r>
      <w:r w:rsidR="00F650B2" w:rsidRPr="00566CD3">
        <w:rPr>
          <w:spacing w:val="-6"/>
          <w:sz w:val="8"/>
        </w:rPr>
        <w:t xml:space="preserve"> ADOTADO O PROCEDIMENTO DE COLETA DE INTENÇÕES DE INVESTIMENTO, ORGANIZADO PELOS COORDENADOR LÍDER, NOS TERMOS DO ARTIGO 23, PARÁGRAFOS 1º E 2º, E DO ARTIGO 44 DA INSTRUÇÃO CVM 400 (“</w:t>
      </w:r>
      <w:r w:rsidR="00F650B2" w:rsidRPr="00566CD3">
        <w:rPr>
          <w:b/>
          <w:spacing w:val="-6"/>
          <w:sz w:val="8"/>
          <w:u w:val="single"/>
        </w:rPr>
        <w:t>PROCEDIMENTO DE B</w:t>
      </w:r>
      <w:r w:rsidR="00F650B2" w:rsidRPr="00566CD3">
        <w:rPr>
          <w:b/>
          <w:i/>
          <w:spacing w:val="-6"/>
          <w:sz w:val="8"/>
          <w:u w:val="single"/>
        </w:rPr>
        <w:t>OOKBUILDING</w:t>
      </w:r>
      <w:r w:rsidR="00F650B2" w:rsidRPr="00566CD3">
        <w:rPr>
          <w:spacing w:val="-6"/>
          <w:sz w:val="8"/>
        </w:rPr>
        <w:t xml:space="preserve">”), COM RECEBIMENTO DE RESERVAS DURANTE O PERÍODO DE RESERVA (CONFORME ABAIXO DEFINIDO), SEM LOTES MÍNIMOS OU MÁXIMOS, PARA VERIFICAÇÃO DA DEMANDA PELAS DEBÊNTURES EM DIFERENTES NÍVEIS DE TAXA DE JUROS, </w:t>
      </w:r>
      <w:r w:rsidRPr="00566CD3">
        <w:rPr>
          <w:spacing w:val="-6"/>
          <w:sz w:val="8"/>
        </w:rPr>
        <w:t>O QUAL DEFINIU</w:t>
      </w:r>
      <w:r w:rsidR="00F650B2" w:rsidRPr="00566CD3">
        <w:rPr>
          <w:spacing w:val="-6"/>
          <w:sz w:val="8"/>
        </w:rPr>
        <w:t>: (I) A EXISTÊNCIA DE DEMANDA PARA A COLOCAÇÃO DA TOTALIDADE DAS DEBÊNTURES</w:t>
      </w:r>
      <w:r w:rsidRPr="00566CD3">
        <w:rPr>
          <w:spacing w:val="-6"/>
          <w:sz w:val="8"/>
        </w:rPr>
        <w:t>]</w:t>
      </w:r>
      <w:r w:rsidR="00F650B2" w:rsidRPr="00566CD3">
        <w:rPr>
          <w:spacing w:val="-6"/>
          <w:sz w:val="8"/>
        </w:rPr>
        <w:t>,</w:t>
      </w:r>
      <w:r w:rsidRPr="00566CD3">
        <w:rPr>
          <w:spacing w:val="-6"/>
          <w:sz w:val="8"/>
        </w:rPr>
        <w:t xml:space="preserve"> </w:t>
      </w:r>
      <w:r w:rsidR="00F650B2" w:rsidRPr="00566CD3">
        <w:rPr>
          <w:spacing w:val="-6"/>
          <w:sz w:val="8"/>
        </w:rPr>
        <w:t>CONSIDERA</w:t>
      </w:r>
      <w:r w:rsidRPr="00566CD3">
        <w:rPr>
          <w:spacing w:val="-6"/>
          <w:sz w:val="8"/>
        </w:rPr>
        <w:t>NDO</w:t>
      </w:r>
      <w:r w:rsidR="00F650B2" w:rsidRPr="00566CD3">
        <w:rPr>
          <w:spacing w:val="-6"/>
          <w:sz w:val="8"/>
        </w:rPr>
        <w:t xml:space="preserve"> AS DEBÊNTURES ADICIONAIS, E, DEFINI</w:t>
      </w:r>
      <w:r w:rsidRPr="00566CD3">
        <w:rPr>
          <w:spacing w:val="-6"/>
          <w:sz w:val="8"/>
        </w:rPr>
        <w:t>U</w:t>
      </w:r>
      <w:r w:rsidR="00F650B2" w:rsidRPr="00566CD3">
        <w:rPr>
          <w:spacing w:val="-6"/>
          <w:sz w:val="8"/>
        </w:rPr>
        <w:t xml:space="preserve"> SOBRE A REALIZAÇÃO DA EMISSÃO EM 2 (DUAS) SÉRIES; (II) A EMISSÃO E A QUANTIDADE DE DEBÊNTURES DA PRIMEIRA SÉRIE (CONFORME ABAIXO DEFINIDO) E DE DEBÊNTURES DA SEGUNDA SÉRIE (CONFORME ABAIXO DEFINIDO); (III) A TAXA FINAL DOS JUROS REMUNERATÓRIOS DA PRIMEIRA SÉRIE (CONFORME ABAIXO DEFINIDO); (IV) A TAXA FINAL DOS JUROS REMUNERATÓRIOS DA SEGUNDA SÉRIE (CONFORME ABAIXO DEFINIDO); (V) A ALOCAÇÃO DAS DEBÊNTURES ENTRE OS INVESTIDORES DA OFERTA; E (VI) </w:t>
      </w:r>
      <w:r w:rsidRPr="00566CD3">
        <w:rPr>
          <w:spacing w:val="-6"/>
          <w:sz w:val="8"/>
        </w:rPr>
        <w:t xml:space="preserve"> </w:t>
      </w:r>
      <w:r w:rsidR="00F650B2" w:rsidRPr="00566CD3">
        <w:rPr>
          <w:spacing w:val="-6"/>
          <w:sz w:val="8"/>
        </w:rPr>
        <w:t>A COLOCAÇÃO</w:t>
      </w:r>
      <w:r w:rsidR="000F6532" w:rsidRPr="00566CD3">
        <w:rPr>
          <w:spacing w:val="-6"/>
          <w:sz w:val="8"/>
        </w:rPr>
        <w:t xml:space="preserve"> </w:t>
      </w:r>
      <w:r w:rsidR="00F650B2" w:rsidRPr="00566CD3">
        <w:rPr>
          <w:spacing w:val="-6"/>
          <w:sz w:val="8"/>
        </w:rPr>
        <w:t>DAS DEBÊNTURES ADICIONAIS, BEM COMO AS RESPECTIVAS SÉRIES NAS QUALIS</w:t>
      </w:r>
      <w:r w:rsidRPr="00566CD3">
        <w:rPr>
          <w:spacing w:val="-6"/>
          <w:sz w:val="8"/>
        </w:rPr>
        <w:t>FORAM</w:t>
      </w:r>
      <w:r w:rsidR="00F650B2" w:rsidRPr="00566CD3">
        <w:rPr>
          <w:spacing w:val="-6"/>
          <w:sz w:val="8"/>
        </w:rPr>
        <w:t xml:space="preserve"> ALOCADAS) AS DEBÊNTURES ADICIONAIS E, CONSEQUENTEMENTE, A QUANTIDADE DE DEBÊNTURES ALOCADA EM CADA UMA DAS SÉRIES. </w:t>
      </w:r>
      <w:r w:rsidR="0090429E" w:rsidRPr="00566CD3">
        <w:rPr>
          <w:b/>
          <w:spacing w:val="-6"/>
          <w:sz w:val="8"/>
        </w:rPr>
        <w:t xml:space="preserve">PARA MAIS INFORMAÇÕES SOBRE O PROCEDIMENTO DE BOOKBUILDING, VEJA A SEÇÃO “INFORMAÇÕES RELATIVAS À EMISSÃO, À OFERTA E ÀS DEBÊNTURES – CARACTERÍSTICAS DA OFERTA – COLETA DE INTENÇÕES DE INVESTIMENTO </w:t>
      </w:r>
      <w:r w:rsidR="00DB205D" w:rsidRPr="00566CD3">
        <w:rPr>
          <w:b/>
          <w:spacing w:val="-6"/>
          <w:sz w:val="8"/>
        </w:rPr>
        <w:t xml:space="preserve">DE INVESTIMENTO </w:t>
      </w:r>
      <w:r w:rsidR="0090429E" w:rsidRPr="00566CD3">
        <w:rPr>
          <w:b/>
          <w:spacing w:val="-6"/>
          <w:sz w:val="8"/>
        </w:rPr>
        <w:t xml:space="preserve">(PROCEDIMENTO DE </w:t>
      </w:r>
      <w:r w:rsidR="0090429E" w:rsidRPr="00566CD3">
        <w:rPr>
          <w:b/>
          <w:i/>
          <w:spacing w:val="-6"/>
          <w:sz w:val="8"/>
        </w:rPr>
        <w:t>BOOKBUILDING</w:t>
      </w:r>
      <w:r w:rsidR="0090429E" w:rsidRPr="00566CD3">
        <w:rPr>
          <w:b/>
          <w:spacing w:val="-6"/>
          <w:sz w:val="8"/>
        </w:rPr>
        <w:t xml:space="preserve">)”, NA PÁGINA </w:t>
      </w:r>
      <w:r w:rsidR="00406E5C" w:rsidRPr="00566CD3">
        <w:rPr>
          <w:rFonts w:cs="Arial"/>
          <w:b/>
          <w:bCs/>
          <w:spacing w:val="-6"/>
          <w:sz w:val="8"/>
          <w:szCs w:val="8"/>
        </w:rPr>
        <w:fldChar w:fldCharType="begin"/>
      </w:r>
      <w:r w:rsidR="00406E5C" w:rsidRPr="00566CD3">
        <w:rPr>
          <w:b/>
          <w:spacing w:val="-6"/>
          <w:sz w:val="8"/>
        </w:rPr>
        <w:instrText xml:space="preserve"> PAGEREF _Ref90046125 \h </w:instrText>
      </w:r>
      <w:r w:rsidR="00406E5C" w:rsidRPr="00566CD3">
        <w:rPr>
          <w:rFonts w:cs="Arial"/>
          <w:b/>
          <w:bCs/>
          <w:spacing w:val="-6"/>
          <w:sz w:val="8"/>
          <w:szCs w:val="8"/>
        </w:rPr>
      </w:r>
      <w:r w:rsidR="00406E5C" w:rsidRPr="00566CD3">
        <w:rPr>
          <w:rFonts w:cs="Arial"/>
          <w:b/>
          <w:bCs/>
          <w:spacing w:val="-6"/>
          <w:sz w:val="8"/>
          <w:szCs w:val="8"/>
        </w:rPr>
        <w:fldChar w:fldCharType="separate"/>
      </w:r>
      <w:r w:rsidR="001166EA">
        <w:rPr>
          <w:b/>
          <w:noProof/>
          <w:spacing w:val="-6"/>
          <w:sz w:val="8"/>
        </w:rPr>
        <w:t>71</w:t>
      </w:r>
      <w:r w:rsidR="00406E5C" w:rsidRPr="00566CD3">
        <w:rPr>
          <w:rFonts w:cs="Arial"/>
          <w:b/>
          <w:bCs/>
          <w:spacing w:val="-6"/>
          <w:sz w:val="8"/>
          <w:szCs w:val="8"/>
        </w:rPr>
        <w:fldChar w:fldCharType="end"/>
      </w:r>
      <w:r w:rsidR="0090429E" w:rsidRPr="00566CD3">
        <w:rPr>
          <w:b/>
          <w:spacing w:val="-6"/>
          <w:sz w:val="8"/>
        </w:rPr>
        <w:t xml:space="preserve"> DESTE PROSPECTO.</w:t>
      </w:r>
    </w:p>
    <w:p w14:paraId="7BC65020" w14:textId="33003A25" w:rsidR="00A142EF" w:rsidRPr="0082022E" w:rsidRDefault="00A142EF" w:rsidP="00A142EF">
      <w:pPr>
        <w:spacing w:after="40"/>
        <w:jc w:val="both"/>
        <w:rPr>
          <w:rFonts w:cs="Arial"/>
          <w:spacing w:val="-4"/>
          <w:sz w:val="8"/>
          <w:szCs w:val="8"/>
        </w:rPr>
      </w:pPr>
      <w:r w:rsidRPr="0082022E">
        <w:rPr>
          <w:rFonts w:cs="Arial"/>
          <w:spacing w:val="-4"/>
          <w:sz w:val="8"/>
          <w:szCs w:val="8"/>
        </w:rPr>
        <w:t>NOS TERMOS DO PARÁGRAFO 2º DO ARTIGO 14 DA INSTRUÇÃO CVM 400, A QUANTIDADE DE DEBÊNTURES INICIALMENTE OFERTADA FOI ACRESCIDA EM 20% (VINTE POR CENTO), OU SEJA, EM 200.000 (DUZENTAS MIL) DEBÊNTURES ADICIONAIS, NAS MESMAS CONDIÇÕES DAS DEBÊNTURES INICIALMENTE OFERTADAS (“</w:t>
      </w:r>
      <w:r w:rsidRPr="0082022E">
        <w:rPr>
          <w:rFonts w:cs="Arial"/>
          <w:b/>
          <w:bCs/>
          <w:spacing w:val="-4"/>
          <w:sz w:val="8"/>
          <w:szCs w:val="8"/>
          <w:u w:val="single"/>
        </w:rPr>
        <w:t>DEBÊNTURES ADICIONAIS</w:t>
      </w:r>
      <w:r w:rsidRPr="0082022E">
        <w:rPr>
          <w:rFonts w:cs="Arial"/>
          <w:spacing w:val="-4"/>
          <w:sz w:val="8"/>
          <w:szCs w:val="8"/>
        </w:rPr>
        <w:t xml:space="preserve">”), SEM A NECESSIDADE DE NOVO PEDIDO DE REGISTRO À CVM OU MODIFICAÇÃO DOS TERMOS DA OFERTA, ATÉ A DATA DE CONCLUSÃO DO PROCEDIMENTO DE </w:t>
      </w:r>
      <w:r w:rsidRPr="0082022E">
        <w:rPr>
          <w:rFonts w:cs="Arial"/>
          <w:i/>
          <w:iCs/>
          <w:spacing w:val="-4"/>
          <w:sz w:val="8"/>
          <w:szCs w:val="8"/>
        </w:rPr>
        <w:t>BOOKBUILDING</w:t>
      </w:r>
      <w:r w:rsidRPr="0082022E">
        <w:rPr>
          <w:rFonts w:cs="Arial"/>
          <w:spacing w:val="-4"/>
          <w:sz w:val="8"/>
          <w:szCs w:val="8"/>
        </w:rPr>
        <w:t xml:space="preserve">. A CRITÉRIO DO COORDENADOR LÍDER E DA EMISSORA, EM CONJUNTO, CONFORME VERIFICADO NO PROCEDIMENTO DE </w:t>
      </w:r>
      <w:r w:rsidRPr="0082022E">
        <w:rPr>
          <w:rFonts w:cs="Arial"/>
          <w:i/>
          <w:iCs/>
          <w:spacing w:val="-4"/>
          <w:sz w:val="8"/>
          <w:szCs w:val="8"/>
        </w:rPr>
        <w:t>BOOKBUILING</w:t>
      </w:r>
      <w:r w:rsidRPr="0082022E">
        <w:rPr>
          <w:rFonts w:cs="Arial"/>
          <w:spacing w:val="-4"/>
          <w:sz w:val="8"/>
          <w:szCs w:val="8"/>
        </w:rPr>
        <w:t>, AS DEBÊNTURES ADICIONAIS SERÃO DEBÊNTURES DA PRIMEIRA SÉRIE E DEBÊNTURES DA SEGUNDA SÉRIE. AS DEBÊNTURES ADICIONAIS EMITIDAS PASSARÃO A TER AS MESMAS CARACTERÍSTICAS DA DEBÊNTURES INICIALMENTE OFERTADAS E PASSARÃO A INTEGRAR O CONCEITO DE “DEBÊNTURES” E SERÃO COLOCADAS SOB O REGIME DE MELHORES ESFORÇOS DE COLOCAÇÃO PELO COORDENADOR LÍDER.</w:t>
      </w:r>
    </w:p>
    <w:p w14:paraId="6D083E59" w14:textId="77777777" w:rsidR="00F650B2" w:rsidRPr="00566CD3" w:rsidRDefault="00EC5D6F" w:rsidP="000E7F05">
      <w:pPr>
        <w:spacing w:after="40"/>
        <w:jc w:val="both"/>
        <w:rPr>
          <w:spacing w:val="-6"/>
          <w:sz w:val="8"/>
        </w:rPr>
      </w:pPr>
      <w:r w:rsidRPr="00566CD3">
        <w:rPr>
          <w:spacing w:val="-6"/>
          <w:sz w:val="8"/>
        </w:rPr>
        <w:t>AS DEBÊNTURES SERÃO DEPOSITADAS PARA DISTRIBUIÇÃO NO MERCADO PRIMÁRIO POR MEIO DO MDA – MÓDULO DE DISTRIBUIÇÃO DE ATIVOS (“</w:t>
      </w:r>
      <w:r w:rsidRPr="00566CD3">
        <w:rPr>
          <w:b/>
          <w:spacing w:val="-6"/>
          <w:sz w:val="8"/>
          <w:u w:val="single"/>
        </w:rPr>
        <w:t>MDA</w:t>
      </w:r>
      <w:r w:rsidRPr="00566CD3">
        <w:rPr>
          <w:spacing w:val="-6"/>
          <w:sz w:val="8"/>
        </w:rPr>
        <w:t xml:space="preserve">”), ADMINISTRADO E OPERACIONALIZADO PELA B3 S.A. – BRASIL, BOLSA, BALCÃO– </w:t>
      </w:r>
      <w:r w:rsidR="005B05FE" w:rsidRPr="00566CD3">
        <w:rPr>
          <w:spacing w:val="-6"/>
          <w:sz w:val="8"/>
        </w:rPr>
        <w:t>BALCÃO B3</w:t>
      </w:r>
      <w:r w:rsidRPr="00566CD3">
        <w:rPr>
          <w:spacing w:val="-6"/>
          <w:sz w:val="8"/>
        </w:rPr>
        <w:t xml:space="preserve"> (“</w:t>
      </w:r>
      <w:r w:rsidRPr="00566CD3">
        <w:rPr>
          <w:b/>
          <w:spacing w:val="-6"/>
          <w:sz w:val="8"/>
          <w:u w:val="single"/>
        </w:rPr>
        <w:t>B3</w:t>
      </w:r>
      <w:r w:rsidRPr="00566CD3">
        <w:rPr>
          <w:spacing w:val="-6"/>
          <w:sz w:val="8"/>
        </w:rPr>
        <w:t>”), SENDO A DISTRIBUIÇÃO LIQUIDADA FINANCEIRAMENTE POR MEIO DA B3. AS DEBÊNTURES SERÃO DEPOSITADAS PARA NEGOCIAÇÃO NO MERCADO SECUNDÁRIO POR MEIO DO CETIP21 – TÍTULOS E VALORES MOBILIÁRIOS (“</w:t>
      </w:r>
      <w:r w:rsidRPr="00566CD3">
        <w:rPr>
          <w:b/>
          <w:spacing w:val="-6"/>
          <w:sz w:val="8"/>
          <w:u w:val="single"/>
        </w:rPr>
        <w:t>CETIP21</w:t>
      </w:r>
      <w:r w:rsidRPr="00566CD3">
        <w:rPr>
          <w:spacing w:val="-6"/>
          <w:sz w:val="8"/>
        </w:rPr>
        <w:t xml:space="preserve">”), ADMINISTRADO E OPERACIONALIZADO PELA B3, SENDO AS NEGOCIAÇÕES LIQUIDADAS FINANCEIRAMENTE E AS DEBÊNTURES CUSTODIADAS ELETRONICAMENTE NA B3. </w:t>
      </w:r>
    </w:p>
    <w:p w14:paraId="7F6110E2" w14:textId="4CD893EE" w:rsidR="00A142EF" w:rsidRPr="0082022E" w:rsidRDefault="00A142EF" w:rsidP="00A142EF">
      <w:pPr>
        <w:spacing w:after="40"/>
        <w:jc w:val="both"/>
        <w:rPr>
          <w:rFonts w:cs="Arial"/>
          <w:spacing w:val="-4"/>
          <w:sz w:val="8"/>
          <w:szCs w:val="8"/>
        </w:rPr>
      </w:pPr>
      <w:bookmarkStart w:id="3" w:name="_Hlk89949477"/>
      <w:r w:rsidRPr="0082022E">
        <w:rPr>
          <w:rFonts w:cs="Arial"/>
          <w:spacing w:val="-4"/>
          <w:sz w:val="8"/>
          <w:szCs w:val="8"/>
        </w:rPr>
        <w:t>A EMISSÃO E A OFERTA SERÃO REALIZADAS DE ACORDO COM OS TERMOS E CONDIÇÕES CONSTANTES DO “</w:t>
      </w:r>
      <w:r w:rsidRPr="0082022E">
        <w:rPr>
          <w:rFonts w:cs="Arial"/>
          <w:i/>
          <w:spacing w:val="-4"/>
          <w:sz w:val="8"/>
          <w:szCs w:val="8"/>
        </w:rPr>
        <w:t>INSTRUMENTO PARTICULAR DE ESCRITURA DA 4ª (QUARTA) EMISSÃO DE DEBÊNTURES, NÃO CONVERSÍVEIS EM AÇÕES, DA ESPÉCIE QUIROGRAFÁRIA, EM ATÉ DUAS SÉRIES ÚNICA, PARA DISTRIBUIÇÃO PÚBLICA, DA SÃO MARTINHO S.A.</w:t>
      </w:r>
      <w:r w:rsidRPr="0082022E">
        <w:rPr>
          <w:rFonts w:cs="Arial"/>
          <w:spacing w:val="-4"/>
          <w:sz w:val="8"/>
          <w:szCs w:val="8"/>
        </w:rPr>
        <w:t xml:space="preserve">”, CELEBRADO EM </w:t>
      </w:r>
      <w:r w:rsidRPr="0082022E">
        <w:rPr>
          <w:rFonts w:cs="Arial"/>
          <w:sz w:val="8"/>
          <w:szCs w:val="8"/>
        </w:rPr>
        <w:t>13</w:t>
      </w:r>
      <w:r w:rsidRPr="0082022E">
        <w:rPr>
          <w:rFonts w:cs="Arial"/>
          <w:spacing w:val="-4"/>
          <w:sz w:val="8"/>
          <w:szCs w:val="8"/>
        </w:rPr>
        <w:t xml:space="preserve"> DE DEZEMBRO DE 2021, CONFORME ALTERADA, ENTRE A EMISSORA E </w:t>
      </w:r>
      <w:r w:rsidRPr="0082022E">
        <w:rPr>
          <w:rFonts w:cs="Arial"/>
          <w:sz w:val="8"/>
          <w:szCs w:val="8"/>
        </w:rPr>
        <w:t>O AGENTE FIDUCIÁRIO</w:t>
      </w:r>
      <w:r w:rsidRPr="0082022E">
        <w:rPr>
          <w:rFonts w:cs="Arial"/>
          <w:b/>
          <w:sz w:val="8"/>
          <w:szCs w:val="8"/>
        </w:rPr>
        <w:t xml:space="preserve"> </w:t>
      </w:r>
      <w:r w:rsidRPr="0082022E">
        <w:rPr>
          <w:rFonts w:cs="Arial"/>
          <w:bCs/>
          <w:sz w:val="8"/>
          <w:szCs w:val="8"/>
        </w:rPr>
        <w:t>(CONFORME DEFINIDO NESTE PROSPECTO)</w:t>
      </w:r>
      <w:r w:rsidRPr="0082022E">
        <w:rPr>
          <w:rFonts w:cs="Arial"/>
          <w:sz w:val="8"/>
          <w:szCs w:val="8"/>
        </w:rPr>
        <w:t>,</w:t>
      </w:r>
      <w:r w:rsidRPr="0082022E">
        <w:rPr>
          <w:rFonts w:cs="Arial"/>
          <w:spacing w:val="-4"/>
          <w:sz w:val="8"/>
          <w:szCs w:val="8"/>
        </w:rPr>
        <w:t xml:space="preserve"> O QUAL FOI </w:t>
      </w:r>
      <w:r w:rsidRPr="00755244">
        <w:rPr>
          <w:rFonts w:cs="Arial"/>
          <w:spacing w:val="-4"/>
          <w:sz w:val="8"/>
          <w:szCs w:val="8"/>
        </w:rPr>
        <w:t>REGISTRADO</w:t>
      </w:r>
      <w:r w:rsidRPr="0082022E">
        <w:rPr>
          <w:rFonts w:cs="Arial"/>
          <w:spacing w:val="-4"/>
          <w:sz w:val="8"/>
          <w:szCs w:val="8"/>
        </w:rPr>
        <w:t xml:space="preserve"> NA JUNTA COMERCIAL DO ESTADO DE SÃO PAULO (“</w:t>
      </w:r>
      <w:r w:rsidRPr="0082022E">
        <w:rPr>
          <w:rFonts w:cs="Arial"/>
          <w:b/>
          <w:spacing w:val="-4"/>
          <w:sz w:val="8"/>
          <w:szCs w:val="8"/>
          <w:u w:val="single"/>
        </w:rPr>
        <w:t>JUCESP</w:t>
      </w:r>
      <w:r w:rsidRPr="0082022E">
        <w:rPr>
          <w:rFonts w:cs="Arial"/>
          <w:spacing w:val="-4"/>
          <w:sz w:val="8"/>
          <w:szCs w:val="8"/>
        </w:rPr>
        <w:t>” E “</w:t>
      </w:r>
      <w:r w:rsidRPr="0082022E">
        <w:rPr>
          <w:rFonts w:cs="Arial"/>
          <w:b/>
          <w:bCs/>
          <w:spacing w:val="-4"/>
          <w:sz w:val="8"/>
          <w:szCs w:val="8"/>
          <w:u w:val="single"/>
        </w:rPr>
        <w:t>ESCRITURA DE EMISSÃO</w:t>
      </w:r>
      <w:r w:rsidRPr="0082022E">
        <w:rPr>
          <w:rFonts w:cs="Arial"/>
          <w:spacing w:val="-4"/>
          <w:sz w:val="8"/>
          <w:szCs w:val="8"/>
        </w:rPr>
        <w:t xml:space="preserve">”, RESPECTIVAMENTE) EM </w:t>
      </w:r>
      <w:r w:rsidRPr="00755244">
        <w:rPr>
          <w:rFonts w:cs="Arial"/>
          <w:spacing w:val="-4"/>
          <w:sz w:val="8"/>
          <w:szCs w:val="8"/>
        </w:rPr>
        <w:t>20 DE DEZEMBRO DE 2021, SOB O Nº ED004311-4/000</w:t>
      </w:r>
      <w:r w:rsidRPr="0082022E">
        <w:rPr>
          <w:rFonts w:cs="Arial"/>
          <w:spacing w:val="-4"/>
          <w:sz w:val="8"/>
          <w:szCs w:val="8"/>
        </w:rPr>
        <w:t>, DE ACORDO COM O INCISO II DO ARTIGO 62 DA LEI DAS SOCIEDADES POR AÇÕES (CONFORME ABAIXO DEFINIDA). A ESCRITURA DE EMISSÃO FOI ADITADA PELO “PRIMEIRO ADITAMENTO AO INSTRUMENTO PARTICULAR DE ESCRITURA DA 4ª (QUARTA) EMISSÃO DE DEBÊNTURES SIMPLES, NÃO CONVERSÍVEIS EM AÇÕES, DA ESPÉCIE QUIROGRAFÁRIA, EM DUAS SÉRIES, PARA DISTRIBUIÇÃO PÚBLICA, DA SÃO MARTINHO S.A.” (“</w:t>
      </w:r>
      <w:r w:rsidRPr="0082022E">
        <w:rPr>
          <w:rFonts w:cs="Arial"/>
          <w:b/>
          <w:bCs/>
          <w:spacing w:val="-4"/>
          <w:sz w:val="8"/>
          <w:szCs w:val="8"/>
          <w:u w:val="single"/>
        </w:rPr>
        <w:t>PRIMEIRO ADITAMENTO À ESCRITURA DE EMISSÃO</w:t>
      </w:r>
      <w:r w:rsidRPr="0082022E">
        <w:rPr>
          <w:rFonts w:cs="Arial"/>
          <w:spacing w:val="-4"/>
          <w:sz w:val="8"/>
          <w:szCs w:val="8"/>
        </w:rPr>
        <w:t xml:space="preserve">”) DE MODO A RATIFICAR O RESULTADO DO PROCEDIMENTO DE </w:t>
      </w:r>
      <w:r w:rsidRPr="0082022E">
        <w:rPr>
          <w:rFonts w:cs="Arial"/>
          <w:i/>
          <w:iCs/>
          <w:spacing w:val="-4"/>
          <w:sz w:val="8"/>
          <w:szCs w:val="8"/>
        </w:rPr>
        <w:t>BOOKBUILDING</w:t>
      </w:r>
      <w:r w:rsidRPr="0082022E">
        <w:rPr>
          <w:rFonts w:cs="Arial"/>
          <w:spacing w:val="-4"/>
          <w:sz w:val="8"/>
          <w:szCs w:val="8"/>
        </w:rPr>
        <w:t xml:space="preserve">, O QUAL DEFINIU A TAXA FINAL DA REMUNERAÇÃO E A QUANTIDADE DE DEBÊNTURES EFETIVAMENTE EMITIDA, EM RAZÃO DO EXERCÍCIO, DA </w:t>
      </w:r>
      <w:r>
        <w:rPr>
          <w:rFonts w:cs="Arial"/>
          <w:spacing w:val="-4"/>
          <w:sz w:val="8"/>
          <w:szCs w:val="8"/>
        </w:rPr>
        <w:t>OPÇÃO DA COLOCAÇÃO DAS</w:t>
      </w:r>
      <w:r w:rsidRPr="0082022E">
        <w:rPr>
          <w:rFonts w:cs="Arial"/>
          <w:spacing w:val="-4"/>
          <w:sz w:val="8"/>
          <w:szCs w:val="8"/>
        </w:rPr>
        <w:t xml:space="preserve"> DEBÊNTURES ADICIONAIS, NOS TERMOS E CONDIÇÕES APROVADOS NA RCA (CONFORME DEFINIDO NESTE PROSPECTO), E, PORTANTO, SEM NECESSIDADE DE NOVA APROVAÇÃO SOCIETÁRIA PELA EMISSORA. O PRIMEIRO ADITAMENTO À ESCRITURA DE EMISSÃO FOI </w:t>
      </w:r>
      <w:r>
        <w:rPr>
          <w:rFonts w:cs="Arial"/>
          <w:spacing w:val="-4"/>
          <w:sz w:val="8"/>
          <w:szCs w:val="8"/>
        </w:rPr>
        <w:t>INSCRITO</w:t>
      </w:r>
      <w:r w:rsidRPr="0082022E">
        <w:rPr>
          <w:rFonts w:cs="Arial"/>
          <w:spacing w:val="-4"/>
          <w:sz w:val="8"/>
          <w:szCs w:val="8"/>
        </w:rPr>
        <w:t xml:space="preserve"> NA JUCESP EM </w:t>
      </w:r>
      <w:r w:rsidR="00C80BEC">
        <w:rPr>
          <w:rFonts w:cs="Arial"/>
          <w:spacing w:val="-4"/>
          <w:sz w:val="8"/>
          <w:szCs w:val="8"/>
        </w:rPr>
        <w:t>24</w:t>
      </w:r>
      <w:r w:rsidR="00C80BEC" w:rsidRPr="0082022E">
        <w:rPr>
          <w:rFonts w:cs="Arial"/>
          <w:spacing w:val="-4"/>
          <w:sz w:val="8"/>
          <w:szCs w:val="8"/>
        </w:rPr>
        <w:t xml:space="preserve"> </w:t>
      </w:r>
      <w:r w:rsidRPr="0082022E">
        <w:rPr>
          <w:rFonts w:cs="Arial"/>
          <w:spacing w:val="-4"/>
          <w:sz w:val="8"/>
          <w:szCs w:val="8"/>
        </w:rPr>
        <w:t xml:space="preserve">DE </w:t>
      </w:r>
      <w:r w:rsidR="00C80BEC">
        <w:rPr>
          <w:rFonts w:cs="Arial"/>
          <w:spacing w:val="-4"/>
          <w:sz w:val="8"/>
          <w:szCs w:val="8"/>
        </w:rPr>
        <w:t>FEVEREIRO</w:t>
      </w:r>
      <w:r w:rsidR="00C80BEC" w:rsidRPr="0082022E">
        <w:rPr>
          <w:rFonts w:cs="Arial"/>
          <w:spacing w:val="-4"/>
          <w:sz w:val="8"/>
          <w:szCs w:val="8"/>
        </w:rPr>
        <w:t xml:space="preserve"> </w:t>
      </w:r>
      <w:r w:rsidRPr="0082022E">
        <w:rPr>
          <w:rFonts w:cs="Arial"/>
          <w:spacing w:val="-4"/>
          <w:sz w:val="8"/>
          <w:szCs w:val="8"/>
        </w:rPr>
        <w:t xml:space="preserve">DE 2022, SOB O N º </w:t>
      </w:r>
      <w:r w:rsidR="00C80BEC">
        <w:rPr>
          <w:rFonts w:cs="Arial"/>
          <w:spacing w:val="-4"/>
          <w:sz w:val="8"/>
          <w:szCs w:val="8"/>
        </w:rPr>
        <w:t>AD004311-4/001</w:t>
      </w:r>
      <w:r w:rsidR="00C80BEC" w:rsidRPr="0082022E">
        <w:rPr>
          <w:rFonts w:cs="Arial"/>
          <w:spacing w:val="-4"/>
          <w:sz w:val="8"/>
          <w:szCs w:val="8"/>
        </w:rPr>
        <w:t>.</w:t>
      </w:r>
    </w:p>
    <w:p w14:paraId="4AB34ABC" w14:textId="77777777" w:rsidR="00D66E5B" w:rsidRPr="00566CD3" w:rsidRDefault="00EC5D6F" w:rsidP="000E7F05">
      <w:pPr>
        <w:spacing w:after="40"/>
        <w:jc w:val="both"/>
        <w:rPr>
          <w:spacing w:val="-6"/>
          <w:sz w:val="8"/>
        </w:rPr>
      </w:pPr>
      <w:r w:rsidRPr="00566CD3">
        <w:rPr>
          <w:spacing w:val="-6"/>
          <w:sz w:val="8"/>
        </w:rPr>
        <w:t xml:space="preserve">A ESCRITURA DE EMISSÃO FOI CELEBRADA COM BASE NAS DELIBERAÇÕES TOMADAS PELO CONSELHO DE ADMINISTRAÇÃO DA EMISSORA, EM REUNIÃO REALIZADA EM </w:t>
      </w:r>
      <w:r w:rsidR="00D66E5B" w:rsidRPr="00566CD3">
        <w:rPr>
          <w:spacing w:val="-6"/>
          <w:sz w:val="8"/>
        </w:rPr>
        <w:t>13</w:t>
      </w:r>
      <w:r w:rsidRPr="00566CD3">
        <w:rPr>
          <w:spacing w:val="-6"/>
          <w:sz w:val="8"/>
        </w:rPr>
        <w:t xml:space="preserve"> DE </w:t>
      </w:r>
      <w:r w:rsidR="00D66E5B" w:rsidRPr="00566CD3">
        <w:rPr>
          <w:spacing w:val="-6"/>
          <w:sz w:val="8"/>
        </w:rPr>
        <w:t>DEZEMBRO</w:t>
      </w:r>
      <w:r w:rsidRPr="00566CD3">
        <w:rPr>
          <w:spacing w:val="-6"/>
          <w:sz w:val="8"/>
        </w:rPr>
        <w:t xml:space="preserve"> DE </w:t>
      </w:r>
      <w:r w:rsidR="00D66E5B" w:rsidRPr="00566CD3">
        <w:rPr>
          <w:spacing w:val="-6"/>
          <w:sz w:val="8"/>
        </w:rPr>
        <w:t xml:space="preserve">2021 </w:t>
      </w:r>
      <w:r w:rsidRPr="00566CD3">
        <w:rPr>
          <w:spacing w:val="-6"/>
          <w:sz w:val="8"/>
        </w:rPr>
        <w:t>(“</w:t>
      </w:r>
      <w:r w:rsidRPr="00566CD3">
        <w:rPr>
          <w:b/>
          <w:spacing w:val="-6"/>
          <w:sz w:val="8"/>
          <w:u w:val="single"/>
        </w:rPr>
        <w:t>RCA</w:t>
      </w:r>
      <w:r w:rsidRPr="00566CD3">
        <w:rPr>
          <w:spacing w:val="-6"/>
          <w:sz w:val="8"/>
        </w:rPr>
        <w:t>”), NA QUAL FORAM DELIBERADOS E APROVADOS OS TERMOS E CONDIÇÕES DA EMISSÃO DE DEBÊNTURES, NOS TERMOS DO ARTIGO 59, PARÁGRAFO 1º, DA LEI Nº 6.404, DE 15 DE DEZEMBRO DE 1976, CONFORME ALTERADA (“</w:t>
      </w:r>
      <w:r w:rsidRPr="00566CD3">
        <w:rPr>
          <w:b/>
          <w:spacing w:val="-6"/>
          <w:sz w:val="8"/>
          <w:u w:val="single"/>
        </w:rPr>
        <w:t>LEI DAS SOCIEDADES POR AÇÕES</w:t>
      </w:r>
      <w:r w:rsidRPr="00566CD3">
        <w:rPr>
          <w:spacing w:val="-6"/>
          <w:sz w:val="8"/>
        </w:rPr>
        <w:t>”), E DA LEI Nº 12.431, DE 24 DE JUNHO DE 2011, CONFORME ALTERADA (“</w:t>
      </w:r>
      <w:r w:rsidRPr="00566CD3">
        <w:rPr>
          <w:b/>
          <w:spacing w:val="-6"/>
          <w:sz w:val="8"/>
          <w:u w:val="single"/>
        </w:rPr>
        <w:t>LEI 12.431</w:t>
      </w:r>
      <w:r w:rsidRPr="00566CD3">
        <w:rPr>
          <w:spacing w:val="-6"/>
          <w:sz w:val="8"/>
        </w:rPr>
        <w:t>”), AS QUAIS SERÃO OBJETO DE DISTRIBUIÇÃO PÚBLICA, NOS TERMOS DA LEI Nº 6.385, DE 7 DE DEZEMBRO DE 1976, CONFORME ALTERADA (“</w:t>
      </w:r>
      <w:r w:rsidRPr="00566CD3">
        <w:rPr>
          <w:b/>
          <w:spacing w:val="-6"/>
          <w:sz w:val="8"/>
          <w:u w:val="single"/>
        </w:rPr>
        <w:t>LEI DO MERCADO DE VALORES MOBILIÁRIOS</w:t>
      </w:r>
      <w:r w:rsidRPr="00566CD3">
        <w:rPr>
          <w:spacing w:val="-6"/>
          <w:sz w:val="8"/>
        </w:rPr>
        <w:t xml:space="preserve">”), DA INSTRUÇÃO CVM 400, BEM COMO DAS DEMAIS DISPOSIÇÕES LEGAIS E REGULAMENTARES APLICÁVEIS. A ATA DA RCA QUE DELIBEROU A EMISSÃO E A OFERTA </w:t>
      </w:r>
      <w:r w:rsidR="001F6E15" w:rsidRPr="00566CD3">
        <w:rPr>
          <w:spacing w:val="-6"/>
          <w:sz w:val="8"/>
        </w:rPr>
        <w:t xml:space="preserve">FOI </w:t>
      </w:r>
      <w:r w:rsidR="00E07D42" w:rsidRPr="00566CD3">
        <w:rPr>
          <w:spacing w:val="-6"/>
          <w:sz w:val="8"/>
        </w:rPr>
        <w:t>REGISTRADA</w:t>
      </w:r>
      <w:r w:rsidRPr="00566CD3">
        <w:rPr>
          <w:spacing w:val="-6"/>
          <w:sz w:val="8"/>
        </w:rPr>
        <w:t xml:space="preserve"> NA </w:t>
      </w:r>
      <w:r w:rsidR="00DE3F47" w:rsidRPr="00566CD3">
        <w:rPr>
          <w:spacing w:val="-6"/>
          <w:sz w:val="8"/>
        </w:rPr>
        <w:t>JUCESP</w:t>
      </w:r>
      <w:r w:rsidR="001F6E15" w:rsidRPr="00566CD3">
        <w:rPr>
          <w:spacing w:val="-6"/>
          <w:sz w:val="8"/>
        </w:rPr>
        <w:t xml:space="preserve"> EM </w:t>
      </w:r>
      <w:r w:rsidR="00E07D42" w:rsidRPr="00566CD3">
        <w:rPr>
          <w:spacing w:val="-6"/>
          <w:sz w:val="8"/>
        </w:rPr>
        <w:t>20</w:t>
      </w:r>
      <w:r w:rsidR="001F6E15" w:rsidRPr="00566CD3">
        <w:rPr>
          <w:spacing w:val="-6"/>
          <w:sz w:val="8"/>
        </w:rPr>
        <w:t xml:space="preserve"> DE DEZEMBRO DE 2021, SOB O Nº </w:t>
      </w:r>
      <w:r w:rsidR="00E07D42" w:rsidRPr="00566CD3">
        <w:rPr>
          <w:spacing w:val="-6"/>
          <w:sz w:val="8"/>
        </w:rPr>
        <w:t>596.724</w:t>
      </w:r>
      <w:r w:rsidR="001F6E15" w:rsidRPr="00566CD3">
        <w:rPr>
          <w:spacing w:val="-6"/>
          <w:sz w:val="8"/>
        </w:rPr>
        <w:t>/21-</w:t>
      </w:r>
      <w:r w:rsidR="00E07D42" w:rsidRPr="00566CD3">
        <w:rPr>
          <w:spacing w:val="-6"/>
          <w:sz w:val="8"/>
        </w:rPr>
        <w:t>4</w:t>
      </w:r>
      <w:r w:rsidR="001F6E15" w:rsidRPr="00566CD3">
        <w:rPr>
          <w:spacing w:val="-6"/>
          <w:sz w:val="8"/>
        </w:rPr>
        <w:t xml:space="preserve">-5 E </w:t>
      </w:r>
      <w:r w:rsidR="005751BD" w:rsidRPr="00566CD3">
        <w:rPr>
          <w:spacing w:val="-6"/>
          <w:sz w:val="8"/>
        </w:rPr>
        <w:t>FOI</w:t>
      </w:r>
      <w:r w:rsidRPr="00566CD3">
        <w:rPr>
          <w:spacing w:val="-6"/>
          <w:sz w:val="8"/>
        </w:rPr>
        <w:t xml:space="preserve"> PUBLICADA NO </w:t>
      </w:r>
      <w:r w:rsidRPr="00566CD3">
        <w:rPr>
          <w:b/>
          <w:spacing w:val="-6"/>
          <w:sz w:val="8"/>
        </w:rPr>
        <w:t>(I)</w:t>
      </w:r>
      <w:r w:rsidRPr="00566CD3">
        <w:rPr>
          <w:spacing w:val="-6"/>
          <w:sz w:val="8"/>
        </w:rPr>
        <w:t> </w:t>
      </w:r>
      <w:r w:rsidR="00D66E5B" w:rsidRPr="00566CD3">
        <w:rPr>
          <w:spacing w:val="-6"/>
          <w:sz w:val="8"/>
        </w:rPr>
        <w:t>DIÁRIO OFICIAL DO ESTADO DE SÃO PAULO (“</w:t>
      </w:r>
      <w:r w:rsidR="00D66E5B" w:rsidRPr="00566CD3">
        <w:rPr>
          <w:b/>
          <w:spacing w:val="-6"/>
          <w:sz w:val="8"/>
          <w:u w:val="single"/>
        </w:rPr>
        <w:t>DOESP</w:t>
      </w:r>
      <w:r w:rsidR="00D66E5B" w:rsidRPr="00566CD3">
        <w:rPr>
          <w:spacing w:val="-6"/>
          <w:sz w:val="8"/>
        </w:rPr>
        <w:t>”)</w:t>
      </w:r>
      <w:r w:rsidR="005751BD" w:rsidRPr="00566CD3">
        <w:rPr>
          <w:spacing w:val="-6"/>
          <w:sz w:val="8"/>
        </w:rPr>
        <w:t xml:space="preserve"> </w:t>
      </w:r>
      <w:r w:rsidR="00D66E5B" w:rsidRPr="00566CD3">
        <w:rPr>
          <w:spacing w:val="-6"/>
          <w:sz w:val="8"/>
        </w:rPr>
        <w:t xml:space="preserve">; </w:t>
      </w:r>
      <w:r w:rsidRPr="00566CD3">
        <w:rPr>
          <w:spacing w:val="-6"/>
          <w:sz w:val="8"/>
        </w:rPr>
        <w:t xml:space="preserve">E </w:t>
      </w:r>
      <w:r w:rsidRPr="00566CD3">
        <w:rPr>
          <w:b/>
          <w:spacing w:val="-6"/>
          <w:sz w:val="8"/>
        </w:rPr>
        <w:t>(II)</w:t>
      </w:r>
      <w:r w:rsidRPr="00566CD3">
        <w:rPr>
          <w:spacing w:val="-6"/>
          <w:sz w:val="8"/>
        </w:rPr>
        <w:t xml:space="preserve"> NO JORNAL </w:t>
      </w:r>
      <w:r w:rsidR="00D66E5B" w:rsidRPr="00566CD3">
        <w:rPr>
          <w:spacing w:val="-6"/>
          <w:sz w:val="8"/>
        </w:rPr>
        <w:t xml:space="preserve">“VALOR ECONÔMICO”, </w:t>
      </w:r>
      <w:r w:rsidR="002B703F" w:rsidRPr="00566CD3">
        <w:rPr>
          <w:spacing w:val="-6"/>
          <w:sz w:val="8"/>
        </w:rPr>
        <w:t xml:space="preserve">EM 14 DE DEZEMBRO DE 2021, </w:t>
      </w:r>
      <w:r w:rsidRPr="00566CD3">
        <w:rPr>
          <w:spacing w:val="-6"/>
          <w:sz w:val="8"/>
        </w:rPr>
        <w:t>EM ATENDIMENTO AO DISPOSTO NO INCISO I DO ARTIGO 62 E NO ARTIGO 289 DA LEI DAS SOCIEDADES POR AÇÕES.</w:t>
      </w:r>
      <w:bookmarkEnd w:id="3"/>
      <w:r w:rsidRPr="00566CD3">
        <w:rPr>
          <w:spacing w:val="-6"/>
          <w:sz w:val="8"/>
        </w:rPr>
        <w:t xml:space="preserve"> </w:t>
      </w:r>
    </w:p>
    <w:p w14:paraId="5B46EA3C" w14:textId="77777777" w:rsidR="00D66E5B" w:rsidRPr="00566CD3" w:rsidRDefault="00EC5D6F" w:rsidP="000E7F05">
      <w:pPr>
        <w:spacing w:after="40"/>
        <w:jc w:val="both"/>
        <w:rPr>
          <w:b/>
          <w:spacing w:val="-6"/>
          <w:sz w:val="8"/>
        </w:rPr>
      </w:pPr>
      <w:r w:rsidRPr="00566CD3">
        <w:rPr>
          <w:b/>
          <w:spacing w:val="-6"/>
          <w:sz w:val="8"/>
        </w:rPr>
        <w:t>AS DEBÊNTURES CONTARÃO COM O INCENTIVO PREVISTO NO ARTIGO 2º DA LEI 12.431, DO DECRETO Nº 8.874, DE 11 DE OUTUBRO DE 2016 (“</w:t>
      </w:r>
      <w:r w:rsidRPr="00566CD3">
        <w:rPr>
          <w:b/>
          <w:spacing w:val="-6"/>
          <w:sz w:val="8"/>
          <w:u w:val="single"/>
        </w:rPr>
        <w:t>DECRETO 8.874</w:t>
      </w:r>
      <w:r w:rsidRPr="00566CD3">
        <w:rPr>
          <w:b/>
          <w:spacing w:val="-6"/>
          <w:sz w:val="8"/>
        </w:rPr>
        <w:t>”), DA RESOLUÇÃO DO CONSELHO MONETÁRIO NACIONAL (“</w:t>
      </w:r>
      <w:r w:rsidRPr="00566CD3">
        <w:rPr>
          <w:b/>
          <w:spacing w:val="-6"/>
          <w:sz w:val="8"/>
          <w:u w:val="single"/>
        </w:rPr>
        <w:t>CMN</w:t>
      </w:r>
      <w:r w:rsidRPr="00566CD3">
        <w:rPr>
          <w:b/>
          <w:spacing w:val="-6"/>
          <w:sz w:val="8"/>
        </w:rPr>
        <w:t>”) Nº 3.947, DE 27 DE JANEIRO DE 2011 (“</w:t>
      </w:r>
      <w:r w:rsidRPr="00566CD3">
        <w:rPr>
          <w:b/>
          <w:spacing w:val="-6"/>
          <w:sz w:val="8"/>
          <w:u w:val="single"/>
        </w:rPr>
        <w:t>RESOLUÇÃO CMN 3.947</w:t>
      </w:r>
      <w:r w:rsidRPr="00566CD3">
        <w:rPr>
          <w:b/>
          <w:spacing w:val="-6"/>
          <w:sz w:val="8"/>
        </w:rPr>
        <w:t xml:space="preserve">”) E DA REGULAMENTAÇÃO APLICÁVEL, SENDO OS RECURSOS LÍQUIDOS CAPTADOS POR MEIO DA EMISSÃO DAS DEBÊNTURES APLICADOS NOS PROJETOS ENQUADRADOS COMO PRIORITÁRIOS, NOS TERMOS DAS PORTARIAS </w:t>
      </w:r>
      <w:r w:rsidR="008C44CA" w:rsidRPr="00566CD3">
        <w:rPr>
          <w:b/>
          <w:spacing w:val="-6"/>
          <w:sz w:val="8"/>
        </w:rPr>
        <w:t>DO MINISTÉRIO DE MINAS E ENERGIA</w:t>
      </w:r>
      <w:r w:rsidRPr="00566CD3">
        <w:rPr>
          <w:b/>
          <w:spacing w:val="-6"/>
          <w:sz w:val="8"/>
        </w:rPr>
        <w:t xml:space="preserve"> (CONFORME DEFINIDO ABAIXO E, EM CONJUNTO, “</w:t>
      </w:r>
      <w:r w:rsidRPr="00566CD3">
        <w:rPr>
          <w:b/>
          <w:spacing w:val="-6"/>
          <w:sz w:val="8"/>
          <w:u w:val="single"/>
        </w:rPr>
        <w:t>PROJETOS</w:t>
      </w:r>
      <w:r w:rsidR="00D66E5B" w:rsidRPr="00566CD3">
        <w:rPr>
          <w:b/>
          <w:spacing w:val="-6"/>
          <w:sz w:val="8"/>
          <w:u w:val="single"/>
        </w:rPr>
        <w:t xml:space="preserve"> DE INVESTIMENTO</w:t>
      </w:r>
      <w:r w:rsidRPr="00566CD3">
        <w:rPr>
          <w:b/>
          <w:spacing w:val="-6"/>
          <w:sz w:val="8"/>
        </w:rPr>
        <w:t xml:space="preserve">”). </w:t>
      </w:r>
    </w:p>
    <w:p w14:paraId="4A94D4C4" w14:textId="21077F33" w:rsidR="00D66E5B" w:rsidRPr="00566CD3" w:rsidRDefault="00A37C53" w:rsidP="000E7F05">
      <w:pPr>
        <w:spacing w:after="40"/>
        <w:jc w:val="both"/>
        <w:rPr>
          <w:b/>
          <w:spacing w:val="-6"/>
          <w:sz w:val="8"/>
        </w:rPr>
      </w:pPr>
      <w:r w:rsidRPr="00566CD3">
        <w:rPr>
          <w:b/>
          <w:spacing w:val="-6"/>
          <w:sz w:val="8"/>
        </w:rPr>
        <w:t>NOS TERMOS DA LEI 12.431, OS PROJETOS DE INVESTIMENTO ESTÃO DEVIDAMENTE ENQUADRADOS, EM CARÁTER PRIORITÁRIO, NOS TERMOS DAS PORTARIAS DO MINISTÉRIO DE MINAS E ENERGIA (“</w:t>
      </w:r>
      <w:r w:rsidRPr="00566CD3">
        <w:rPr>
          <w:b/>
          <w:spacing w:val="-6"/>
          <w:sz w:val="8"/>
          <w:u w:val="single"/>
        </w:rPr>
        <w:t>MME</w:t>
      </w:r>
      <w:r w:rsidRPr="00566CD3">
        <w:rPr>
          <w:b/>
          <w:spacing w:val="-6"/>
          <w:sz w:val="8"/>
        </w:rPr>
        <w:t>”) (I)</w:t>
      </w:r>
      <w:r w:rsidRPr="00566CD3">
        <w:rPr>
          <w:spacing w:val="-6"/>
          <w:sz w:val="8"/>
        </w:rPr>
        <w:t xml:space="preserve"> </w:t>
      </w:r>
      <w:r w:rsidRPr="00566CD3">
        <w:rPr>
          <w:b/>
          <w:spacing w:val="-6"/>
          <w:sz w:val="8"/>
        </w:rPr>
        <w:t>PORTARIA Nº 21, 04 DE MAIO DE 2021 (“</w:t>
      </w:r>
      <w:r w:rsidRPr="00566CD3">
        <w:rPr>
          <w:b/>
          <w:spacing w:val="-6"/>
          <w:sz w:val="8"/>
          <w:u w:val="single"/>
        </w:rPr>
        <w:t>PORTARIA Nº 21</w:t>
      </w:r>
      <w:r w:rsidRPr="00566CD3">
        <w:rPr>
          <w:b/>
          <w:spacing w:val="-6"/>
          <w:sz w:val="8"/>
        </w:rPr>
        <w:t>”); E (II) PORTARIA Nº 35/SPG/MME, DE 18 DE OUTUBRO DE 2021 (“</w:t>
      </w:r>
      <w:r w:rsidRPr="00566CD3">
        <w:rPr>
          <w:b/>
          <w:spacing w:val="-6"/>
          <w:sz w:val="8"/>
          <w:u w:val="single"/>
        </w:rPr>
        <w:t>PORTARIA Nº 35</w:t>
      </w:r>
      <w:r w:rsidRPr="00566CD3">
        <w:rPr>
          <w:b/>
          <w:spacing w:val="-6"/>
          <w:sz w:val="8"/>
        </w:rPr>
        <w:t>” E, EM CONJUNTO COM A PORTARIA Nº 21, AS “</w:t>
      </w:r>
      <w:r w:rsidRPr="00566CD3">
        <w:rPr>
          <w:b/>
          <w:spacing w:val="-6"/>
          <w:sz w:val="8"/>
          <w:u w:val="single"/>
        </w:rPr>
        <w:t>PORTARIAS DO MINISTÉRIO DE MINAS E ENERGIA</w:t>
      </w:r>
      <w:r w:rsidRPr="00566CD3">
        <w:rPr>
          <w:b/>
          <w:spacing w:val="-6"/>
          <w:sz w:val="8"/>
        </w:rPr>
        <w:t xml:space="preserve">”). PARA MAIS INFORMAÇÕES SOBRE O PROJETO E A DESTINAÇÃO DOS RECURSOS DAS DEBÊNTURES, VEJA A SEÇÃO “DESTINAÇÃO DOS RECURSOS”, NA PÁGINA </w:t>
      </w:r>
      <w:r w:rsidR="00DF1B9F" w:rsidRPr="00566CD3">
        <w:rPr>
          <w:rFonts w:cs="Arial"/>
          <w:b/>
          <w:bCs/>
          <w:spacing w:val="-6"/>
          <w:sz w:val="8"/>
          <w:szCs w:val="8"/>
        </w:rPr>
        <w:fldChar w:fldCharType="begin"/>
      </w:r>
      <w:r w:rsidR="00DF1B9F" w:rsidRPr="00566CD3">
        <w:rPr>
          <w:b/>
          <w:spacing w:val="-6"/>
          <w:sz w:val="8"/>
        </w:rPr>
        <w:instrText xml:space="preserve"> PAGEREF _Ref90229361 \h </w:instrText>
      </w:r>
      <w:r w:rsidR="00DF1B9F" w:rsidRPr="00566CD3">
        <w:rPr>
          <w:rFonts w:cs="Arial"/>
          <w:b/>
          <w:bCs/>
          <w:spacing w:val="-6"/>
          <w:sz w:val="8"/>
          <w:szCs w:val="8"/>
        </w:rPr>
      </w:r>
      <w:r w:rsidR="00DF1B9F" w:rsidRPr="00566CD3">
        <w:rPr>
          <w:rFonts w:cs="Arial"/>
          <w:b/>
          <w:bCs/>
          <w:spacing w:val="-6"/>
          <w:sz w:val="8"/>
          <w:szCs w:val="8"/>
        </w:rPr>
        <w:fldChar w:fldCharType="separate"/>
      </w:r>
      <w:r w:rsidR="001166EA">
        <w:rPr>
          <w:b/>
          <w:noProof/>
          <w:spacing w:val="-6"/>
          <w:sz w:val="8"/>
        </w:rPr>
        <w:t>145</w:t>
      </w:r>
      <w:r w:rsidR="00DF1B9F" w:rsidRPr="00566CD3">
        <w:rPr>
          <w:rFonts w:cs="Arial"/>
          <w:b/>
          <w:bCs/>
          <w:spacing w:val="-6"/>
          <w:sz w:val="8"/>
          <w:szCs w:val="8"/>
        </w:rPr>
        <w:fldChar w:fldCharType="end"/>
      </w:r>
      <w:r w:rsidRPr="00566CD3">
        <w:rPr>
          <w:b/>
          <w:spacing w:val="-6"/>
          <w:sz w:val="8"/>
        </w:rPr>
        <w:t xml:space="preserve"> DESTE PROSPECTO. </w:t>
      </w:r>
    </w:p>
    <w:p w14:paraId="4AB33C4B" w14:textId="77777777" w:rsidR="007226FE" w:rsidRPr="00566CD3" w:rsidRDefault="00EC5D6F" w:rsidP="000E7F05">
      <w:pPr>
        <w:spacing w:after="40"/>
        <w:jc w:val="both"/>
        <w:rPr>
          <w:b/>
          <w:spacing w:val="-6"/>
          <w:sz w:val="8"/>
        </w:rPr>
      </w:pPr>
      <w:r w:rsidRPr="00566CD3">
        <w:rPr>
          <w:b/>
          <w:spacing w:val="-6"/>
          <w:sz w:val="8"/>
        </w:rPr>
        <w:t>AS DEBÊNTURES CONTARÃO COM O INCENTIVO PREVISTO NO ARTIGO 2º DA LEI 12.431, DO DECRETO 8.874, DA RESOLUÇÃO CMN 3.947 OU DE NORMA POSTERIOR QUE AS ALTEREM, SUBSTITUAM OU COMPLEMENTEM, CONFORME APLICÁVEIS, SENDO OS RECURSOS LÍQUIDOS CAPTADOS COM AS DEBÊNTURES APLICADOS INTEGRALMENTE NOS PROJETOS</w:t>
      </w:r>
      <w:r w:rsidR="00A37C53" w:rsidRPr="00566CD3">
        <w:rPr>
          <w:b/>
          <w:spacing w:val="-6"/>
          <w:sz w:val="8"/>
        </w:rPr>
        <w:t xml:space="preserve"> DE INVESTIMENTO</w:t>
      </w:r>
      <w:r w:rsidRPr="00566CD3">
        <w:rPr>
          <w:b/>
          <w:spacing w:val="-6"/>
          <w:sz w:val="8"/>
        </w:rPr>
        <w:t>.</w:t>
      </w:r>
    </w:p>
    <w:p w14:paraId="591CE1F6" w14:textId="0E8BF7A3" w:rsidR="00A37C53" w:rsidRPr="00566CD3" w:rsidRDefault="0020727A" w:rsidP="000E7F05">
      <w:pPr>
        <w:spacing w:after="40"/>
        <w:jc w:val="both"/>
        <w:rPr>
          <w:b/>
          <w:spacing w:val="-6"/>
          <w:sz w:val="8"/>
        </w:rPr>
      </w:pPr>
      <w:r w:rsidRPr="00566CD3">
        <w:rPr>
          <w:b/>
          <w:spacing w:val="-6"/>
          <w:sz w:val="8"/>
        </w:rPr>
        <w:t>O INVESTIMENTO NAS DEBÊNTURES NÃO É ADEQUADO A INVESTIDORES QUE: (I) NÃO TENHAM PROFUNDO CONHECIMENTO DOS RISCOS ENVOLVIDOS NA OPERAÇÃO OU QUE NÃO TENHAM ACESSO À CONSULTORIA ESPECIALIZADA; (II) NECESSITEM DE LIQUIDEZ COM RELAÇÃO ÀS DEBÊNTURES A SEREM SUBSCRITAS, TENDO EM VISTA A POSSIBILIDADE DE SEREM PEQUENAS OU INEXISTENTES AS NEGOCIAÇÕES DAS DEBÊNTURES NO MERCADO SECUNDÁRIO; E/OU (III) NÃO ESTEJAM DISPOSTOS A CORRER O RISCO DE CRÉDITO DE EMPRESA DO SETOR PRIVADO E/OU DOS SETORES EM QUE A EMISSORA ATUA. PARA UMA AVALIAÇÃO ADEQUADA DOS RISCOS ASSOCIADOS AO INVESTIMENTO NAS DEBÊNTURES, OS INVESTIDORES DEVERÃO LER A SEÇÃO “FATORES DE RISCO RELACIONADOS À OFERTA E ÀS DEBÊNTURES”, NAS</w:t>
      </w:r>
      <w:r w:rsidR="00A37C53" w:rsidRPr="00566CD3">
        <w:rPr>
          <w:rFonts w:cs="Calibri"/>
          <w:b/>
          <w:bCs/>
          <w:spacing w:val="-6"/>
          <w:sz w:val="8"/>
          <w:szCs w:val="8"/>
          <w:rtl/>
        </w:rPr>
        <w:t xml:space="preserve"> </w:t>
      </w:r>
      <w:r w:rsidRPr="00566CD3">
        <w:rPr>
          <w:b/>
          <w:spacing w:val="-6"/>
          <w:sz w:val="8"/>
        </w:rPr>
        <w:t xml:space="preserve">PÁGINAS </w:t>
      </w:r>
      <w:r w:rsidR="00C8171D" w:rsidRPr="00566CD3">
        <w:rPr>
          <w:rFonts w:cs="Calibri"/>
          <w:b/>
          <w:bCs/>
          <w:spacing w:val="-6"/>
          <w:sz w:val="8"/>
          <w:szCs w:val="8"/>
        </w:rPr>
        <w:fldChar w:fldCharType="begin"/>
      </w:r>
      <w:r w:rsidR="00C8171D" w:rsidRPr="00566CD3">
        <w:rPr>
          <w:b/>
          <w:spacing w:val="-6"/>
          <w:sz w:val="8"/>
        </w:rPr>
        <w:instrText xml:space="preserve"> PAGEREF _Ref90046525 \h </w:instrText>
      </w:r>
      <w:r w:rsidR="00C8171D" w:rsidRPr="00566CD3">
        <w:rPr>
          <w:rFonts w:cs="Calibri"/>
          <w:b/>
          <w:bCs/>
          <w:spacing w:val="-6"/>
          <w:sz w:val="8"/>
          <w:szCs w:val="8"/>
        </w:rPr>
      </w:r>
      <w:r w:rsidR="00C8171D" w:rsidRPr="00566CD3">
        <w:rPr>
          <w:rFonts w:cs="Calibri"/>
          <w:b/>
          <w:bCs/>
          <w:spacing w:val="-6"/>
          <w:sz w:val="8"/>
          <w:szCs w:val="8"/>
        </w:rPr>
        <w:fldChar w:fldCharType="separate"/>
      </w:r>
      <w:r w:rsidR="001166EA">
        <w:rPr>
          <w:b/>
          <w:noProof/>
          <w:spacing w:val="-6"/>
          <w:sz w:val="8"/>
        </w:rPr>
        <w:t>128</w:t>
      </w:r>
      <w:r w:rsidR="00C8171D" w:rsidRPr="00566CD3">
        <w:rPr>
          <w:rFonts w:cs="Calibri"/>
          <w:b/>
          <w:bCs/>
          <w:spacing w:val="-6"/>
          <w:sz w:val="8"/>
          <w:szCs w:val="8"/>
        </w:rPr>
        <w:fldChar w:fldCharType="end"/>
      </w:r>
      <w:r w:rsidRPr="00566CD3">
        <w:rPr>
          <w:b/>
          <w:spacing w:val="-6"/>
          <w:sz w:val="8"/>
        </w:rPr>
        <w:t xml:space="preserve"> A </w:t>
      </w:r>
      <w:r w:rsidR="00137FB1" w:rsidRPr="00566CD3">
        <w:rPr>
          <w:rFonts w:cs="Calibri"/>
          <w:b/>
          <w:bCs/>
          <w:spacing w:val="-6"/>
          <w:sz w:val="8"/>
          <w:szCs w:val="8"/>
        </w:rPr>
        <w:fldChar w:fldCharType="begin"/>
      </w:r>
      <w:r w:rsidR="00137FB1" w:rsidRPr="00566CD3">
        <w:rPr>
          <w:b/>
          <w:spacing w:val="-6"/>
          <w:sz w:val="8"/>
        </w:rPr>
        <w:instrText xml:space="preserve"> PAGEREF fator_de_risco_taxa_subs \h </w:instrText>
      </w:r>
      <w:r w:rsidR="00137FB1" w:rsidRPr="00566CD3">
        <w:rPr>
          <w:rFonts w:cs="Calibri"/>
          <w:b/>
          <w:bCs/>
          <w:spacing w:val="-6"/>
          <w:sz w:val="8"/>
          <w:szCs w:val="8"/>
        </w:rPr>
      </w:r>
      <w:r w:rsidR="00137FB1" w:rsidRPr="00566CD3">
        <w:rPr>
          <w:rFonts w:cs="Calibri"/>
          <w:b/>
          <w:bCs/>
          <w:spacing w:val="-6"/>
          <w:sz w:val="8"/>
          <w:szCs w:val="8"/>
        </w:rPr>
        <w:fldChar w:fldCharType="separate"/>
      </w:r>
      <w:r w:rsidR="001166EA">
        <w:rPr>
          <w:b/>
          <w:noProof/>
          <w:spacing w:val="-6"/>
          <w:sz w:val="8"/>
        </w:rPr>
        <w:t>138</w:t>
      </w:r>
      <w:r w:rsidR="00137FB1" w:rsidRPr="00566CD3">
        <w:rPr>
          <w:rFonts w:cs="Calibri"/>
          <w:b/>
          <w:bCs/>
          <w:spacing w:val="-6"/>
          <w:sz w:val="8"/>
          <w:szCs w:val="8"/>
        </w:rPr>
        <w:fldChar w:fldCharType="end"/>
      </w:r>
      <w:r w:rsidRPr="00566CD3">
        <w:rPr>
          <w:b/>
          <w:spacing w:val="-6"/>
          <w:sz w:val="8"/>
        </w:rPr>
        <w:t xml:space="preserve"> DESTE PROSPECTO, BEM COMO O ITEM “4. FATORES DE RISCO” DO FORMULÁRIO DE REFERÊNCIA (CONFORME DEFINIDO NESTE PROSPECTO) DA EMISSORA ANTES DE ACEITAR A OFERTA.</w:t>
      </w:r>
    </w:p>
    <w:p w14:paraId="4415769B" w14:textId="0619962A" w:rsidR="00A37C53" w:rsidRPr="00566CD3" w:rsidRDefault="0020727A" w:rsidP="000E7F05">
      <w:pPr>
        <w:spacing w:after="40"/>
        <w:jc w:val="both"/>
        <w:rPr>
          <w:b/>
          <w:spacing w:val="-6"/>
          <w:sz w:val="8"/>
        </w:rPr>
      </w:pPr>
      <w:r w:rsidRPr="00566CD3">
        <w:rPr>
          <w:b/>
          <w:spacing w:val="-6"/>
          <w:sz w:val="8"/>
        </w:rPr>
        <w:t xml:space="preserve">ESTE PROSPECTO DEVE SER LIDO EM CONJUNTO COM AS INFORMAÇÕES APRESENTADAS NO FORMULÁRIO DE REFERÊNCIA, O QUAL FOI ELABORADO NOS TERMOS DA INSTRUÇÃO DA CVM Nº 480, DE 7 DE DEZEMBRO DE 2009, CONFORME ALTERADA, E COM AS DEMONSTRAÇÕES FINANCEIRAS E INFORMAÇÕES TRIMESTRAIS (ITR) DA EMISSORA, OS QUAIS SÃO INCORPORADOS POR REFERÊNCIA A ESTE PROSPECTO, PODENDO SER ENCONTRADOS NOS ENDEREÇOS INDICADOS NA SEÇÃO “DOCUMENTOS E INFORMAÇÕES INCORPORADOS A ESTE PROSPECTO POR REFERÊNCIA”, NA PÁGINA </w:t>
      </w:r>
      <w:r w:rsidR="00C8171D" w:rsidRPr="00566CD3">
        <w:rPr>
          <w:rFonts w:cs="Calibri"/>
          <w:b/>
          <w:bCs/>
          <w:spacing w:val="-6"/>
          <w:sz w:val="8"/>
          <w:szCs w:val="8"/>
        </w:rPr>
        <w:fldChar w:fldCharType="begin"/>
      </w:r>
      <w:r w:rsidR="00C8171D" w:rsidRPr="00566CD3">
        <w:rPr>
          <w:b/>
          <w:spacing w:val="-6"/>
          <w:sz w:val="8"/>
        </w:rPr>
        <w:instrText xml:space="preserve"> PAGEREF _Ref90046672 \h </w:instrText>
      </w:r>
      <w:r w:rsidR="00C8171D" w:rsidRPr="00566CD3">
        <w:rPr>
          <w:rFonts w:cs="Calibri"/>
          <w:b/>
          <w:bCs/>
          <w:spacing w:val="-6"/>
          <w:sz w:val="8"/>
          <w:szCs w:val="8"/>
        </w:rPr>
      </w:r>
      <w:r w:rsidR="00C8171D" w:rsidRPr="00566CD3">
        <w:rPr>
          <w:rFonts w:cs="Calibri"/>
          <w:b/>
          <w:bCs/>
          <w:spacing w:val="-6"/>
          <w:sz w:val="8"/>
          <w:szCs w:val="8"/>
        </w:rPr>
        <w:fldChar w:fldCharType="separate"/>
      </w:r>
      <w:r w:rsidR="001166EA">
        <w:rPr>
          <w:b/>
          <w:noProof/>
          <w:spacing w:val="-6"/>
          <w:sz w:val="8"/>
        </w:rPr>
        <w:t>33</w:t>
      </w:r>
      <w:r w:rsidR="00C8171D" w:rsidRPr="00566CD3">
        <w:rPr>
          <w:rFonts w:cs="Calibri"/>
          <w:b/>
          <w:bCs/>
          <w:spacing w:val="-6"/>
          <w:sz w:val="8"/>
          <w:szCs w:val="8"/>
        </w:rPr>
        <w:fldChar w:fldCharType="end"/>
      </w:r>
      <w:r w:rsidRPr="00566CD3">
        <w:rPr>
          <w:b/>
          <w:spacing w:val="-6"/>
          <w:sz w:val="8"/>
        </w:rPr>
        <w:t xml:space="preserve"> DESTE PROSPECTO.</w:t>
      </w:r>
    </w:p>
    <w:p w14:paraId="0673E2CB" w14:textId="77777777" w:rsidR="00A37C53" w:rsidRPr="00566CD3" w:rsidRDefault="0020727A" w:rsidP="000E7F05">
      <w:pPr>
        <w:spacing w:after="40"/>
        <w:jc w:val="both"/>
        <w:rPr>
          <w:rFonts w:cs="Calibri"/>
          <w:spacing w:val="-6"/>
          <w:sz w:val="8"/>
          <w:szCs w:val="8"/>
          <w:lang w:val="pt-PT"/>
        </w:rPr>
      </w:pPr>
      <w:r w:rsidRPr="00566CD3">
        <w:rPr>
          <w:spacing w:val="-6"/>
          <w:sz w:val="8"/>
        </w:rPr>
        <w:t xml:space="preserve">A OFERTA </w:t>
      </w:r>
      <w:r w:rsidR="000F6532" w:rsidRPr="00566CD3">
        <w:rPr>
          <w:spacing w:val="-6"/>
          <w:sz w:val="8"/>
        </w:rPr>
        <w:t>FOI</w:t>
      </w:r>
      <w:r w:rsidRPr="00566CD3">
        <w:rPr>
          <w:spacing w:val="-6"/>
          <w:sz w:val="8"/>
        </w:rPr>
        <w:t xml:space="preserve"> REGISTRADA NA CVM, NA FORMA E NOS TERMOS DA LEI DO MERCADO DE VALORES MOBILIÁRIOS E DA INSTRUÇÃO CVM 400. A OFERTA SERÁ REGISTRADA NA ASSOCIAÇÃO BRASILEIRA DAS ENTIDADES DOS MERCADOS FINANCEIRO E DE CAPITAIS (“</w:t>
      </w:r>
      <w:r w:rsidRPr="00566CD3">
        <w:rPr>
          <w:b/>
          <w:spacing w:val="-6"/>
          <w:sz w:val="8"/>
          <w:u w:val="single"/>
        </w:rPr>
        <w:t>ANBIMA</w:t>
      </w:r>
      <w:r w:rsidRPr="00566CD3">
        <w:rPr>
          <w:spacing w:val="-6"/>
          <w:sz w:val="8"/>
        </w:rPr>
        <w:t>”), NO PRAZO MÁXIMO DE 15 (QUINZE) DIAS, A CONTAR DA DATA DO ENCERRAMENTO DA OFERTA, NOS TERMOS DO ARTIGO 16 DO “</w:t>
      </w:r>
      <w:r w:rsidRPr="00566CD3">
        <w:rPr>
          <w:i/>
          <w:spacing w:val="-6"/>
          <w:sz w:val="8"/>
        </w:rPr>
        <w:t>CÓDIGO ANBIMA DE REGULAÇÃO E MELHORES PRÁTICAS PARA ESTRUTURAÇÃO, COORDENAÇÃO E DISTRIBUIÇÃO DE OFERTAS PÚBLICAS DE VALORES MOBILIÁRIOS E OFERTAS PÚBLICAS DE AQUISIÇÃO DE VALORES MOBILIÁRIOS</w:t>
      </w:r>
      <w:r w:rsidRPr="00566CD3">
        <w:rPr>
          <w:spacing w:val="-6"/>
          <w:sz w:val="8"/>
        </w:rPr>
        <w:t>”, CONFORME EM VIGOR (“</w:t>
      </w:r>
      <w:r w:rsidRPr="00566CD3">
        <w:rPr>
          <w:b/>
          <w:spacing w:val="-6"/>
          <w:sz w:val="8"/>
          <w:u w:val="single"/>
        </w:rPr>
        <w:t>CÓDIGO ANBIMA</w:t>
      </w:r>
      <w:r w:rsidRPr="00566CD3">
        <w:rPr>
          <w:spacing w:val="-6"/>
          <w:sz w:val="8"/>
        </w:rPr>
        <w:t>”).</w:t>
      </w:r>
    </w:p>
    <w:p w14:paraId="26D027FD" w14:textId="27544DB5" w:rsidR="00A37C53" w:rsidRPr="00566CD3" w:rsidRDefault="0020727A" w:rsidP="000E7F05">
      <w:pPr>
        <w:spacing w:after="40"/>
        <w:jc w:val="both"/>
        <w:rPr>
          <w:rFonts w:cs="Calibri"/>
          <w:spacing w:val="-6"/>
          <w:sz w:val="8"/>
          <w:szCs w:val="8"/>
          <w:lang w:val="pt-PT"/>
        </w:rPr>
      </w:pPr>
      <w:r w:rsidRPr="00566CD3">
        <w:rPr>
          <w:rFonts w:cs="Calibri"/>
          <w:spacing w:val="-6"/>
          <w:sz w:val="8"/>
          <w:szCs w:val="8"/>
          <w:lang w:val="pt-PT"/>
        </w:rPr>
        <w:t xml:space="preserve">ESTE PROSPECTO ESTÁ DISPONÍVEL NOS ENDEREÇOS E PÁGINAS DA REDE MUNDIAL DE COMPUTADORES DA CVM, DA </w:t>
      </w:r>
      <w:r w:rsidRPr="00566CD3">
        <w:rPr>
          <w:spacing w:val="-6"/>
          <w:sz w:val="8"/>
        </w:rPr>
        <w:t>B3</w:t>
      </w:r>
      <w:r w:rsidRPr="00566CD3">
        <w:rPr>
          <w:rFonts w:cs="Calibri"/>
          <w:spacing w:val="-6"/>
          <w:sz w:val="8"/>
          <w:szCs w:val="8"/>
          <w:lang w:val="pt-PT"/>
        </w:rPr>
        <w:t xml:space="preserve">, </w:t>
      </w:r>
      <w:r w:rsidR="00DB205D" w:rsidRPr="00566CD3">
        <w:rPr>
          <w:rFonts w:cs="Calibri"/>
          <w:spacing w:val="-6"/>
          <w:sz w:val="8"/>
          <w:szCs w:val="8"/>
          <w:lang w:val="pt-PT"/>
        </w:rPr>
        <w:t>DO COORDENADOR LÍDER</w:t>
      </w:r>
      <w:r w:rsidRPr="00566CD3">
        <w:rPr>
          <w:rFonts w:cs="Calibri"/>
          <w:spacing w:val="-6"/>
          <w:sz w:val="8"/>
          <w:szCs w:val="8"/>
          <w:lang w:val="pt-PT"/>
        </w:rPr>
        <w:t xml:space="preserve"> E DA EMISSORA, INDICADOS NA SEÇÃO “INFORMAÇÕES ADICIONAIS”, NA PÁGINA </w:t>
      </w:r>
      <w:r w:rsidR="00023029" w:rsidRPr="00566CD3">
        <w:rPr>
          <w:rFonts w:cs="Calibri"/>
          <w:spacing w:val="-6"/>
          <w:sz w:val="8"/>
          <w:szCs w:val="8"/>
        </w:rPr>
        <w:fldChar w:fldCharType="begin"/>
      </w:r>
      <w:r w:rsidR="00023029" w:rsidRPr="00566CD3">
        <w:rPr>
          <w:rFonts w:cs="Calibri"/>
          <w:spacing w:val="-6"/>
          <w:sz w:val="8"/>
          <w:szCs w:val="8"/>
          <w:lang w:val="pt-PT"/>
        </w:rPr>
        <w:instrText xml:space="preserve"> PAGEREF _Ref90048226 \h </w:instrText>
      </w:r>
      <w:r w:rsidR="00023029" w:rsidRPr="00566CD3">
        <w:rPr>
          <w:rFonts w:cs="Calibri"/>
          <w:spacing w:val="-6"/>
          <w:sz w:val="8"/>
          <w:szCs w:val="8"/>
        </w:rPr>
      </w:r>
      <w:r w:rsidR="00023029" w:rsidRPr="00566CD3">
        <w:rPr>
          <w:rFonts w:cs="Calibri"/>
          <w:spacing w:val="-6"/>
          <w:sz w:val="8"/>
          <w:szCs w:val="8"/>
        </w:rPr>
        <w:fldChar w:fldCharType="separate"/>
      </w:r>
      <w:r w:rsidR="001166EA">
        <w:rPr>
          <w:rFonts w:cs="Calibri"/>
          <w:noProof/>
          <w:spacing w:val="-6"/>
          <w:sz w:val="8"/>
          <w:szCs w:val="8"/>
          <w:lang w:val="pt-PT"/>
        </w:rPr>
        <w:t>119</w:t>
      </w:r>
      <w:r w:rsidR="00023029" w:rsidRPr="00566CD3">
        <w:rPr>
          <w:rFonts w:cs="Calibri"/>
          <w:spacing w:val="-6"/>
          <w:sz w:val="8"/>
          <w:szCs w:val="8"/>
        </w:rPr>
        <w:fldChar w:fldCharType="end"/>
      </w:r>
      <w:r w:rsidRPr="00566CD3">
        <w:rPr>
          <w:rFonts w:cs="Calibri"/>
          <w:spacing w:val="-6"/>
          <w:sz w:val="8"/>
          <w:szCs w:val="8"/>
          <w:lang w:val="pt-PT"/>
        </w:rPr>
        <w:t xml:space="preserve"> DESTE PROSPECTO.</w:t>
      </w:r>
      <w:r w:rsidR="00761953" w:rsidRPr="00566CD3">
        <w:rPr>
          <w:rFonts w:cs="Calibri"/>
          <w:spacing w:val="-6"/>
          <w:sz w:val="8"/>
          <w:szCs w:val="8"/>
          <w:lang w:val="pt-PT"/>
        </w:rPr>
        <w:t xml:space="preserve"> O FORMULÁRIO DE REFERÊNCIA ESTARÁ DISPONÍVEL NOS ENDEREÇOS E PÁGINAS DA REDE MUNDIAL DE COMPUTADORES DA CVM, B3 E DA EMISSORA, INDICADOS  NA SEÇÃO “INFORMAÇÕES ADICIONAIS”, NA PÁGINA </w:t>
      </w:r>
      <w:r w:rsidR="00023029" w:rsidRPr="00566CD3">
        <w:rPr>
          <w:rFonts w:cs="Calibri"/>
          <w:spacing w:val="-6"/>
          <w:sz w:val="8"/>
          <w:szCs w:val="8"/>
          <w:lang w:val="pt-PT"/>
        </w:rPr>
        <w:fldChar w:fldCharType="begin"/>
      </w:r>
      <w:r w:rsidR="00023029" w:rsidRPr="00566CD3">
        <w:rPr>
          <w:rFonts w:cs="Calibri"/>
          <w:spacing w:val="-6"/>
          <w:sz w:val="8"/>
          <w:szCs w:val="8"/>
          <w:lang w:val="pt-PT"/>
        </w:rPr>
        <w:instrText xml:space="preserve"> PAGEREF _Ref90048244 \h </w:instrText>
      </w:r>
      <w:r w:rsidR="00023029" w:rsidRPr="00566CD3">
        <w:rPr>
          <w:rFonts w:cs="Calibri"/>
          <w:spacing w:val="-6"/>
          <w:sz w:val="8"/>
          <w:szCs w:val="8"/>
          <w:lang w:val="pt-PT"/>
        </w:rPr>
      </w:r>
      <w:r w:rsidR="00023029" w:rsidRPr="00566CD3">
        <w:rPr>
          <w:rFonts w:cs="Calibri"/>
          <w:spacing w:val="-6"/>
          <w:sz w:val="8"/>
          <w:szCs w:val="8"/>
          <w:lang w:val="pt-PT"/>
        </w:rPr>
        <w:fldChar w:fldCharType="separate"/>
      </w:r>
      <w:r w:rsidR="001166EA">
        <w:rPr>
          <w:rFonts w:cs="Calibri"/>
          <w:noProof/>
          <w:spacing w:val="-6"/>
          <w:sz w:val="8"/>
          <w:szCs w:val="8"/>
          <w:lang w:val="pt-PT"/>
        </w:rPr>
        <w:t>119</w:t>
      </w:r>
      <w:r w:rsidR="00023029" w:rsidRPr="00566CD3">
        <w:rPr>
          <w:rFonts w:cs="Calibri"/>
          <w:spacing w:val="-6"/>
          <w:sz w:val="8"/>
          <w:szCs w:val="8"/>
          <w:lang w:val="pt-PT"/>
        </w:rPr>
        <w:fldChar w:fldCharType="end"/>
      </w:r>
      <w:r w:rsidR="00761953" w:rsidRPr="00566CD3">
        <w:rPr>
          <w:rFonts w:cs="Calibri"/>
          <w:spacing w:val="-6"/>
          <w:sz w:val="8"/>
          <w:szCs w:val="8"/>
          <w:lang w:val="pt-PT"/>
        </w:rPr>
        <w:t xml:space="preserve"> DESTE PROSPECTO.</w:t>
      </w:r>
    </w:p>
    <w:p w14:paraId="1A9AEF20" w14:textId="007E87FC" w:rsidR="00A37C53" w:rsidRPr="00566CD3" w:rsidRDefault="00A37C53" w:rsidP="000E7F05">
      <w:pPr>
        <w:spacing w:after="40"/>
        <w:jc w:val="both"/>
        <w:rPr>
          <w:b/>
          <w:spacing w:val="-6"/>
          <w:sz w:val="8"/>
        </w:rPr>
      </w:pPr>
      <w:r w:rsidRPr="00566CD3">
        <w:rPr>
          <w:rFonts w:cs="Calibri"/>
          <w:b/>
          <w:bCs/>
          <w:spacing w:val="-6"/>
          <w:sz w:val="8"/>
          <w:szCs w:val="8"/>
          <w:lang w:val="pt-PT" w:bidi="ar-YE"/>
        </w:rPr>
        <w:t>A OCORRÊNCIA DE QUALQUER EVENTO DE PAGAMENTO ANTECIPADO, INCLUINDO A POSSIBILIDADE DE VENCIMENTO ANTECIPADO, OFERTA DE RESGATE ANTECIPADO</w:t>
      </w:r>
      <w:r w:rsidR="005B05FE" w:rsidRPr="00566CD3">
        <w:rPr>
          <w:rFonts w:cs="Calibri"/>
          <w:b/>
          <w:bCs/>
          <w:spacing w:val="-6"/>
          <w:sz w:val="8"/>
          <w:szCs w:val="8"/>
          <w:lang w:val="pt-PT" w:bidi="ar-YE"/>
        </w:rPr>
        <w:t>, RESGATE ANTECIPADO OBRIGATÓRIO</w:t>
      </w:r>
      <w:r w:rsidRPr="00566CD3">
        <w:rPr>
          <w:rFonts w:cs="Calibri"/>
          <w:b/>
          <w:bCs/>
          <w:spacing w:val="-6"/>
          <w:sz w:val="8"/>
          <w:szCs w:val="8"/>
          <w:lang w:val="pt-PT" w:bidi="ar-YE"/>
        </w:rPr>
        <w:t xml:space="preserve"> E AQUISIÇÃO FACULTATIVA, NOS TERMOS PREVISTOS NESTE PROSPECTO, PODERÁ (I) ACARRETAR NA REDUÇÃO DO HORIZONTE ORIGINAL DE INVESTIMENTO ESPERADO PELOS DEBENTURISTAS; (II) GERAR DIFICULDADE DE REINVESTIMENTO DO CAPITAL INVESTIDO PELOS DEBENTURISTAS À MESMA TAXA ESTABELECIDA PARA AS DEBÊNTURES; E/OU (III) TER IMPACTO ADVERSO NA LIQUIDEZ DAS DEBÊNTURES NO MERCADO SECUNDÁRIO, UMA VEZ QUE, CONFORME O CASO, PARTE CONSIDERÁVEL DAS DEBÊNTURES PODERÁ SER RETIRADA DE NEGOCIAÇÃO. PARA MAIS INFORMAÇÕES, FAVOR CONSULTAR OS FATORES DE RISCO “AS OBRIGAÇÕES DA EMISSORA CONSTANTES DA ESCRITURA DE EMISSÃO ESTÃO SUJEITAS A HIPÓTESES DE VENCIMENTO ANTECIPADO.” E “</w:t>
      </w:r>
      <w:r w:rsidR="00544EAE" w:rsidRPr="00566CD3">
        <w:rPr>
          <w:rFonts w:cs="Calibri"/>
          <w:b/>
          <w:bCs/>
          <w:spacing w:val="-6"/>
          <w:sz w:val="8"/>
          <w:szCs w:val="8"/>
          <w:lang w:val="pt-PT" w:bidi="ar-YE"/>
        </w:rPr>
        <w:t>AS DEBÊNTURES PODERÃO SER OBJETO DE OFERTA DE RESGATE ANTECIPADO, AQUISIÇÃO FACULTATIVA E RESGATE OBRIGATÓRIO TOTAL, NOS TERMOS PREVISTOS NA ESCRITURA DE EMISSÃO, O QUE PODERÁ IMPACTAR DE MANEIRA ADVERSA NA LIQUIDEZ DAS DEBÊNTURES NO MERCADO SECUNDÁRIO.</w:t>
      </w:r>
      <w:r w:rsidRPr="00566CD3">
        <w:rPr>
          <w:rFonts w:cs="Calibri"/>
          <w:b/>
          <w:bCs/>
          <w:spacing w:val="-6"/>
          <w:sz w:val="8"/>
          <w:szCs w:val="8"/>
          <w:lang w:val="pt-PT" w:bidi="ar-YE"/>
        </w:rPr>
        <w:t>”, NAS</w:t>
      </w:r>
      <w:r w:rsidRPr="00566CD3">
        <w:rPr>
          <w:rFonts w:cs="Calibri"/>
          <w:b/>
          <w:bCs/>
          <w:spacing w:val="-6"/>
          <w:sz w:val="8"/>
          <w:szCs w:val="8"/>
          <w:rtl/>
          <w:lang w:bidi="ar-YE"/>
        </w:rPr>
        <w:t xml:space="preserve"> </w:t>
      </w:r>
      <w:r w:rsidRPr="00566CD3">
        <w:rPr>
          <w:b/>
          <w:spacing w:val="-6"/>
          <w:sz w:val="8"/>
        </w:rPr>
        <w:t>PÁGINA</w:t>
      </w:r>
      <w:r w:rsidRPr="00566CD3">
        <w:rPr>
          <w:rFonts w:cs="Calibri"/>
          <w:b/>
          <w:bCs/>
          <w:spacing w:val="-6"/>
          <w:sz w:val="8"/>
          <w:szCs w:val="8"/>
          <w:lang w:val="pt-PT" w:bidi="ar-YE"/>
        </w:rPr>
        <w:t xml:space="preserve">S </w:t>
      </w:r>
      <w:r w:rsidR="0052697B" w:rsidRPr="00566CD3">
        <w:rPr>
          <w:rFonts w:cs="Calibri"/>
          <w:b/>
          <w:bCs/>
          <w:spacing w:val="-6"/>
          <w:sz w:val="8"/>
          <w:szCs w:val="8"/>
          <w:lang w:val="pt-PT" w:bidi="ar-YE"/>
        </w:rPr>
        <w:fldChar w:fldCharType="begin"/>
      </w:r>
      <w:r w:rsidR="0052697B" w:rsidRPr="00566CD3">
        <w:rPr>
          <w:rFonts w:cs="Calibri"/>
          <w:b/>
          <w:bCs/>
          <w:spacing w:val="-6"/>
          <w:sz w:val="8"/>
          <w:szCs w:val="8"/>
          <w:lang w:val="pt-PT" w:bidi="ar-YE"/>
        </w:rPr>
        <w:instrText xml:space="preserve"> PAGEREF _Ref90050201 \h </w:instrText>
      </w:r>
      <w:r w:rsidR="0052697B" w:rsidRPr="00566CD3">
        <w:rPr>
          <w:rFonts w:cs="Calibri"/>
          <w:b/>
          <w:bCs/>
          <w:spacing w:val="-6"/>
          <w:sz w:val="8"/>
          <w:szCs w:val="8"/>
          <w:lang w:val="pt-PT" w:bidi="ar-YE"/>
        </w:rPr>
      </w:r>
      <w:r w:rsidR="0052697B" w:rsidRPr="00566CD3">
        <w:rPr>
          <w:rFonts w:cs="Calibri"/>
          <w:b/>
          <w:bCs/>
          <w:spacing w:val="-6"/>
          <w:sz w:val="8"/>
          <w:szCs w:val="8"/>
          <w:lang w:val="pt-PT" w:bidi="ar-YE"/>
        </w:rPr>
        <w:fldChar w:fldCharType="separate"/>
      </w:r>
      <w:r w:rsidR="001166EA">
        <w:rPr>
          <w:rFonts w:cs="Calibri"/>
          <w:b/>
          <w:bCs/>
          <w:noProof/>
          <w:spacing w:val="-6"/>
          <w:sz w:val="8"/>
          <w:szCs w:val="8"/>
          <w:lang w:val="pt-PT" w:bidi="ar-YE"/>
        </w:rPr>
        <w:t>133</w:t>
      </w:r>
      <w:r w:rsidR="0052697B" w:rsidRPr="00566CD3">
        <w:rPr>
          <w:rFonts w:cs="Calibri"/>
          <w:b/>
          <w:bCs/>
          <w:spacing w:val="-6"/>
          <w:sz w:val="8"/>
          <w:szCs w:val="8"/>
          <w:lang w:val="pt-PT" w:bidi="ar-YE"/>
        </w:rPr>
        <w:fldChar w:fldCharType="end"/>
      </w:r>
      <w:r w:rsidRPr="00566CD3">
        <w:rPr>
          <w:rFonts w:cs="Calibri"/>
          <w:b/>
          <w:bCs/>
          <w:spacing w:val="-6"/>
          <w:sz w:val="8"/>
          <w:szCs w:val="8"/>
          <w:lang w:val="pt-PT" w:bidi="ar-YE"/>
        </w:rPr>
        <w:t xml:space="preserve"> e </w:t>
      </w:r>
      <w:r w:rsidR="0052697B" w:rsidRPr="00566CD3">
        <w:rPr>
          <w:rFonts w:cs="Calibri"/>
          <w:b/>
          <w:bCs/>
          <w:spacing w:val="-6"/>
          <w:sz w:val="8"/>
          <w:szCs w:val="8"/>
          <w:lang w:val="pt-PT" w:bidi="ar-YE"/>
        </w:rPr>
        <w:fldChar w:fldCharType="begin"/>
      </w:r>
      <w:r w:rsidR="0052697B" w:rsidRPr="00566CD3">
        <w:rPr>
          <w:rFonts w:cs="Calibri"/>
          <w:b/>
          <w:bCs/>
          <w:spacing w:val="-6"/>
          <w:sz w:val="8"/>
          <w:szCs w:val="8"/>
          <w:lang w:val="pt-PT" w:bidi="ar-YE"/>
        </w:rPr>
        <w:instrText xml:space="preserve"> PAGEREF _Ref90050338 \h </w:instrText>
      </w:r>
      <w:r w:rsidR="0052697B" w:rsidRPr="00566CD3">
        <w:rPr>
          <w:rFonts w:cs="Calibri"/>
          <w:b/>
          <w:bCs/>
          <w:spacing w:val="-6"/>
          <w:sz w:val="8"/>
          <w:szCs w:val="8"/>
          <w:lang w:val="pt-PT" w:bidi="ar-YE"/>
        </w:rPr>
      </w:r>
      <w:r w:rsidR="0052697B" w:rsidRPr="00566CD3">
        <w:rPr>
          <w:rFonts w:cs="Calibri"/>
          <w:b/>
          <w:bCs/>
          <w:spacing w:val="-6"/>
          <w:sz w:val="8"/>
          <w:szCs w:val="8"/>
          <w:lang w:val="pt-PT" w:bidi="ar-YE"/>
        </w:rPr>
        <w:fldChar w:fldCharType="separate"/>
      </w:r>
      <w:r w:rsidR="001166EA">
        <w:rPr>
          <w:rFonts w:cs="Calibri"/>
          <w:b/>
          <w:bCs/>
          <w:noProof/>
          <w:spacing w:val="-6"/>
          <w:sz w:val="8"/>
          <w:szCs w:val="8"/>
          <w:lang w:val="pt-PT" w:bidi="ar-YE"/>
        </w:rPr>
        <w:t>134</w:t>
      </w:r>
      <w:r w:rsidR="0052697B" w:rsidRPr="00566CD3">
        <w:rPr>
          <w:rFonts w:cs="Calibri"/>
          <w:b/>
          <w:bCs/>
          <w:spacing w:val="-6"/>
          <w:sz w:val="8"/>
          <w:szCs w:val="8"/>
          <w:lang w:val="pt-PT" w:bidi="ar-YE"/>
        </w:rPr>
        <w:fldChar w:fldCharType="end"/>
      </w:r>
      <w:r w:rsidRPr="00566CD3">
        <w:rPr>
          <w:rFonts w:cs="Calibri"/>
          <w:b/>
          <w:bCs/>
          <w:spacing w:val="-6"/>
          <w:sz w:val="8"/>
          <w:szCs w:val="8"/>
          <w:lang w:val="pt-PT" w:bidi="ar-YE"/>
        </w:rPr>
        <w:t xml:space="preserve"> DESTE PROSPECTO.</w:t>
      </w:r>
    </w:p>
    <w:p w14:paraId="44D46CC6" w14:textId="77777777" w:rsidR="00A37C53" w:rsidRPr="00566CD3" w:rsidRDefault="00F15CE4" w:rsidP="000E7F05">
      <w:pPr>
        <w:spacing w:after="40"/>
        <w:jc w:val="both"/>
        <w:rPr>
          <w:rFonts w:cs="Calibri"/>
          <w:b/>
          <w:bCs/>
          <w:spacing w:val="-6"/>
          <w:sz w:val="8"/>
          <w:szCs w:val="8"/>
          <w:rtl/>
          <w:lang w:bidi="ar-YE"/>
        </w:rPr>
      </w:pPr>
      <w:r w:rsidRPr="00566CD3">
        <w:rPr>
          <w:rFonts w:cs="Calibri"/>
          <w:b/>
          <w:bCs/>
          <w:spacing w:val="-6"/>
          <w:sz w:val="8"/>
          <w:szCs w:val="8"/>
          <w:lang w:val="pt-PT"/>
        </w:rPr>
        <w:t>FOI ADMITIDO</w:t>
      </w:r>
      <w:r w:rsidR="00A37C53" w:rsidRPr="00566CD3">
        <w:rPr>
          <w:b/>
          <w:spacing w:val="-6"/>
          <w:sz w:val="8"/>
        </w:rPr>
        <w:t xml:space="preserve"> O RECEBIMENTO DE RESERVAS, A PARTIR DA DATA </w:t>
      </w:r>
      <w:r w:rsidRPr="00566CD3">
        <w:rPr>
          <w:rFonts w:cs="Calibri"/>
          <w:b/>
          <w:bCs/>
          <w:spacing w:val="-6"/>
          <w:sz w:val="8"/>
          <w:szCs w:val="8"/>
          <w:lang w:val="pt-PT"/>
        </w:rPr>
        <w:t>DA PRIMEIRA DIVULGAÇÃO DO</w:t>
      </w:r>
      <w:r w:rsidR="00A37C53" w:rsidRPr="00566CD3">
        <w:rPr>
          <w:b/>
          <w:spacing w:val="-6"/>
          <w:sz w:val="8"/>
        </w:rPr>
        <w:t xml:space="preserve"> PROSPECTO</w:t>
      </w:r>
      <w:r w:rsidRPr="00566CD3">
        <w:rPr>
          <w:b/>
          <w:spacing w:val="-6"/>
          <w:sz w:val="8"/>
          <w:lang w:val="pt-PT"/>
        </w:rPr>
        <w:t xml:space="preserve"> </w:t>
      </w:r>
      <w:r w:rsidRPr="00566CD3">
        <w:rPr>
          <w:rFonts w:cs="Calibri"/>
          <w:b/>
          <w:bCs/>
          <w:spacing w:val="-6"/>
          <w:sz w:val="8"/>
          <w:szCs w:val="8"/>
          <w:lang w:val="pt-PT"/>
        </w:rPr>
        <w:t>PRELIMINAR</w:t>
      </w:r>
      <w:r w:rsidR="00A37C53" w:rsidRPr="00566CD3">
        <w:rPr>
          <w:b/>
          <w:spacing w:val="-6"/>
          <w:sz w:val="8"/>
        </w:rPr>
        <w:t xml:space="preserve"> E </w:t>
      </w:r>
      <w:r w:rsidRPr="00566CD3">
        <w:rPr>
          <w:rFonts w:cs="Calibri"/>
          <w:b/>
          <w:bCs/>
          <w:spacing w:val="-6"/>
          <w:sz w:val="8"/>
          <w:szCs w:val="8"/>
          <w:lang w:val="pt-PT"/>
        </w:rPr>
        <w:t>DO</w:t>
      </w:r>
      <w:r w:rsidR="00A37C53" w:rsidRPr="00566CD3">
        <w:rPr>
          <w:b/>
          <w:spacing w:val="-6"/>
          <w:sz w:val="8"/>
        </w:rPr>
        <w:t xml:space="preserve"> AVISO AO MERCADO (CONFORME DEFINIDO NESTE PROSPECTO), PARA SUBSCRIÇÃO DAS DEBÊNTURES, AS QUAIS </w:t>
      </w:r>
      <w:r w:rsidRPr="00566CD3">
        <w:rPr>
          <w:rFonts w:cs="Calibri"/>
          <w:b/>
          <w:bCs/>
          <w:spacing w:val="-6"/>
          <w:sz w:val="8"/>
          <w:szCs w:val="8"/>
          <w:lang w:val="pt-PT"/>
        </w:rPr>
        <w:t>FORAM</w:t>
      </w:r>
      <w:r w:rsidR="00A37C53" w:rsidRPr="00566CD3">
        <w:rPr>
          <w:b/>
          <w:spacing w:val="-6"/>
          <w:sz w:val="8"/>
        </w:rPr>
        <w:t xml:space="preserve"> CONFIRMADAS PELO SUBSCRITOR </w:t>
      </w:r>
      <w:r w:rsidRPr="00566CD3">
        <w:rPr>
          <w:rFonts w:cs="Calibri"/>
          <w:b/>
          <w:bCs/>
          <w:spacing w:val="-6"/>
          <w:sz w:val="8"/>
          <w:szCs w:val="8"/>
          <w:lang w:val="pt-PT"/>
        </w:rPr>
        <w:t>APÍS</w:t>
      </w:r>
      <w:r w:rsidR="00A37C53" w:rsidRPr="00566CD3">
        <w:rPr>
          <w:b/>
          <w:spacing w:val="-6"/>
          <w:sz w:val="8"/>
        </w:rPr>
        <w:t xml:space="preserve"> O INÍCIO DO PERÍODO DE DISTRIBUIÇÃO DAS </w:t>
      </w:r>
      <w:r w:rsidRPr="00566CD3">
        <w:rPr>
          <w:rFonts w:cs="Calibri"/>
          <w:b/>
          <w:bCs/>
          <w:spacing w:val="-6"/>
          <w:sz w:val="8"/>
          <w:szCs w:val="8"/>
          <w:lang w:val="pt-PT"/>
        </w:rPr>
        <w:t>DÊNTURES</w:t>
      </w:r>
      <w:r w:rsidR="00A37C53" w:rsidRPr="00566CD3">
        <w:rPr>
          <w:rFonts w:cs="Calibri"/>
          <w:b/>
          <w:bCs/>
          <w:spacing w:val="-6"/>
          <w:sz w:val="8"/>
          <w:szCs w:val="8"/>
          <w:rtl/>
          <w:lang w:bidi="ar-YE"/>
        </w:rPr>
        <w:t>.</w:t>
      </w:r>
    </w:p>
    <w:p w14:paraId="245DD314" w14:textId="59E1F1E2" w:rsidR="00A37C53" w:rsidRPr="00566CD3" w:rsidRDefault="0020727A" w:rsidP="000E7F05">
      <w:pPr>
        <w:spacing w:after="40"/>
        <w:jc w:val="both"/>
        <w:rPr>
          <w:rFonts w:cs="Calibri"/>
          <w:b/>
          <w:bCs/>
          <w:spacing w:val="-6"/>
          <w:sz w:val="8"/>
          <w:szCs w:val="8"/>
          <w:lang w:val="pt-PT"/>
        </w:rPr>
      </w:pPr>
      <w:r w:rsidRPr="00566CD3">
        <w:rPr>
          <w:rFonts w:cs="Calibri"/>
          <w:b/>
          <w:bCs/>
          <w:spacing w:val="-6"/>
          <w:sz w:val="8"/>
          <w:szCs w:val="8"/>
          <w:lang w:val="pt-PT"/>
        </w:rPr>
        <w:t>OS INVESTIDORES DEVEM LER O ITEM “4. FATORES DE RISCO” DO FORMULÁRIO DE REFERÊNCIA E A SEÇÃO “FATORES DE RISCO RELACIONADOS À OFERTA E ÀS DEBÊNTURES”, NAS</w:t>
      </w:r>
      <w:r w:rsidR="00A37C53" w:rsidRPr="00566CD3">
        <w:rPr>
          <w:rFonts w:cs="Calibri"/>
          <w:b/>
          <w:bCs/>
          <w:spacing w:val="-6"/>
          <w:sz w:val="8"/>
          <w:szCs w:val="8"/>
          <w:rtl/>
          <w:lang w:bidi="ar-YE"/>
        </w:rPr>
        <w:t xml:space="preserve"> </w:t>
      </w:r>
      <w:r w:rsidRPr="00566CD3">
        <w:rPr>
          <w:b/>
          <w:spacing w:val="-6"/>
          <w:sz w:val="8"/>
        </w:rPr>
        <w:t>PÁGINA</w:t>
      </w:r>
      <w:r w:rsidRPr="00566CD3">
        <w:rPr>
          <w:rFonts w:cs="Calibri"/>
          <w:b/>
          <w:bCs/>
          <w:spacing w:val="-6"/>
          <w:sz w:val="8"/>
          <w:szCs w:val="8"/>
          <w:lang w:val="pt-PT"/>
        </w:rPr>
        <w:t xml:space="preserve">S </w:t>
      </w:r>
      <w:r w:rsidR="00137FB1" w:rsidRPr="00566CD3">
        <w:rPr>
          <w:rFonts w:cs="Calibri"/>
          <w:b/>
          <w:bCs/>
          <w:spacing w:val="-6"/>
          <w:sz w:val="8"/>
          <w:szCs w:val="8"/>
        </w:rPr>
        <w:fldChar w:fldCharType="begin"/>
      </w:r>
      <w:r w:rsidR="00137FB1" w:rsidRPr="00566CD3">
        <w:rPr>
          <w:b/>
          <w:spacing w:val="-6"/>
          <w:sz w:val="8"/>
        </w:rPr>
        <w:instrText xml:space="preserve"> PAGEREF _Ref90046525 \h </w:instrText>
      </w:r>
      <w:r w:rsidR="00137FB1" w:rsidRPr="00566CD3">
        <w:rPr>
          <w:rFonts w:cs="Calibri"/>
          <w:b/>
          <w:bCs/>
          <w:spacing w:val="-6"/>
          <w:sz w:val="8"/>
          <w:szCs w:val="8"/>
        </w:rPr>
      </w:r>
      <w:r w:rsidR="00137FB1" w:rsidRPr="00566CD3">
        <w:rPr>
          <w:rFonts w:cs="Calibri"/>
          <w:b/>
          <w:bCs/>
          <w:spacing w:val="-6"/>
          <w:sz w:val="8"/>
          <w:szCs w:val="8"/>
        </w:rPr>
        <w:fldChar w:fldCharType="separate"/>
      </w:r>
      <w:r w:rsidR="001166EA">
        <w:rPr>
          <w:b/>
          <w:noProof/>
          <w:spacing w:val="-6"/>
          <w:sz w:val="8"/>
        </w:rPr>
        <w:t>128</w:t>
      </w:r>
      <w:r w:rsidR="00137FB1" w:rsidRPr="00566CD3">
        <w:rPr>
          <w:rFonts w:cs="Calibri"/>
          <w:b/>
          <w:bCs/>
          <w:spacing w:val="-6"/>
          <w:sz w:val="8"/>
          <w:szCs w:val="8"/>
        </w:rPr>
        <w:fldChar w:fldCharType="end"/>
      </w:r>
      <w:r w:rsidR="00137FB1" w:rsidRPr="00566CD3">
        <w:rPr>
          <w:b/>
          <w:spacing w:val="-6"/>
          <w:sz w:val="8"/>
        </w:rPr>
        <w:t xml:space="preserve"> A </w:t>
      </w:r>
      <w:r w:rsidR="00137FB1" w:rsidRPr="00566CD3">
        <w:rPr>
          <w:rFonts w:cs="Calibri"/>
          <w:b/>
          <w:bCs/>
          <w:spacing w:val="-6"/>
          <w:sz w:val="8"/>
          <w:szCs w:val="8"/>
        </w:rPr>
        <w:fldChar w:fldCharType="begin"/>
      </w:r>
      <w:r w:rsidR="00137FB1" w:rsidRPr="00566CD3">
        <w:rPr>
          <w:b/>
          <w:spacing w:val="-6"/>
          <w:sz w:val="8"/>
        </w:rPr>
        <w:instrText xml:space="preserve"> PAGEREF fator_de_risco_taxa_subs \h </w:instrText>
      </w:r>
      <w:r w:rsidR="00137FB1" w:rsidRPr="00566CD3">
        <w:rPr>
          <w:rFonts w:cs="Calibri"/>
          <w:b/>
          <w:bCs/>
          <w:spacing w:val="-6"/>
          <w:sz w:val="8"/>
          <w:szCs w:val="8"/>
        </w:rPr>
      </w:r>
      <w:r w:rsidR="00137FB1" w:rsidRPr="00566CD3">
        <w:rPr>
          <w:rFonts w:cs="Calibri"/>
          <w:b/>
          <w:bCs/>
          <w:spacing w:val="-6"/>
          <w:sz w:val="8"/>
          <w:szCs w:val="8"/>
        </w:rPr>
        <w:fldChar w:fldCharType="separate"/>
      </w:r>
      <w:r w:rsidR="001166EA">
        <w:rPr>
          <w:b/>
          <w:noProof/>
          <w:spacing w:val="-6"/>
          <w:sz w:val="8"/>
        </w:rPr>
        <w:t>138</w:t>
      </w:r>
      <w:r w:rsidR="00137FB1" w:rsidRPr="00566CD3">
        <w:rPr>
          <w:rFonts w:cs="Calibri"/>
          <w:b/>
          <w:bCs/>
          <w:spacing w:val="-6"/>
          <w:sz w:val="8"/>
          <w:szCs w:val="8"/>
        </w:rPr>
        <w:fldChar w:fldCharType="end"/>
      </w:r>
      <w:r w:rsidR="00693766" w:rsidRPr="00566CD3">
        <w:rPr>
          <w:rFonts w:cs="Calibri"/>
          <w:b/>
          <w:bCs/>
          <w:spacing w:val="-6"/>
          <w:sz w:val="8"/>
          <w:szCs w:val="8"/>
          <w:lang w:val="pt-PT"/>
        </w:rPr>
        <w:t xml:space="preserve"> </w:t>
      </w:r>
      <w:r w:rsidRPr="00566CD3">
        <w:rPr>
          <w:rFonts w:cs="Calibri"/>
          <w:b/>
          <w:bCs/>
          <w:spacing w:val="-6"/>
          <w:sz w:val="8"/>
          <w:szCs w:val="8"/>
          <w:lang w:val="pt-PT"/>
        </w:rPr>
        <w:t xml:space="preserve"> DESTE PROSPECTO, PARA CIÊNCIA DE CERTOS FATORES DE RISCO QUE DEVEM SER CONSIDERADOS COM RELAÇÃO AO INVESTIMENTO NAS DEBÊNTURES.</w:t>
      </w:r>
    </w:p>
    <w:p w14:paraId="3E77765D" w14:textId="77777777" w:rsidR="00D05A75" w:rsidRPr="00566CD3" w:rsidRDefault="00D05A75" w:rsidP="00D05A75">
      <w:pPr>
        <w:spacing w:after="40"/>
        <w:rPr>
          <w:rFonts w:cs="Calibri"/>
          <w:spacing w:val="-6"/>
          <w:sz w:val="8"/>
          <w:szCs w:val="8"/>
          <w:lang w:val="pt-PT"/>
        </w:rPr>
      </w:pPr>
      <w:r w:rsidRPr="00566CD3">
        <w:rPr>
          <w:rFonts w:cs="Calibri"/>
          <w:spacing w:val="-6"/>
          <w:sz w:val="8"/>
          <w:szCs w:val="8"/>
          <w:lang w:val="pt-PT"/>
        </w:rPr>
        <w:t xml:space="preserve">O PEDIDO DE REGISTRO DA OFERTA FOI REQUERIDO JUNTO À CVM EM 13 DE DEZEMBRO DE 2021, </w:t>
      </w:r>
      <w:r w:rsidR="000F6532" w:rsidRPr="00566CD3">
        <w:rPr>
          <w:rFonts w:cs="Calibri"/>
          <w:spacing w:val="-6"/>
          <w:sz w:val="8"/>
          <w:szCs w:val="8"/>
          <w:lang w:val="pt-PT"/>
        </w:rPr>
        <w:t>DE FORMA QUE</w:t>
      </w:r>
      <w:r w:rsidRPr="00566CD3">
        <w:rPr>
          <w:rFonts w:cs="Calibri"/>
          <w:spacing w:val="-6"/>
          <w:sz w:val="8"/>
          <w:szCs w:val="8"/>
          <w:lang w:val="pt-PT"/>
        </w:rPr>
        <w:t xml:space="preserve"> A OFERTA </w:t>
      </w:r>
      <w:r w:rsidR="000F6532" w:rsidRPr="00566CD3">
        <w:rPr>
          <w:rFonts w:cs="Calibri"/>
          <w:spacing w:val="-6"/>
          <w:sz w:val="8"/>
          <w:szCs w:val="8"/>
          <w:lang w:val="pt-PT"/>
        </w:rPr>
        <w:t xml:space="preserve">FOI OBJETO DE </w:t>
      </w:r>
      <w:r w:rsidRPr="00566CD3">
        <w:rPr>
          <w:rFonts w:cs="Calibri"/>
          <w:spacing w:val="-6"/>
          <w:sz w:val="8"/>
          <w:szCs w:val="8"/>
          <w:lang w:val="pt-PT"/>
        </w:rPr>
        <w:t xml:space="preserve"> ANÁLISE E APROVAÇÃO DA CVM. A OFERTA SERÁ REGISTRADA EM CONFORMIDADE COM OS PROCEDIMENTOS </w:t>
      </w:r>
      <w:r w:rsidR="005757B9" w:rsidRPr="00566CD3">
        <w:rPr>
          <w:rFonts w:cs="Calibri"/>
          <w:spacing w:val="-6"/>
          <w:sz w:val="8"/>
          <w:szCs w:val="8"/>
          <w:lang w:val="pt-PT"/>
        </w:rPr>
        <w:t>DA</w:t>
      </w:r>
      <w:r w:rsidRPr="00566CD3">
        <w:rPr>
          <w:rFonts w:cs="Calibri"/>
          <w:spacing w:val="-6"/>
          <w:sz w:val="8"/>
          <w:szCs w:val="8"/>
          <w:lang w:val="pt-PT"/>
        </w:rPr>
        <w:t xml:space="preserve"> INSTRUÇÃO CVM 400, DO CÓDIGO ANBIMA E DEMAIS DISPOSIÇÕES LEGAIS E REGULAMENTARES APLICÁVEIS.</w:t>
      </w:r>
    </w:p>
    <w:p w14:paraId="0804AE4C" w14:textId="15EBE929" w:rsidR="00A37C53" w:rsidRPr="00566CD3" w:rsidRDefault="0020727A" w:rsidP="000E7F05">
      <w:pPr>
        <w:spacing w:after="40"/>
        <w:jc w:val="both"/>
        <w:rPr>
          <w:rFonts w:cs="Calibri"/>
          <w:spacing w:val="-6"/>
          <w:sz w:val="8"/>
          <w:szCs w:val="8"/>
          <w:lang w:val="pt-PT"/>
        </w:rPr>
      </w:pPr>
      <w:r w:rsidRPr="00566CD3">
        <w:rPr>
          <w:rFonts w:cs="Calibri"/>
          <w:spacing w:val="-6"/>
          <w:sz w:val="8"/>
          <w:szCs w:val="8"/>
          <w:lang w:val="pt-PT"/>
        </w:rPr>
        <w:t xml:space="preserve">A OFERTA </w:t>
      </w:r>
      <w:r w:rsidR="000B16EF" w:rsidRPr="00566CD3">
        <w:rPr>
          <w:rFonts w:cs="Calibri"/>
          <w:spacing w:val="-6"/>
          <w:sz w:val="8"/>
          <w:szCs w:val="8"/>
          <w:lang w:val="pt-PT"/>
        </w:rPr>
        <w:t>DAS</w:t>
      </w:r>
      <w:r w:rsidR="00F15CE4" w:rsidRPr="00566CD3">
        <w:rPr>
          <w:rFonts w:cs="Calibri"/>
          <w:spacing w:val="-6"/>
          <w:sz w:val="8"/>
          <w:szCs w:val="8"/>
          <w:lang w:val="pt-PT"/>
        </w:rPr>
        <w:t xml:space="preserve"> DEBÊNTURES DA PRIMEIRA SÉRIE </w:t>
      </w:r>
      <w:r w:rsidRPr="00566CD3">
        <w:rPr>
          <w:rFonts w:cs="Calibri"/>
          <w:spacing w:val="-6"/>
          <w:sz w:val="8"/>
          <w:szCs w:val="8"/>
          <w:lang w:val="pt-PT"/>
        </w:rPr>
        <w:t xml:space="preserve">FOI REGISTRADA PELA CVM EM </w:t>
      </w:r>
      <w:r w:rsidR="00D11964">
        <w:rPr>
          <w:rFonts w:cs="Calibri"/>
          <w:spacing w:val="-6"/>
          <w:sz w:val="8"/>
          <w:szCs w:val="8"/>
          <w:lang w:val="pt-PT"/>
        </w:rPr>
        <w:t>18</w:t>
      </w:r>
      <w:r w:rsidR="00D11964" w:rsidRPr="00566CD3">
        <w:rPr>
          <w:rFonts w:cs="Calibri"/>
          <w:spacing w:val="-6"/>
          <w:sz w:val="8"/>
          <w:szCs w:val="8"/>
          <w:lang w:val="pt-PT"/>
        </w:rPr>
        <w:t xml:space="preserve"> </w:t>
      </w:r>
      <w:r w:rsidRPr="00566CD3">
        <w:rPr>
          <w:rFonts w:cs="Calibri"/>
          <w:spacing w:val="-6"/>
          <w:sz w:val="8"/>
          <w:szCs w:val="8"/>
          <w:lang w:val="pt-PT"/>
        </w:rPr>
        <w:t xml:space="preserve">DE </w:t>
      </w:r>
      <w:r w:rsidR="00D11964">
        <w:rPr>
          <w:rFonts w:cs="Calibri"/>
          <w:spacing w:val="-6"/>
          <w:sz w:val="8"/>
          <w:szCs w:val="8"/>
          <w:lang w:val="pt-PT"/>
        </w:rPr>
        <w:t>MARÇO</w:t>
      </w:r>
      <w:r w:rsidR="00D11964" w:rsidRPr="00566CD3">
        <w:rPr>
          <w:rFonts w:cs="Calibri"/>
          <w:spacing w:val="-6"/>
          <w:sz w:val="8"/>
          <w:szCs w:val="8"/>
          <w:lang w:val="pt-PT"/>
        </w:rPr>
        <w:t xml:space="preserve"> </w:t>
      </w:r>
      <w:r w:rsidRPr="00566CD3">
        <w:rPr>
          <w:rFonts w:cs="Calibri"/>
          <w:spacing w:val="-6"/>
          <w:sz w:val="8"/>
          <w:szCs w:val="8"/>
          <w:lang w:val="pt-PT"/>
        </w:rPr>
        <w:t>DE 20</w:t>
      </w:r>
      <w:r w:rsidR="00E05938" w:rsidRPr="00566CD3">
        <w:rPr>
          <w:rFonts w:cs="Calibri"/>
          <w:spacing w:val="-6"/>
          <w:sz w:val="8"/>
          <w:szCs w:val="8"/>
          <w:lang w:val="pt-PT"/>
        </w:rPr>
        <w:t>22</w:t>
      </w:r>
      <w:r w:rsidRPr="00566CD3">
        <w:rPr>
          <w:rFonts w:cs="Calibri"/>
          <w:spacing w:val="-6"/>
          <w:sz w:val="8"/>
          <w:szCs w:val="8"/>
          <w:lang w:val="pt-PT"/>
        </w:rPr>
        <w:t>, SOB O Nº CVM/SRE/DEB/2022/</w:t>
      </w:r>
      <w:r w:rsidR="00D11964">
        <w:rPr>
          <w:rFonts w:cs="Calibri"/>
          <w:spacing w:val="-6"/>
          <w:sz w:val="8"/>
          <w:szCs w:val="8"/>
          <w:lang w:val="pt-PT"/>
        </w:rPr>
        <w:t>003</w:t>
      </w:r>
      <w:r w:rsidRPr="00566CD3">
        <w:rPr>
          <w:rFonts w:cs="Calibri"/>
          <w:spacing w:val="-6"/>
          <w:sz w:val="8"/>
          <w:szCs w:val="8"/>
          <w:lang w:val="pt-PT"/>
        </w:rPr>
        <w:t>.</w:t>
      </w:r>
    </w:p>
    <w:p w14:paraId="369F4B4A" w14:textId="2168CB84" w:rsidR="00F15CE4" w:rsidRPr="00566CD3" w:rsidRDefault="00F15CE4" w:rsidP="000E7F05">
      <w:pPr>
        <w:spacing w:after="40"/>
        <w:rPr>
          <w:rFonts w:cs="Calibri"/>
          <w:spacing w:val="-6"/>
          <w:sz w:val="8"/>
          <w:szCs w:val="8"/>
          <w:lang w:val="pt-PT"/>
        </w:rPr>
      </w:pPr>
      <w:r w:rsidRPr="00566CD3">
        <w:rPr>
          <w:rFonts w:cs="Calibri"/>
          <w:spacing w:val="-6"/>
          <w:sz w:val="8"/>
          <w:szCs w:val="8"/>
          <w:lang w:val="pt-PT"/>
        </w:rPr>
        <w:t>A</w:t>
      </w:r>
      <w:r w:rsidR="000B16EF" w:rsidRPr="00566CD3">
        <w:rPr>
          <w:rFonts w:cs="Calibri"/>
          <w:spacing w:val="-6"/>
          <w:sz w:val="8"/>
          <w:szCs w:val="8"/>
          <w:lang w:val="pt-PT"/>
        </w:rPr>
        <w:t xml:space="preserve"> OFERTA DAS</w:t>
      </w:r>
      <w:r w:rsidRPr="00566CD3">
        <w:rPr>
          <w:rFonts w:cs="Calibri"/>
          <w:spacing w:val="-6"/>
          <w:sz w:val="8"/>
          <w:szCs w:val="8"/>
          <w:lang w:val="pt-PT"/>
        </w:rPr>
        <w:t xml:space="preserve"> DEBÊNTURES DA SEGUNDA SÉRIE FO</w:t>
      </w:r>
      <w:r w:rsidR="000B16EF" w:rsidRPr="00566CD3">
        <w:rPr>
          <w:rFonts w:cs="Calibri"/>
          <w:spacing w:val="-6"/>
          <w:sz w:val="8"/>
          <w:szCs w:val="8"/>
          <w:lang w:val="pt-PT"/>
        </w:rPr>
        <w:t>I</w:t>
      </w:r>
      <w:r w:rsidRPr="00566CD3">
        <w:rPr>
          <w:rFonts w:cs="Calibri"/>
          <w:spacing w:val="-6"/>
          <w:sz w:val="8"/>
          <w:szCs w:val="8"/>
          <w:lang w:val="pt-PT"/>
        </w:rPr>
        <w:t xml:space="preserve"> REGISTRADA PELA CVM EM </w:t>
      </w:r>
      <w:r w:rsidR="00D11964">
        <w:rPr>
          <w:rFonts w:cs="Calibri"/>
          <w:spacing w:val="-6"/>
          <w:sz w:val="8"/>
          <w:szCs w:val="8"/>
          <w:lang w:val="pt-PT"/>
        </w:rPr>
        <w:t>18</w:t>
      </w:r>
      <w:r w:rsidR="00D11964" w:rsidRPr="00566CD3">
        <w:rPr>
          <w:rFonts w:cs="Calibri"/>
          <w:spacing w:val="-6"/>
          <w:sz w:val="8"/>
          <w:szCs w:val="8"/>
          <w:lang w:val="pt-PT"/>
        </w:rPr>
        <w:t xml:space="preserve"> </w:t>
      </w:r>
      <w:r w:rsidRPr="00566CD3">
        <w:rPr>
          <w:rFonts w:cs="Calibri"/>
          <w:spacing w:val="-6"/>
          <w:sz w:val="8"/>
          <w:szCs w:val="8"/>
          <w:lang w:val="pt-PT"/>
        </w:rPr>
        <w:t xml:space="preserve">DE </w:t>
      </w:r>
      <w:r w:rsidR="00D11964">
        <w:rPr>
          <w:rFonts w:cs="Calibri"/>
          <w:spacing w:val="-6"/>
          <w:sz w:val="8"/>
          <w:szCs w:val="8"/>
          <w:lang w:val="pt-PT"/>
        </w:rPr>
        <w:t>MARÇO</w:t>
      </w:r>
      <w:r w:rsidR="00D11964" w:rsidRPr="00566CD3">
        <w:rPr>
          <w:rFonts w:cs="Calibri"/>
          <w:spacing w:val="-6"/>
          <w:sz w:val="8"/>
          <w:szCs w:val="8"/>
          <w:lang w:val="pt-PT"/>
        </w:rPr>
        <w:t xml:space="preserve"> </w:t>
      </w:r>
      <w:r w:rsidRPr="00566CD3">
        <w:rPr>
          <w:rFonts w:cs="Calibri"/>
          <w:spacing w:val="-6"/>
          <w:sz w:val="8"/>
          <w:szCs w:val="8"/>
          <w:lang w:val="pt-PT"/>
        </w:rPr>
        <w:t>DE 2022, SOB O Nº CVM/SRE/DEB/2022/</w:t>
      </w:r>
      <w:r w:rsidR="00D11964">
        <w:rPr>
          <w:rFonts w:cs="Calibri"/>
          <w:spacing w:val="-6"/>
          <w:sz w:val="8"/>
          <w:szCs w:val="8"/>
          <w:lang w:val="pt-PT"/>
        </w:rPr>
        <w:t>004.</w:t>
      </w:r>
    </w:p>
    <w:p w14:paraId="181819C5" w14:textId="77777777" w:rsidR="00A37C53" w:rsidRPr="00566CD3" w:rsidRDefault="0020727A" w:rsidP="000E7F05">
      <w:pPr>
        <w:spacing w:after="40"/>
        <w:jc w:val="both"/>
        <w:rPr>
          <w:rFonts w:cs="Calibri"/>
          <w:spacing w:val="-6"/>
          <w:sz w:val="8"/>
          <w:szCs w:val="8"/>
          <w:lang w:val="pt-PT"/>
        </w:rPr>
      </w:pPr>
      <w:r w:rsidRPr="00566CD3">
        <w:rPr>
          <w:rFonts w:cs="Calibri"/>
          <w:spacing w:val="-6"/>
          <w:sz w:val="8"/>
          <w:szCs w:val="8"/>
          <w:lang w:val="pt-PT"/>
        </w:rPr>
        <w:t>A EMISSORA É RESPONSÁVEL PELA VERACIDADE, CONSISTÊNCIA, QUALIDADE E SUFICIÊNCIA DAS INFORMAÇÕES PRESTADAS POR OCASIÃO DO REGISTRO E FORNECIDAS AO MERCADO DURANTE A DISTRIBUIÇÃO DAS DEBÊNTURES.</w:t>
      </w:r>
    </w:p>
    <w:p w14:paraId="6FA163C5" w14:textId="77777777" w:rsidR="00A37C53" w:rsidRPr="00566CD3" w:rsidRDefault="0020727A" w:rsidP="000E7F05">
      <w:pPr>
        <w:spacing w:after="40"/>
        <w:jc w:val="both"/>
        <w:rPr>
          <w:rFonts w:cs="Calibri"/>
          <w:b/>
          <w:bCs/>
          <w:spacing w:val="-6"/>
          <w:sz w:val="8"/>
          <w:szCs w:val="8"/>
          <w:lang w:val="pt-PT"/>
        </w:rPr>
      </w:pPr>
      <w:r w:rsidRPr="00566CD3">
        <w:rPr>
          <w:rFonts w:cs="Calibri"/>
          <w:b/>
          <w:bCs/>
          <w:spacing w:val="-6"/>
          <w:sz w:val="8"/>
          <w:szCs w:val="8"/>
          <w:lang w:val="pt-PT"/>
        </w:rPr>
        <w:t>“O REGISTRO DA PRESENTE OFERTA NÃO IMPLICA, POR PARTE DA CVM, GARANTIA DA VERACIDADE DAS INFORMAÇÕES PRESTADAS OU EM JULGAMENTO SOBRE A QUALIDADE DA EMISSORA, BEM COMO SOBRE AS DEBÊNTURES A SEREM DISTRIBUÍDAS”.</w:t>
      </w:r>
    </w:p>
    <w:p w14:paraId="1D7D682A" w14:textId="1D7542E5" w:rsidR="002A48F5" w:rsidRPr="00566CD3" w:rsidRDefault="0020727A" w:rsidP="000E7F05">
      <w:pPr>
        <w:spacing w:after="40"/>
        <w:jc w:val="both"/>
        <w:rPr>
          <w:rFonts w:cs="Calibri"/>
          <w:spacing w:val="-6"/>
          <w:sz w:val="8"/>
          <w:szCs w:val="8"/>
          <w:lang w:val="pt-PT"/>
        </w:rPr>
      </w:pPr>
      <w:r w:rsidRPr="00566CD3">
        <w:rPr>
          <w:rFonts w:cs="Calibri"/>
          <w:spacing w:val="-6"/>
          <w:sz w:val="8"/>
          <w:szCs w:val="8"/>
          <w:lang w:val="pt-PT"/>
        </w:rPr>
        <w:t>MAIS INFORMAÇÕES SOBRE A EMISSORA E A OFERTA PODERÃO SER OBTIDAS JUNTO AO COORDENADOR LÍDER E À CVM NOS ENDEREÇOS INDICADOS NA SEÇÃO “INFORMAÇÕES ADICIONAIS”, NA PÁGINA</w:t>
      </w:r>
      <w:r w:rsidR="00A2037E" w:rsidRPr="00566CD3">
        <w:rPr>
          <w:rFonts w:cs="Calibri"/>
          <w:spacing w:val="-6"/>
          <w:sz w:val="8"/>
          <w:szCs w:val="8"/>
          <w:lang w:val="pt-PT"/>
        </w:rPr>
        <w:t xml:space="preserve"> </w:t>
      </w:r>
      <w:r w:rsidR="00A2037E" w:rsidRPr="00566CD3">
        <w:rPr>
          <w:rFonts w:cs="Calibri"/>
          <w:spacing w:val="-6"/>
          <w:sz w:val="8"/>
          <w:szCs w:val="8"/>
          <w:lang w:val="pt-PT"/>
        </w:rPr>
        <w:fldChar w:fldCharType="begin"/>
      </w:r>
      <w:r w:rsidR="00A2037E" w:rsidRPr="00566CD3">
        <w:rPr>
          <w:rFonts w:cs="Calibri"/>
          <w:spacing w:val="-6"/>
          <w:sz w:val="8"/>
          <w:szCs w:val="8"/>
          <w:lang w:val="pt-PT"/>
        </w:rPr>
        <w:instrText xml:space="preserve"> PAGEREF _Ref90050546 \h </w:instrText>
      </w:r>
      <w:r w:rsidR="00A2037E" w:rsidRPr="00566CD3">
        <w:rPr>
          <w:rFonts w:cs="Calibri"/>
          <w:spacing w:val="-6"/>
          <w:sz w:val="8"/>
          <w:szCs w:val="8"/>
          <w:lang w:val="pt-PT"/>
        </w:rPr>
      </w:r>
      <w:r w:rsidR="00A2037E" w:rsidRPr="00566CD3">
        <w:rPr>
          <w:rFonts w:cs="Calibri"/>
          <w:spacing w:val="-6"/>
          <w:sz w:val="8"/>
          <w:szCs w:val="8"/>
          <w:lang w:val="pt-PT"/>
        </w:rPr>
        <w:fldChar w:fldCharType="separate"/>
      </w:r>
      <w:r w:rsidR="001166EA">
        <w:rPr>
          <w:rFonts w:cs="Calibri"/>
          <w:noProof/>
          <w:spacing w:val="-6"/>
          <w:sz w:val="8"/>
          <w:szCs w:val="8"/>
          <w:lang w:val="pt-PT"/>
        </w:rPr>
        <w:t>119</w:t>
      </w:r>
      <w:r w:rsidR="00A2037E" w:rsidRPr="00566CD3">
        <w:rPr>
          <w:rFonts w:cs="Calibri"/>
          <w:spacing w:val="-6"/>
          <w:sz w:val="8"/>
          <w:szCs w:val="8"/>
          <w:lang w:val="pt-PT"/>
        </w:rPr>
        <w:fldChar w:fldCharType="end"/>
      </w:r>
      <w:r w:rsidRPr="00566CD3">
        <w:rPr>
          <w:rFonts w:cs="Calibri"/>
          <w:spacing w:val="-6"/>
          <w:sz w:val="8"/>
          <w:szCs w:val="8"/>
          <w:lang w:val="pt-PT"/>
        </w:rPr>
        <w:t xml:space="preserve"> DESTE PROSPECTO.</w:t>
      </w:r>
    </w:p>
    <w:tbl>
      <w:tblPr>
        <w:tblW w:w="10363" w:type="dxa"/>
        <w:jc w:val="center"/>
        <w:tblLook w:val="04A0" w:firstRow="1" w:lastRow="0" w:firstColumn="1" w:lastColumn="0" w:noHBand="0" w:noVBand="1"/>
      </w:tblPr>
      <w:tblGrid>
        <w:gridCol w:w="5240"/>
        <w:gridCol w:w="5103"/>
        <w:gridCol w:w="20"/>
      </w:tblGrid>
      <w:tr w:rsidR="000F4916" w:rsidRPr="00D8141D" w14:paraId="0558D3CD" w14:textId="77777777" w:rsidTr="00566CD3">
        <w:trPr>
          <w:trHeight w:val="432"/>
          <w:jc w:val="center"/>
        </w:trPr>
        <w:tc>
          <w:tcPr>
            <w:tcW w:w="5240" w:type="dxa"/>
            <w:shd w:val="clear" w:color="auto" w:fill="auto"/>
            <w:hideMark/>
          </w:tcPr>
          <w:p w14:paraId="1CD0349F" w14:textId="0D6ADC61" w:rsidR="000F4916" w:rsidRPr="00D8141D" w:rsidRDefault="00364245" w:rsidP="00D8141D">
            <w:pPr>
              <w:pStyle w:val="Body"/>
              <w:spacing w:after="0" w:line="240" w:lineRule="auto"/>
              <w:jc w:val="center"/>
              <w:rPr>
                <w:b/>
                <w:sz w:val="8"/>
                <w:szCs w:val="8"/>
              </w:rPr>
            </w:pPr>
            <w:r w:rsidRPr="00D8141D">
              <w:rPr>
                <w:b/>
                <w:noProof/>
                <w:sz w:val="8"/>
                <w:szCs w:val="8"/>
              </w:rPr>
              <w:drawing>
                <wp:inline distT="0" distB="0" distL="0" distR="0" wp14:anchorId="24F2F4C5" wp14:editId="17A50056">
                  <wp:extent cx="478155" cy="27432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155" cy="274320"/>
                          </a:xfrm>
                          <a:prstGeom prst="rect">
                            <a:avLst/>
                          </a:prstGeom>
                          <a:noFill/>
                          <a:ln>
                            <a:noFill/>
                          </a:ln>
                        </pic:spPr>
                      </pic:pic>
                    </a:graphicData>
                  </a:graphic>
                </wp:inline>
              </w:drawing>
            </w:r>
          </w:p>
        </w:tc>
        <w:tc>
          <w:tcPr>
            <w:tcW w:w="5123" w:type="dxa"/>
            <w:gridSpan w:val="2"/>
            <w:shd w:val="clear" w:color="auto" w:fill="auto"/>
            <w:hideMark/>
          </w:tcPr>
          <w:p w14:paraId="7A7F6BD5" w14:textId="57952F4E" w:rsidR="000F4916" w:rsidRPr="00D8141D" w:rsidRDefault="00364245" w:rsidP="00D8141D">
            <w:pPr>
              <w:pStyle w:val="Body"/>
              <w:spacing w:after="0" w:line="240" w:lineRule="auto"/>
              <w:jc w:val="center"/>
              <w:rPr>
                <w:b/>
                <w:sz w:val="8"/>
                <w:szCs w:val="8"/>
              </w:rPr>
            </w:pPr>
            <w:r w:rsidRPr="00D8141D">
              <w:rPr>
                <w:b/>
                <w:noProof/>
                <w:sz w:val="8"/>
                <w:szCs w:val="8"/>
              </w:rPr>
              <w:drawing>
                <wp:inline distT="0" distB="0" distL="0" distR="0" wp14:anchorId="300AA3C2" wp14:editId="23390C04">
                  <wp:extent cx="492125" cy="281305"/>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125" cy="281305"/>
                          </a:xfrm>
                          <a:prstGeom prst="rect">
                            <a:avLst/>
                          </a:prstGeom>
                          <a:noFill/>
                          <a:ln>
                            <a:noFill/>
                          </a:ln>
                        </pic:spPr>
                      </pic:pic>
                    </a:graphicData>
                  </a:graphic>
                </wp:inline>
              </w:drawing>
            </w:r>
          </w:p>
        </w:tc>
      </w:tr>
      <w:tr w:rsidR="000E7F05" w:rsidRPr="00D8141D" w14:paraId="3633F53C" w14:textId="77777777" w:rsidTr="00566CD3">
        <w:tblPrEx>
          <w:jc w:val="left"/>
        </w:tblPrEx>
        <w:trPr>
          <w:trHeight w:val="194"/>
        </w:trPr>
        <w:tc>
          <w:tcPr>
            <w:tcW w:w="10363" w:type="dxa"/>
            <w:gridSpan w:val="3"/>
            <w:vAlign w:val="center"/>
          </w:tcPr>
          <w:p w14:paraId="20213D28" w14:textId="5096CCE5" w:rsidR="000E7F05" w:rsidRPr="00D8141D" w:rsidRDefault="000E7F05" w:rsidP="00D91C68">
            <w:pPr>
              <w:spacing w:before="120" w:after="80" w:line="276" w:lineRule="auto"/>
              <w:contextualSpacing/>
              <w:jc w:val="center"/>
              <w:rPr>
                <w:rFonts w:cs="Arial"/>
                <w:b/>
                <w:noProof/>
                <w:sz w:val="8"/>
                <w:szCs w:val="8"/>
                <w:lang w:eastAsia="pt-BR"/>
              </w:rPr>
            </w:pPr>
            <w:r w:rsidRPr="00D8141D">
              <w:rPr>
                <w:rFonts w:cs="Arial"/>
                <w:b/>
                <w:noProof/>
                <w:sz w:val="8"/>
                <w:szCs w:val="8"/>
                <w:lang w:eastAsia="pt-BR"/>
              </w:rPr>
              <w:t>Coordenador Líder</w:t>
            </w:r>
          </w:p>
        </w:tc>
      </w:tr>
      <w:tr w:rsidR="00985931" w:rsidRPr="00D8141D" w14:paraId="61FEC12D" w14:textId="77777777" w:rsidTr="00566CD3">
        <w:trPr>
          <w:gridAfter w:val="1"/>
          <w:wAfter w:w="20" w:type="dxa"/>
          <w:trHeight w:val="339"/>
          <w:jc w:val="center"/>
        </w:trPr>
        <w:tc>
          <w:tcPr>
            <w:tcW w:w="10343" w:type="dxa"/>
            <w:gridSpan w:val="2"/>
            <w:shd w:val="clear" w:color="auto" w:fill="auto"/>
            <w:vAlign w:val="center"/>
          </w:tcPr>
          <w:p w14:paraId="0253C023" w14:textId="22715582" w:rsidR="00985931" w:rsidRPr="00D8141D" w:rsidRDefault="00DE150F" w:rsidP="00566CD3">
            <w:pPr>
              <w:spacing w:after="80" w:line="276" w:lineRule="auto"/>
              <w:contextualSpacing/>
              <w:rPr>
                <w:rFonts w:eastAsia="MS Mincho" w:cs="Arial"/>
                <w:noProof/>
                <w:sz w:val="8"/>
                <w:szCs w:val="8"/>
                <w:lang w:eastAsia="pt-BR"/>
              </w:rPr>
            </w:pPr>
            <w:r>
              <w:rPr>
                <w:noProof/>
              </w:rPr>
              <w:drawing>
                <wp:anchor distT="0" distB="0" distL="114300" distR="114300" simplePos="0" relativeHeight="251658240" behindDoc="0" locked="0" layoutInCell="1" allowOverlap="1" wp14:anchorId="70EA1E03" wp14:editId="113D464B">
                  <wp:simplePos x="0" y="0"/>
                  <wp:positionH relativeFrom="column">
                    <wp:posOffset>3070860</wp:posOffset>
                  </wp:positionH>
                  <wp:positionV relativeFrom="paragraph">
                    <wp:posOffset>27305</wp:posOffset>
                  </wp:positionV>
                  <wp:extent cx="314325" cy="296545"/>
                  <wp:effectExtent l="0" t="0" r="9525" b="8255"/>
                  <wp:wrapNone/>
                  <wp:docPr id="3" name="Imagem 32" descr="Forma&#10;&#10;Descrição gerada automaticamente com confiança média">
                    <a:extLst xmlns:a="http://schemas.openxmlformats.org/drawingml/2006/main">
                      <a:ext uri="{FF2B5EF4-FFF2-40B4-BE49-F238E27FC236}">
                        <a16:creationId xmlns:a16="http://schemas.microsoft.com/office/drawing/2014/main" id="{838F8B97-4D01-4E84-BFFD-29C18DC88A49}"/>
                      </a:ext>
                    </a:extLst>
                  </wp:docPr>
                  <wp:cNvGraphicFramePr/>
                  <a:graphic xmlns:a="http://schemas.openxmlformats.org/drawingml/2006/main">
                    <a:graphicData uri="http://schemas.openxmlformats.org/drawingml/2006/picture">
                      <pic:pic xmlns:pic="http://schemas.openxmlformats.org/drawingml/2006/picture">
                        <pic:nvPicPr>
                          <pic:cNvPr id="3" name="Imagem 32" descr="Forma&#10;&#10;Descrição gerada automaticamente com confiança média">
                            <a:extLst>
                              <a:ext uri="{FF2B5EF4-FFF2-40B4-BE49-F238E27FC236}">
                                <a16:creationId xmlns:a16="http://schemas.microsoft.com/office/drawing/2014/main" id="{838F8B97-4D01-4E84-BFFD-29C18DC88A49}"/>
                              </a:ext>
                            </a:extLst>
                          </pic:cNvPr>
                          <pic:cNvPicPr/>
                        </pic:nvPicPr>
                        <pic:blipFill rotWithShape="1">
                          <a:blip r:embed="rId19"/>
                          <a:srcRect r="58172"/>
                          <a:stretch/>
                        </pic:blipFill>
                        <pic:spPr bwMode="auto">
                          <a:xfrm>
                            <a:off x="0" y="0"/>
                            <a:ext cx="314325" cy="2965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tc>
      </w:tr>
    </w:tbl>
    <w:p w14:paraId="0545B99D" w14:textId="77777777" w:rsidR="002A48F5" w:rsidRDefault="002A48F5" w:rsidP="00566CD3">
      <w:pPr>
        <w:jc w:val="center"/>
        <w:rPr>
          <w:rFonts w:cs="Arial"/>
          <w:kern w:val="20"/>
          <w:sz w:val="9"/>
          <w:szCs w:val="9"/>
        </w:rPr>
      </w:pPr>
    </w:p>
    <w:p w14:paraId="5EEE737B" w14:textId="7F60FA21" w:rsidR="00643A12" w:rsidRPr="00566CD3" w:rsidRDefault="00D05A75" w:rsidP="006403B1">
      <w:pPr>
        <w:jc w:val="center"/>
        <w:rPr>
          <w:kern w:val="20"/>
          <w:sz w:val="8"/>
        </w:rPr>
      </w:pPr>
      <w:r w:rsidRPr="00566CD3">
        <w:rPr>
          <w:kern w:val="20"/>
          <w:sz w:val="9"/>
        </w:rPr>
        <w:t xml:space="preserve">A data deste Prospecto </w:t>
      </w:r>
      <w:r w:rsidR="000F6532" w:rsidRPr="00566CD3">
        <w:rPr>
          <w:kern w:val="20"/>
          <w:sz w:val="9"/>
        </w:rPr>
        <w:t>Definitivo</w:t>
      </w:r>
      <w:r w:rsidRPr="00566CD3">
        <w:rPr>
          <w:kern w:val="20"/>
          <w:sz w:val="9"/>
        </w:rPr>
        <w:t xml:space="preserve"> é </w:t>
      </w:r>
      <w:r w:rsidR="003A6908">
        <w:rPr>
          <w:rFonts w:cs="Arial"/>
          <w:kern w:val="20"/>
          <w:sz w:val="9"/>
          <w:szCs w:val="9"/>
        </w:rPr>
        <w:t>21</w:t>
      </w:r>
      <w:r w:rsidRPr="00566CD3">
        <w:rPr>
          <w:kern w:val="20"/>
          <w:sz w:val="9"/>
        </w:rPr>
        <w:t xml:space="preserve"> de </w:t>
      </w:r>
      <w:r w:rsidR="003A6908">
        <w:rPr>
          <w:rFonts w:cs="Arial"/>
          <w:kern w:val="20"/>
          <w:sz w:val="9"/>
          <w:szCs w:val="9"/>
        </w:rPr>
        <w:t>março</w:t>
      </w:r>
      <w:r w:rsidR="003A6908" w:rsidRPr="00566CD3">
        <w:rPr>
          <w:kern w:val="20"/>
          <w:sz w:val="9"/>
        </w:rPr>
        <w:t xml:space="preserve"> </w:t>
      </w:r>
      <w:r w:rsidRPr="00566CD3">
        <w:rPr>
          <w:kern w:val="20"/>
          <w:sz w:val="9"/>
        </w:rPr>
        <w:t>de 202</w:t>
      </w:r>
      <w:r w:rsidR="004E6600" w:rsidRPr="00566CD3">
        <w:rPr>
          <w:kern w:val="20"/>
          <w:sz w:val="9"/>
        </w:rPr>
        <w:t>2</w:t>
      </w:r>
      <w:r w:rsidRPr="00566CD3">
        <w:rPr>
          <w:kern w:val="20"/>
          <w:sz w:val="8"/>
        </w:rPr>
        <w:t>.</w:t>
      </w:r>
    </w:p>
    <w:p w14:paraId="7CD11F67" w14:textId="77777777" w:rsidR="0096695C" w:rsidRPr="00566CD3" w:rsidRDefault="0096695C" w:rsidP="00C4793D">
      <w:pPr>
        <w:spacing w:before="240" w:after="240"/>
        <w:rPr>
          <w:kern w:val="20"/>
          <w:sz w:val="12"/>
        </w:rPr>
        <w:sectPr w:rsidR="0096695C" w:rsidRPr="00566CD3" w:rsidSect="00291082">
          <w:headerReference w:type="default" r:id="rId20"/>
          <w:footerReference w:type="default" r:id="rId21"/>
          <w:headerReference w:type="first" r:id="rId22"/>
          <w:footerReference w:type="first" r:id="rId23"/>
          <w:type w:val="continuous"/>
          <w:pgSz w:w="12240" w:h="15840" w:code="119"/>
          <w:pgMar w:top="1276" w:right="758" w:bottom="1134" w:left="993" w:header="709" w:footer="482" w:gutter="0"/>
          <w:pgNumType w:start="1"/>
          <w:cols w:space="720"/>
          <w:titlePg/>
          <w:docGrid w:linePitch="326"/>
        </w:sectPr>
      </w:pPr>
    </w:p>
    <w:p w14:paraId="7DAEBDEE" w14:textId="77777777" w:rsidR="00C4793D" w:rsidRPr="00566CD3" w:rsidRDefault="00C4793D" w:rsidP="00662638">
      <w:pPr>
        <w:spacing w:before="220" w:after="220"/>
        <w:jc w:val="center"/>
      </w:pPr>
    </w:p>
    <w:p w14:paraId="33B95C0E" w14:textId="77777777" w:rsidR="00C4793D" w:rsidRPr="00566CD3" w:rsidRDefault="00C4793D" w:rsidP="00662638">
      <w:pPr>
        <w:spacing w:before="220" w:after="220"/>
        <w:jc w:val="center"/>
      </w:pPr>
    </w:p>
    <w:p w14:paraId="690D6405" w14:textId="77777777" w:rsidR="00C4793D" w:rsidRPr="00566CD3" w:rsidRDefault="00C4793D" w:rsidP="00662638">
      <w:pPr>
        <w:spacing w:before="220" w:after="220"/>
        <w:jc w:val="center"/>
      </w:pPr>
    </w:p>
    <w:p w14:paraId="41C2F2FA" w14:textId="77777777" w:rsidR="00C4793D" w:rsidRPr="00566CD3" w:rsidRDefault="00C4793D" w:rsidP="00662638">
      <w:pPr>
        <w:spacing w:before="220" w:after="220"/>
        <w:jc w:val="center"/>
      </w:pPr>
    </w:p>
    <w:p w14:paraId="6EF02E85" w14:textId="77777777" w:rsidR="00C4793D" w:rsidRPr="00566CD3" w:rsidRDefault="00C4793D" w:rsidP="00662638">
      <w:pPr>
        <w:spacing w:before="220" w:after="220"/>
        <w:jc w:val="center"/>
      </w:pPr>
    </w:p>
    <w:p w14:paraId="0F358C05" w14:textId="77777777" w:rsidR="00C4793D" w:rsidRPr="00566CD3" w:rsidRDefault="00C4793D" w:rsidP="00662638">
      <w:pPr>
        <w:spacing w:before="220" w:after="220"/>
        <w:jc w:val="center"/>
      </w:pPr>
    </w:p>
    <w:p w14:paraId="14495E48" w14:textId="77777777" w:rsidR="00C4793D" w:rsidRPr="00566CD3" w:rsidRDefault="00C4793D" w:rsidP="00662638">
      <w:pPr>
        <w:spacing w:before="220" w:after="220"/>
        <w:jc w:val="center"/>
      </w:pPr>
    </w:p>
    <w:p w14:paraId="5DB2A80D" w14:textId="77777777" w:rsidR="00C4793D" w:rsidRPr="00566CD3" w:rsidRDefault="00C4793D" w:rsidP="00662638">
      <w:pPr>
        <w:spacing w:before="220" w:after="220"/>
        <w:jc w:val="center"/>
      </w:pPr>
    </w:p>
    <w:p w14:paraId="29E5E7E5" w14:textId="77777777" w:rsidR="00C4793D" w:rsidRPr="00566CD3" w:rsidRDefault="00C4793D" w:rsidP="00662638">
      <w:pPr>
        <w:spacing w:before="220" w:after="220"/>
        <w:jc w:val="center"/>
      </w:pPr>
    </w:p>
    <w:p w14:paraId="73FE089E" w14:textId="77777777" w:rsidR="00C4793D" w:rsidRPr="00566CD3" w:rsidRDefault="00C4793D" w:rsidP="00662638">
      <w:pPr>
        <w:spacing w:before="220" w:after="220"/>
        <w:jc w:val="center"/>
      </w:pPr>
    </w:p>
    <w:p w14:paraId="739D79B9" w14:textId="77777777" w:rsidR="00C4793D" w:rsidRPr="00566CD3" w:rsidRDefault="00C4793D" w:rsidP="00662638">
      <w:pPr>
        <w:spacing w:before="220" w:after="220"/>
        <w:jc w:val="center"/>
      </w:pPr>
    </w:p>
    <w:p w14:paraId="7B53B6CC" w14:textId="77777777" w:rsidR="00C4793D" w:rsidRPr="00566CD3" w:rsidRDefault="00C4793D" w:rsidP="00662638">
      <w:pPr>
        <w:spacing w:before="220" w:after="220"/>
        <w:jc w:val="center"/>
      </w:pPr>
    </w:p>
    <w:p w14:paraId="5598B568" w14:textId="77777777" w:rsidR="00662638" w:rsidRPr="00566CD3" w:rsidRDefault="00662638" w:rsidP="00662638">
      <w:pPr>
        <w:spacing w:before="220" w:after="220"/>
        <w:jc w:val="center"/>
      </w:pPr>
    </w:p>
    <w:p w14:paraId="5E743603" w14:textId="77777777" w:rsidR="0049069D" w:rsidRPr="00566CD3" w:rsidRDefault="0049069D" w:rsidP="00D15DEE">
      <w:pPr>
        <w:spacing w:before="240" w:after="240"/>
        <w:jc w:val="center"/>
      </w:pPr>
      <w:r w:rsidRPr="00566CD3">
        <w:t xml:space="preserve"> </w:t>
      </w:r>
      <w:r w:rsidR="00D15DEE" w:rsidRPr="00566CD3">
        <w:t>(Esta página foi intencionalmente deixada em branco)</w:t>
      </w:r>
    </w:p>
    <w:p w14:paraId="2B490C20" w14:textId="77777777" w:rsidR="00E8286C" w:rsidRPr="009E5F9A" w:rsidRDefault="0049069D" w:rsidP="009E5F9A">
      <w:pPr>
        <w:pStyle w:val="Ttulo1"/>
        <w:keepNext w:val="0"/>
        <w:pageBreakBefore w:val="0"/>
        <w:widowControl w:val="0"/>
        <w:spacing w:after="140" w:line="290" w:lineRule="auto"/>
        <w:rPr>
          <w:rFonts w:cs="Calibri"/>
          <w:caps w:val="0"/>
          <w:szCs w:val="24"/>
        </w:rPr>
      </w:pPr>
      <w:r w:rsidRPr="00566CD3">
        <w:br w:type="page"/>
      </w:r>
      <w:bookmarkStart w:id="4" w:name="_Toc95870869"/>
      <w:bookmarkStart w:id="5" w:name="_Toc95900709"/>
      <w:bookmarkStart w:id="6" w:name="_Toc95928385"/>
      <w:r w:rsidR="00E8286C" w:rsidRPr="009E5F9A">
        <w:rPr>
          <w:rFonts w:cs="Calibri"/>
          <w:caps w:val="0"/>
          <w:szCs w:val="24"/>
        </w:rPr>
        <w:lastRenderedPageBreak/>
        <w:t>ÍNDICE</w:t>
      </w:r>
      <w:bookmarkEnd w:id="4"/>
      <w:bookmarkEnd w:id="5"/>
      <w:bookmarkEnd w:id="6"/>
    </w:p>
    <w:p w14:paraId="4BEE7EFD" w14:textId="67612EFF" w:rsidR="00532D2D" w:rsidRPr="00532D2D" w:rsidRDefault="00B0703E" w:rsidP="00532D2D">
      <w:pPr>
        <w:pStyle w:val="Sumrio1"/>
        <w:ind w:left="0" w:firstLine="0"/>
        <w:rPr>
          <w:rStyle w:val="Hyperlink"/>
          <w:rFonts w:ascii="Calibri" w:hAnsi="Calibri" w:cs="Calibri"/>
          <w:sz w:val="22"/>
        </w:rPr>
      </w:pPr>
      <w:r w:rsidRPr="00D8141D">
        <w:rPr>
          <w:rFonts w:cs="Calibri"/>
          <w:lang w:val="pt-BR"/>
        </w:rPr>
        <w:fldChar w:fldCharType="begin"/>
      </w:r>
      <w:r w:rsidRPr="00D8141D">
        <w:rPr>
          <w:rFonts w:cs="Calibri"/>
          <w:lang w:val="pt-BR"/>
        </w:rPr>
        <w:instrText xml:space="preserve"> TOC \o "1-3" \h \z \u </w:instrText>
      </w:r>
      <w:r w:rsidRPr="00D8141D">
        <w:rPr>
          <w:rFonts w:cs="Calibri"/>
          <w:lang w:val="pt-BR"/>
        </w:rPr>
        <w:fldChar w:fldCharType="separate"/>
      </w:r>
      <w:hyperlink w:anchor="_Toc95928386" w:history="1">
        <w:r w:rsidR="00532D2D" w:rsidRPr="00532D2D">
          <w:rPr>
            <w:rStyle w:val="Hyperlink"/>
            <w:rFonts w:ascii="Calibri" w:hAnsi="Calibri" w:cs="Calibri"/>
            <w:sz w:val="22"/>
          </w:rPr>
          <w:t>DEFINIÇÕES</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_Toc95928386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7</w:t>
        </w:r>
        <w:r w:rsidR="00532D2D" w:rsidRPr="00532D2D">
          <w:rPr>
            <w:rStyle w:val="Hyperlink"/>
            <w:rFonts w:ascii="Calibri" w:hAnsi="Calibri" w:cs="Calibri"/>
            <w:webHidden/>
            <w:sz w:val="22"/>
          </w:rPr>
          <w:fldChar w:fldCharType="end"/>
        </w:r>
      </w:hyperlink>
    </w:p>
    <w:p w14:paraId="178A9F2E" w14:textId="513D1ABA" w:rsidR="00532D2D" w:rsidRPr="00532D2D" w:rsidRDefault="0079281B" w:rsidP="00532D2D">
      <w:pPr>
        <w:pStyle w:val="Sumrio1"/>
        <w:ind w:left="0" w:firstLine="0"/>
        <w:rPr>
          <w:rStyle w:val="Hyperlink"/>
          <w:rFonts w:ascii="Calibri" w:hAnsi="Calibri" w:cs="Calibri"/>
          <w:sz w:val="22"/>
        </w:rPr>
      </w:pPr>
      <w:hyperlink w:anchor="_Toc95928387" w:history="1">
        <w:r w:rsidR="00532D2D" w:rsidRPr="00532D2D">
          <w:rPr>
            <w:rStyle w:val="Hyperlink"/>
            <w:rFonts w:ascii="Calibri" w:hAnsi="Calibri" w:cs="Calibri"/>
            <w:sz w:val="22"/>
          </w:rPr>
          <w:t>INFORMAÇÕES CADASTRAIS DA EMISSORA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_Toc95928387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31</w:t>
        </w:r>
        <w:r w:rsidR="00532D2D" w:rsidRPr="00532D2D">
          <w:rPr>
            <w:rStyle w:val="Hyperlink"/>
            <w:rFonts w:ascii="Calibri" w:hAnsi="Calibri" w:cs="Calibri"/>
            <w:webHidden/>
            <w:sz w:val="22"/>
          </w:rPr>
          <w:fldChar w:fldCharType="end"/>
        </w:r>
      </w:hyperlink>
    </w:p>
    <w:p w14:paraId="3C09776F" w14:textId="51C812F3" w:rsidR="00532D2D" w:rsidRPr="00532D2D" w:rsidRDefault="0079281B" w:rsidP="00532D2D">
      <w:pPr>
        <w:pStyle w:val="Sumrio1"/>
        <w:ind w:left="0" w:firstLine="0"/>
        <w:rPr>
          <w:rStyle w:val="Hyperlink"/>
          <w:rFonts w:ascii="Calibri" w:hAnsi="Calibri" w:cs="Calibri"/>
          <w:sz w:val="22"/>
        </w:rPr>
      </w:pPr>
      <w:hyperlink w:anchor="_Toc95928388" w:history="1">
        <w:r w:rsidR="00532D2D" w:rsidRPr="00532D2D">
          <w:rPr>
            <w:rStyle w:val="Hyperlink"/>
            <w:rFonts w:ascii="Calibri" w:hAnsi="Calibri" w:cs="Calibri"/>
            <w:sz w:val="22"/>
          </w:rPr>
          <w:t>DOCUMENTOS E INFORMAÇÕES INCORPORADOS A ESTE PROSPECTO POR REFERÊNCIA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_Toc95928388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33</w:t>
        </w:r>
        <w:r w:rsidR="00532D2D" w:rsidRPr="00532D2D">
          <w:rPr>
            <w:rStyle w:val="Hyperlink"/>
            <w:rFonts w:ascii="Calibri" w:hAnsi="Calibri" w:cs="Calibri"/>
            <w:webHidden/>
            <w:sz w:val="22"/>
          </w:rPr>
          <w:fldChar w:fldCharType="end"/>
        </w:r>
      </w:hyperlink>
    </w:p>
    <w:p w14:paraId="5237C15A" w14:textId="2854C535" w:rsidR="00532D2D" w:rsidRPr="00532D2D" w:rsidRDefault="0079281B" w:rsidP="00532D2D">
      <w:pPr>
        <w:pStyle w:val="Sumrio1"/>
        <w:ind w:left="0" w:firstLine="0"/>
        <w:rPr>
          <w:rStyle w:val="Hyperlink"/>
          <w:rFonts w:ascii="Calibri" w:hAnsi="Calibri" w:cs="Calibri"/>
          <w:sz w:val="22"/>
        </w:rPr>
      </w:pPr>
      <w:hyperlink w:anchor="_Toc95928389" w:history="1">
        <w:r w:rsidR="00532D2D" w:rsidRPr="00532D2D">
          <w:rPr>
            <w:rStyle w:val="Hyperlink"/>
            <w:rFonts w:ascii="Calibri" w:hAnsi="Calibri" w:cs="Calibri"/>
            <w:sz w:val="22"/>
          </w:rPr>
          <w:t>CONSIDERAÇÕES SOBRE ESTIMATIVAS E DECLARAÇÕES ACERCA DO FUTURO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_Toc95928389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37</w:t>
        </w:r>
        <w:r w:rsidR="00532D2D" w:rsidRPr="00532D2D">
          <w:rPr>
            <w:rStyle w:val="Hyperlink"/>
            <w:rFonts w:ascii="Calibri" w:hAnsi="Calibri" w:cs="Calibri"/>
            <w:webHidden/>
            <w:sz w:val="22"/>
          </w:rPr>
          <w:fldChar w:fldCharType="end"/>
        </w:r>
      </w:hyperlink>
    </w:p>
    <w:p w14:paraId="40018657" w14:textId="3E928680" w:rsidR="00532D2D" w:rsidRPr="00532D2D" w:rsidRDefault="0079281B" w:rsidP="00532D2D">
      <w:pPr>
        <w:pStyle w:val="Sumrio1"/>
        <w:ind w:left="0" w:firstLine="0"/>
        <w:rPr>
          <w:rStyle w:val="Hyperlink"/>
          <w:rFonts w:ascii="Calibri" w:hAnsi="Calibri" w:cs="Calibri"/>
          <w:sz w:val="22"/>
        </w:rPr>
      </w:pPr>
      <w:hyperlink w:anchor="_Toc95928390" w:history="1">
        <w:r w:rsidR="00532D2D" w:rsidRPr="00532D2D">
          <w:rPr>
            <w:rStyle w:val="Hyperlink"/>
            <w:rFonts w:ascii="Calibri" w:hAnsi="Calibri" w:cs="Calibri"/>
            <w:sz w:val="22"/>
          </w:rPr>
          <w:t>SUMÁRIO DA OFERTA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_Toc95928390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41</w:t>
        </w:r>
        <w:r w:rsidR="00532D2D" w:rsidRPr="00532D2D">
          <w:rPr>
            <w:rStyle w:val="Hyperlink"/>
            <w:rFonts w:ascii="Calibri" w:hAnsi="Calibri" w:cs="Calibri"/>
            <w:webHidden/>
            <w:sz w:val="22"/>
          </w:rPr>
          <w:fldChar w:fldCharType="end"/>
        </w:r>
      </w:hyperlink>
    </w:p>
    <w:p w14:paraId="158B9FFC" w14:textId="7E9B3CA3" w:rsidR="00532D2D" w:rsidRDefault="0079281B">
      <w:pPr>
        <w:pStyle w:val="Sumrio1"/>
        <w:rPr>
          <w:rFonts w:eastAsiaTheme="minorEastAsia"/>
          <w:b w:val="0"/>
          <w:bCs w:val="0"/>
          <w:kern w:val="0"/>
          <w:lang w:val="pt-BR" w:eastAsia="pt-BR"/>
        </w:rPr>
      </w:pPr>
      <w:hyperlink w:anchor="_Toc95928391" w:history="1">
        <w:r w:rsidR="00532D2D" w:rsidRPr="00663D53">
          <w:rPr>
            <w:rStyle w:val="Hyperlink"/>
            <w:rFonts w:eastAsia="Calibri" w:cs="Calibri"/>
          </w:rPr>
          <w:t>Pessoas Vinculadas</w:t>
        </w:r>
        <w:r w:rsidR="00532D2D">
          <w:rPr>
            <w:webHidden/>
          </w:rPr>
          <w:tab/>
        </w:r>
        <w:r w:rsidR="00532D2D">
          <w:rPr>
            <w:webHidden/>
          </w:rPr>
          <w:fldChar w:fldCharType="begin"/>
        </w:r>
        <w:r w:rsidR="00532D2D">
          <w:rPr>
            <w:webHidden/>
          </w:rPr>
          <w:instrText xml:space="preserve"> PAGEREF _Toc95928391 \h </w:instrText>
        </w:r>
        <w:r w:rsidR="00532D2D">
          <w:rPr>
            <w:webHidden/>
          </w:rPr>
        </w:r>
        <w:r w:rsidR="00532D2D">
          <w:rPr>
            <w:webHidden/>
          </w:rPr>
          <w:fldChar w:fldCharType="separate"/>
        </w:r>
        <w:r w:rsidR="001166EA">
          <w:rPr>
            <w:webHidden/>
          </w:rPr>
          <w:t>56</w:t>
        </w:r>
        <w:r w:rsidR="00532D2D">
          <w:rPr>
            <w:webHidden/>
          </w:rPr>
          <w:fldChar w:fldCharType="end"/>
        </w:r>
      </w:hyperlink>
    </w:p>
    <w:p w14:paraId="28853B00" w14:textId="4BCF9E1A" w:rsidR="00532D2D" w:rsidRPr="00532D2D" w:rsidRDefault="0079281B" w:rsidP="00532D2D">
      <w:pPr>
        <w:pStyle w:val="Sumrio1"/>
        <w:ind w:left="0" w:firstLine="0"/>
        <w:rPr>
          <w:rStyle w:val="Hyperlink"/>
          <w:rFonts w:ascii="Calibri" w:hAnsi="Calibri" w:cs="Calibri"/>
          <w:sz w:val="22"/>
        </w:rPr>
      </w:pPr>
      <w:hyperlink w:anchor="_Toc95928392" w:history="1">
        <w:r w:rsidR="00532D2D" w:rsidRPr="00532D2D">
          <w:rPr>
            <w:rStyle w:val="Hyperlink"/>
            <w:rFonts w:ascii="Calibri" w:hAnsi="Calibri" w:cs="Calibri"/>
            <w:sz w:val="22"/>
          </w:rPr>
          <w:t>CRONOGRAMA ESTIMADO DAS ETAPAS DA OFERTA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_Toc95928392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63</w:t>
        </w:r>
        <w:r w:rsidR="00532D2D" w:rsidRPr="00532D2D">
          <w:rPr>
            <w:rStyle w:val="Hyperlink"/>
            <w:rFonts w:ascii="Calibri" w:hAnsi="Calibri" w:cs="Calibri"/>
            <w:webHidden/>
            <w:sz w:val="22"/>
          </w:rPr>
          <w:fldChar w:fldCharType="end"/>
        </w:r>
      </w:hyperlink>
    </w:p>
    <w:p w14:paraId="1A35282C" w14:textId="1D5845E0" w:rsidR="00532D2D" w:rsidRPr="00532D2D" w:rsidRDefault="0079281B" w:rsidP="00532D2D">
      <w:pPr>
        <w:pStyle w:val="Sumrio1"/>
        <w:ind w:left="0" w:firstLine="0"/>
        <w:rPr>
          <w:rStyle w:val="Hyperlink"/>
          <w:rFonts w:ascii="Calibri" w:hAnsi="Calibri" w:cs="Calibri"/>
          <w:sz w:val="22"/>
        </w:rPr>
      </w:pPr>
      <w:hyperlink w:anchor="_Toc95928393" w:history="1">
        <w:r w:rsidR="00532D2D" w:rsidRPr="00532D2D">
          <w:rPr>
            <w:rStyle w:val="Hyperlink"/>
            <w:rFonts w:ascii="Calibri" w:hAnsi="Calibri" w:cs="Calibri"/>
            <w:sz w:val="22"/>
          </w:rPr>
          <w:t>INFORMAÇÕES RELATIVAS À EMISSÃO, À OFERTA E ÀS DEBÊNTURES</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_Toc95928393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67</w:t>
        </w:r>
        <w:r w:rsidR="00532D2D" w:rsidRPr="00532D2D">
          <w:rPr>
            <w:rStyle w:val="Hyperlink"/>
            <w:rFonts w:ascii="Calibri" w:hAnsi="Calibri" w:cs="Calibri"/>
            <w:webHidden/>
            <w:sz w:val="22"/>
          </w:rPr>
          <w:fldChar w:fldCharType="end"/>
        </w:r>
      </w:hyperlink>
    </w:p>
    <w:p w14:paraId="0452EA2B" w14:textId="08E622C9" w:rsidR="00532D2D" w:rsidRPr="00532D2D" w:rsidRDefault="0079281B" w:rsidP="00532D2D">
      <w:pPr>
        <w:pStyle w:val="Sumrio1"/>
        <w:ind w:left="0" w:firstLine="0"/>
        <w:rPr>
          <w:rStyle w:val="Hyperlink"/>
          <w:rFonts w:ascii="Calibri" w:hAnsi="Calibri" w:cs="Calibri"/>
          <w:sz w:val="22"/>
        </w:rPr>
      </w:pPr>
      <w:hyperlink w:anchor="_Toc95928394" w:history="1">
        <w:r w:rsidR="00532D2D" w:rsidRPr="00532D2D">
          <w:rPr>
            <w:rStyle w:val="Hyperlink"/>
            <w:rFonts w:ascii="Calibri" w:hAnsi="Calibri" w:cs="Calibri"/>
            <w:sz w:val="22"/>
          </w:rPr>
          <w:t>COMPOSIÇÃO DO CAPITAL SOCIAL DA EMISSORA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_Toc95928394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67</w:t>
        </w:r>
        <w:r w:rsidR="00532D2D" w:rsidRPr="00532D2D">
          <w:rPr>
            <w:rStyle w:val="Hyperlink"/>
            <w:rFonts w:ascii="Calibri" w:hAnsi="Calibri" w:cs="Calibri"/>
            <w:webHidden/>
            <w:sz w:val="22"/>
          </w:rPr>
          <w:fldChar w:fldCharType="end"/>
        </w:r>
      </w:hyperlink>
    </w:p>
    <w:p w14:paraId="7BEE205A" w14:textId="170C5128" w:rsidR="00532D2D" w:rsidRPr="00532D2D" w:rsidRDefault="0079281B" w:rsidP="00532D2D">
      <w:pPr>
        <w:pStyle w:val="Sumrio1"/>
        <w:ind w:left="0" w:firstLine="0"/>
        <w:rPr>
          <w:rStyle w:val="Hyperlink"/>
          <w:rFonts w:ascii="Calibri" w:hAnsi="Calibri" w:cs="Calibri"/>
          <w:sz w:val="22"/>
        </w:rPr>
      </w:pPr>
      <w:hyperlink w:anchor="_Toc95928395" w:history="1">
        <w:r w:rsidR="00532D2D" w:rsidRPr="00532D2D">
          <w:rPr>
            <w:rStyle w:val="Hyperlink"/>
            <w:rFonts w:ascii="Calibri" w:hAnsi="Calibri" w:cs="Calibri"/>
            <w:sz w:val="22"/>
          </w:rPr>
          <w:t>AUTORIZAÇÃO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_Toc95928395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67</w:t>
        </w:r>
        <w:r w:rsidR="00532D2D" w:rsidRPr="00532D2D">
          <w:rPr>
            <w:rStyle w:val="Hyperlink"/>
            <w:rFonts w:ascii="Calibri" w:hAnsi="Calibri" w:cs="Calibri"/>
            <w:webHidden/>
            <w:sz w:val="22"/>
          </w:rPr>
          <w:fldChar w:fldCharType="end"/>
        </w:r>
      </w:hyperlink>
    </w:p>
    <w:p w14:paraId="795C0764" w14:textId="5774591F" w:rsidR="00532D2D" w:rsidRPr="00532D2D" w:rsidRDefault="0079281B" w:rsidP="00532D2D">
      <w:pPr>
        <w:pStyle w:val="Sumrio1"/>
        <w:ind w:left="0" w:firstLine="0"/>
        <w:rPr>
          <w:rStyle w:val="Hyperlink"/>
          <w:rFonts w:ascii="Calibri" w:hAnsi="Calibri" w:cs="Calibri"/>
          <w:sz w:val="22"/>
        </w:rPr>
      </w:pPr>
      <w:hyperlink w:anchor="_Toc95928396" w:history="1">
        <w:r w:rsidR="00532D2D" w:rsidRPr="00532D2D">
          <w:rPr>
            <w:rStyle w:val="Hyperlink"/>
            <w:rFonts w:ascii="Calibri" w:hAnsi="Calibri" w:cs="Calibri"/>
            <w:sz w:val="22"/>
          </w:rPr>
          <w:t>REQUISITOS</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_Toc95928396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68</w:t>
        </w:r>
        <w:r w:rsidR="00532D2D" w:rsidRPr="00532D2D">
          <w:rPr>
            <w:rStyle w:val="Hyperlink"/>
            <w:rFonts w:ascii="Calibri" w:hAnsi="Calibri" w:cs="Calibri"/>
            <w:webHidden/>
            <w:sz w:val="22"/>
          </w:rPr>
          <w:fldChar w:fldCharType="end"/>
        </w:r>
      </w:hyperlink>
    </w:p>
    <w:p w14:paraId="5A947A57" w14:textId="00FB739F" w:rsidR="00532D2D" w:rsidRPr="00532D2D" w:rsidRDefault="0079281B">
      <w:pPr>
        <w:pStyle w:val="Sumrio3"/>
        <w:rPr>
          <w:rStyle w:val="Hyperlink"/>
          <w:rFonts w:ascii="Calibri" w:eastAsia="SimSun" w:hAnsi="Calibri"/>
          <w:sz w:val="22"/>
          <w:szCs w:val="24"/>
        </w:rPr>
      </w:pPr>
      <w:hyperlink w:anchor="_Toc95928397" w:history="1">
        <w:r w:rsidR="00532D2D" w:rsidRPr="00532D2D">
          <w:rPr>
            <w:rStyle w:val="Hyperlink"/>
            <w:rFonts w:ascii="Calibri" w:eastAsia="SimSun" w:hAnsi="Calibri"/>
            <w:sz w:val="22"/>
            <w:szCs w:val="24"/>
          </w:rPr>
          <w:t>Arquivamento e Publicação dos atos societários.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_Toc95928397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68</w:t>
        </w:r>
        <w:r w:rsidR="00532D2D" w:rsidRPr="00532D2D">
          <w:rPr>
            <w:rStyle w:val="Hyperlink"/>
            <w:rFonts w:ascii="Calibri" w:eastAsia="SimSun" w:hAnsi="Calibri"/>
            <w:webHidden/>
            <w:sz w:val="22"/>
            <w:szCs w:val="24"/>
          </w:rPr>
          <w:fldChar w:fldCharType="end"/>
        </w:r>
      </w:hyperlink>
    </w:p>
    <w:p w14:paraId="0D2654EB" w14:textId="1854DBDF" w:rsidR="00532D2D" w:rsidRPr="00532D2D" w:rsidRDefault="0079281B">
      <w:pPr>
        <w:pStyle w:val="Sumrio3"/>
        <w:rPr>
          <w:rStyle w:val="Hyperlink"/>
          <w:rFonts w:ascii="Calibri" w:eastAsia="SimSun" w:hAnsi="Calibri"/>
          <w:sz w:val="22"/>
          <w:szCs w:val="24"/>
        </w:rPr>
      </w:pPr>
      <w:hyperlink w:anchor="_Toc95928398" w:history="1">
        <w:r w:rsidR="00532D2D" w:rsidRPr="00532D2D">
          <w:rPr>
            <w:rStyle w:val="Hyperlink"/>
            <w:rFonts w:ascii="Calibri" w:eastAsia="SimSun" w:hAnsi="Calibri"/>
            <w:sz w:val="22"/>
            <w:szCs w:val="24"/>
          </w:rPr>
          <w:t>Inscrição e registo da Escritura de Emissão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_Toc95928398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68</w:t>
        </w:r>
        <w:r w:rsidR="00532D2D" w:rsidRPr="00532D2D">
          <w:rPr>
            <w:rStyle w:val="Hyperlink"/>
            <w:rFonts w:ascii="Calibri" w:eastAsia="SimSun" w:hAnsi="Calibri"/>
            <w:webHidden/>
            <w:sz w:val="22"/>
            <w:szCs w:val="24"/>
          </w:rPr>
          <w:fldChar w:fldCharType="end"/>
        </w:r>
      </w:hyperlink>
    </w:p>
    <w:p w14:paraId="129471C6" w14:textId="7C215DDC" w:rsidR="00532D2D" w:rsidRPr="00532D2D" w:rsidRDefault="0079281B">
      <w:pPr>
        <w:pStyle w:val="Sumrio3"/>
        <w:rPr>
          <w:rStyle w:val="Hyperlink"/>
          <w:rFonts w:ascii="Calibri" w:eastAsia="SimSun" w:hAnsi="Calibri"/>
          <w:sz w:val="22"/>
          <w:szCs w:val="24"/>
        </w:rPr>
      </w:pPr>
      <w:hyperlink w:anchor="_Toc95928399" w:history="1">
        <w:r w:rsidR="00532D2D" w:rsidRPr="00532D2D">
          <w:rPr>
            <w:rStyle w:val="Hyperlink"/>
            <w:rFonts w:ascii="Calibri" w:eastAsia="SimSun" w:hAnsi="Calibri"/>
            <w:sz w:val="22"/>
            <w:szCs w:val="24"/>
          </w:rPr>
          <w:t>Depósito para Distribuição.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_Toc95928399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68</w:t>
        </w:r>
        <w:r w:rsidR="00532D2D" w:rsidRPr="00532D2D">
          <w:rPr>
            <w:rStyle w:val="Hyperlink"/>
            <w:rFonts w:ascii="Calibri" w:eastAsia="SimSun" w:hAnsi="Calibri"/>
            <w:webHidden/>
            <w:sz w:val="22"/>
            <w:szCs w:val="24"/>
          </w:rPr>
          <w:fldChar w:fldCharType="end"/>
        </w:r>
      </w:hyperlink>
    </w:p>
    <w:p w14:paraId="63DD6775" w14:textId="4605B61A" w:rsidR="00532D2D" w:rsidRPr="00532D2D" w:rsidRDefault="0079281B">
      <w:pPr>
        <w:pStyle w:val="Sumrio3"/>
        <w:rPr>
          <w:rStyle w:val="Hyperlink"/>
          <w:rFonts w:ascii="Calibri" w:eastAsia="SimSun" w:hAnsi="Calibri"/>
          <w:sz w:val="22"/>
          <w:szCs w:val="24"/>
        </w:rPr>
      </w:pPr>
      <w:hyperlink w:anchor="_Toc95928400" w:history="1">
        <w:r w:rsidR="00532D2D" w:rsidRPr="00532D2D">
          <w:rPr>
            <w:rStyle w:val="Hyperlink"/>
            <w:rFonts w:ascii="Calibri" w:eastAsia="SimSun" w:hAnsi="Calibri"/>
            <w:sz w:val="22"/>
            <w:szCs w:val="24"/>
          </w:rPr>
          <w:t>Depósito para negociação e custódia eletrônica.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_Toc95928400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68</w:t>
        </w:r>
        <w:r w:rsidR="00532D2D" w:rsidRPr="00532D2D">
          <w:rPr>
            <w:rStyle w:val="Hyperlink"/>
            <w:rFonts w:ascii="Calibri" w:eastAsia="SimSun" w:hAnsi="Calibri"/>
            <w:webHidden/>
            <w:sz w:val="22"/>
            <w:szCs w:val="24"/>
          </w:rPr>
          <w:fldChar w:fldCharType="end"/>
        </w:r>
      </w:hyperlink>
    </w:p>
    <w:p w14:paraId="3FD6EBFD" w14:textId="68DCA5A1" w:rsidR="00532D2D" w:rsidRPr="00532D2D" w:rsidRDefault="0079281B">
      <w:pPr>
        <w:pStyle w:val="Sumrio3"/>
        <w:rPr>
          <w:rStyle w:val="Hyperlink"/>
          <w:rFonts w:ascii="Calibri" w:eastAsia="SimSun" w:hAnsi="Calibri"/>
          <w:sz w:val="22"/>
          <w:szCs w:val="24"/>
        </w:rPr>
      </w:pPr>
      <w:hyperlink w:anchor="_Toc95928401" w:history="1">
        <w:r w:rsidR="00532D2D" w:rsidRPr="00532D2D">
          <w:rPr>
            <w:rStyle w:val="Hyperlink"/>
            <w:rFonts w:ascii="Calibri" w:eastAsia="SimSun" w:hAnsi="Calibri"/>
            <w:sz w:val="22"/>
            <w:szCs w:val="24"/>
          </w:rPr>
          <w:t>Registro na CVM</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_Toc95928401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69</w:t>
        </w:r>
        <w:r w:rsidR="00532D2D" w:rsidRPr="00532D2D">
          <w:rPr>
            <w:rStyle w:val="Hyperlink"/>
            <w:rFonts w:ascii="Calibri" w:eastAsia="SimSun" w:hAnsi="Calibri"/>
            <w:webHidden/>
            <w:sz w:val="22"/>
            <w:szCs w:val="24"/>
          </w:rPr>
          <w:fldChar w:fldCharType="end"/>
        </w:r>
      </w:hyperlink>
    </w:p>
    <w:p w14:paraId="332825BF" w14:textId="4CD20EBF" w:rsidR="00532D2D" w:rsidRPr="00532D2D" w:rsidRDefault="0079281B">
      <w:pPr>
        <w:pStyle w:val="Sumrio3"/>
        <w:rPr>
          <w:rStyle w:val="Hyperlink"/>
          <w:rFonts w:ascii="Calibri" w:eastAsia="SimSun" w:hAnsi="Calibri"/>
          <w:sz w:val="22"/>
          <w:szCs w:val="24"/>
        </w:rPr>
      </w:pPr>
      <w:hyperlink w:anchor="_Toc95928402" w:history="1">
        <w:r w:rsidR="00532D2D" w:rsidRPr="00532D2D">
          <w:rPr>
            <w:rStyle w:val="Hyperlink"/>
            <w:rFonts w:ascii="Calibri" w:eastAsia="SimSun" w:hAnsi="Calibri"/>
            <w:sz w:val="22"/>
            <w:szCs w:val="24"/>
          </w:rPr>
          <w:t>Registro pela ANBIMA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_Toc95928402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69</w:t>
        </w:r>
        <w:r w:rsidR="00532D2D" w:rsidRPr="00532D2D">
          <w:rPr>
            <w:rStyle w:val="Hyperlink"/>
            <w:rFonts w:ascii="Calibri" w:eastAsia="SimSun" w:hAnsi="Calibri"/>
            <w:webHidden/>
            <w:sz w:val="22"/>
            <w:szCs w:val="24"/>
          </w:rPr>
          <w:fldChar w:fldCharType="end"/>
        </w:r>
      </w:hyperlink>
    </w:p>
    <w:p w14:paraId="263CEC40" w14:textId="76938A6E" w:rsidR="00532D2D" w:rsidRPr="00532D2D" w:rsidRDefault="0079281B">
      <w:pPr>
        <w:pStyle w:val="Sumrio3"/>
        <w:rPr>
          <w:rStyle w:val="Hyperlink"/>
          <w:rFonts w:ascii="Calibri" w:eastAsia="SimSun" w:hAnsi="Calibri"/>
          <w:sz w:val="22"/>
          <w:szCs w:val="24"/>
        </w:rPr>
      </w:pPr>
      <w:hyperlink w:anchor="_Toc95928403" w:history="1">
        <w:r w:rsidR="00532D2D" w:rsidRPr="00532D2D">
          <w:rPr>
            <w:rStyle w:val="Hyperlink"/>
            <w:rFonts w:ascii="Calibri" w:eastAsia="SimSun" w:hAnsi="Calibri"/>
            <w:sz w:val="22"/>
            <w:szCs w:val="24"/>
          </w:rPr>
          <w:t>Projetos de Investimento como Prioritário pelo Ministério de Minas e Energia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_Toc95928403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69</w:t>
        </w:r>
        <w:r w:rsidR="00532D2D" w:rsidRPr="00532D2D">
          <w:rPr>
            <w:rStyle w:val="Hyperlink"/>
            <w:rFonts w:ascii="Calibri" w:eastAsia="SimSun" w:hAnsi="Calibri"/>
            <w:webHidden/>
            <w:sz w:val="22"/>
            <w:szCs w:val="24"/>
          </w:rPr>
          <w:fldChar w:fldCharType="end"/>
        </w:r>
      </w:hyperlink>
    </w:p>
    <w:p w14:paraId="0A402141" w14:textId="52ED375D" w:rsidR="00532D2D" w:rsidRPr="00532D2D" w:rsidRDefault="0079281B" w:rsidP="00532D2D">
      <w:pPr>
        <w:pStyle w:val="Sumrio1"/>
        <w:ind w:left="0" w:firstLine="0"/>
        <w:rPr>
          <w:rStyle w:val="Hyperlink"/>
          <w:rFonts w:ascii="Calibri" w:hAnsi="Calibri" w:cs="Calibri"/>
          <w:sz w:val="22"/>
        </w:rPr>
      </w:pPr>
      <w:hyperlink w:anchor="_Toc95928404" w:history="1">
        <w:r w:rsidR="00532D2D" w:rsidRPr="00532D2D">
          <w:rPr>
            <w:rStyle w:val="Hyperlink"/>
            <w:rFonts w:ascii="Calibri" w:hAnsi="Calibri" w:cs="Calibri"/>
            <w:sz w:val="22"/>
          </w:rPr>
          <w:t>OBJETO SOCIAL</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_Toc95928404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69</w:t>
        </w:r>
        <w:r w:rsidR="00532D2D" w:rsidRPr="00532D2D">
          <w:rPr>
            <w:rStyle w:val="Hyperlink"/>
            <w:rFonts w:ascii="Calibri" w:hAnsi="Calibri" w:cs="Calibri"/>
            <w:webHidden/>
            <w:sz w:val="22"/>
          </w:rPr>
          <w:fldChar w:fldCharType="end"/>
        </w:r>
      </w:hyperlink>
    </w:p>
    <w:p w14:paraId="59487176" w14:textId="3773BE90" w:rsidR="00532D2D" w:rsidRPr="00532D2D" w:rsidRDefault="0079281B" w:rsidP="00532D2D">
      <w:pPr>
        <w:pStyle w:val="Sumrio1"/>
        <w:ind w:left="0" w:firstLine="0"/>
        <w:rPr>
          <w:rStyle w:val="Hyperlink"/>
          <w:rFonts w:ascii="Calibri" w:hAnsi="Calibri" w:cs="Calibri"/>
          <w:sz w:val="22"/>
        </w:rPr>
      </w:pPr>
      <w:hyperlink w:anchor="_Toc95928405" w:history="1">
        <w:r w:rsidR="00532D2D" w:rsidRPr="00532D2D">
          <w:rPr>
            <w:rStyle w:val="Hyperlink"/>
            <w:rFonts w:ascii="Calibri" w:hAnsi="Calibri" w:cs="Calibri"/>
            <w:sz w:val="22"/>
          </w:rPr>
          <w:t>CARACTERÍSTICAS DA EMISSÃO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_Toc95928405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69</w:t>
        </w:r>
        <w:r w:rsidR="00532D2D" w:rsidRPr="00532D2D">
          <w:rPr>
            <w:rStyle w:val="Hyperlink"/>
            <w:rFonts w:ascii="Calibri" w:hAnsi="Calibri" w:cs="Calibri"/>
            <w:webHidden/>
            <w:sz w:val="22"/>
          </w:rPr>
          <w:fldChar w:fldCharType="end"/>
        </w:r>
      </w:hyperlink>
    </w:p>
    <w:p w14:paraId="4B359435" w14:textId="4E8276B5" w:rsidR="00532D2D" w:rsidRPr="00532D2D" w:rsidRDefault="0079281B">
      <w:pPr>
        <w:pStyle w:val="Sumrio3"/>
        <w:rPr>
          <w:rStyle w:val="Hyperlink"/>
          <w:rFonts w:ascii="Calibri" w:eastAsia="SimSun" w:hAnsi="Calibri"/>
          <w:sz w:val="22"/>
          <w:szCs w:val="24"/>
        </w:rPr>
      </w:pPr>
      <w:hyperlink w:anchor="_Toc95928406" w:history="1">
        <w:r w:rsidR="00532D2D" w:rsidRPr="00532D2D">
          <w:rPr>
            <w:rStyle w:val="Hyperlink"/>
            <w:rFonts w:ascii="Calibri" w:eastAsia="SimSun" w:hAnsi="Calibri"/>
            <w:sz w:val="22"/>
            <w:szCs w:val="24"/>
          </w:rPr>
          <w:t>Número da Emissão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_Toc95928406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69</w:t>
        </w:r>
        <w:r w:rsidR="00532D2D" w:rsidRPr="00532D2D">
          <w:rPr>
            <w:rStyle w:val="Hyperlink"/>
            <w:rFonts w:ascii="Calibri" w:eastAsia="SimSun" w:hAnsi="Calibri"/>
            <w:webHidden/>
            <w:sz w:val="22"/>
            <w:szCs w:val="24"/>
          </w:rPr>
          <w:fldChar w:fldCharType="end"/>
        </w:r>
      </w:hyperlink>
    </w:p>
    <w:p w14:paraId="61839503" w14:textId="66CFB807" w:rsidR="00532D2D" w:rsidRPr="00532D2D" w:rsidRDefault="0079281B">
      <w:pPr>
        <w:pStyle w:val="Sumrio3"/>
        <w:rPr>
          <w:rStyle w:val="Hyperlink"/>
          <w:rFonts w:ascii="Calibri" w:eastAsia="SimSun" w:hAnsi="Calibri"/>
          <w:sz w:val="22"/>
          <w:szCs w:val="24"/>
        </w:rPr>
      </w:pPr>
      <w:hyperlink w:anchor="_Toc95928407" w:history="1">
        <w:r w:rsidR="00532D2D" w:rsidRPr="00532D2D">
          <w:rPr>
            <w:rStyle w:val="Hyperlink"/>
            <w:rFonts w:ascii="Calibri" w:eastAsia="SimSun" w:hAnsi="Calibri"/>
            <w:sz w:val="22"/>
            <w:szCs w:val="24"/>
          </w:rPr>
          <w:t>Séries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_Toc95928407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69</w:t>
        </w:r>
        <w:r w:rsidR="00532D2D" w:rsidRPr="00532D2D">
          <w:rPr>
            <w:rStyle w:val="Hyperlink"/>
            <w:rFonts w:ascii="Calibri" w:eastAsia="SimSun" w:hAnsi="Calibri"/>
            <w:webHidden/>
            <w:sz w:val="22"/>
            <w:szCs w:val="24"/>
          </w:rPr>
          <w:fldChar w:fldCharType="end"/>
        </w:r>
      </w:hyperlink>
    </w:p>
    <w:p w14:paraId="0FF8732D" w14:textId="5DB3EAD2" w:rsidR="00532D2D" w:rsidRPr="00532D2D" w:rsidRDefault="0079281B">
      <w:pPr>
        <w:pStyle w:val="Sumrio3"/>
        <w:rPr>
          <w:rStyle w:val="Hyperlink"/>
          <w:rFonts w:ascii="Calibri" w:eastAsia="SimSun" w:hAnsi="Calibri"/>
          <w:sz w:val="22"/>
          <w:szCs w:val="24"/>
        </w:rPr>
      </w:pPr>
      <w:hyperlink w:anchor="_Toc95928408" w:history="1">
        <w:r w:rsidR="00532D2D" w:rsidRPr="00532D2D">
          <w:rPr>
            <w:rStyle w:val="Hyperlink"/>
            <w:rFonts w:ascii="Calibri" w:eastAsia="SimSun" w:hAnsi="Calibri"/>
            <w:sz w:val="22"/>
            <w:szCs w:val="24"/>
          </w:rPr>
          <w:t>Valor Total da Emissão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_Toc95928408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70</w:t>
        </w:r>
        <w:r w:rsidR="00532D2D" w:rsidRPr="00532D2D">
          <w:rPr>
            <w:rStyle w:val="Hyperlink"/>
            <w:rFonts w:ascii="Calibri" w:eastAsia="SimSun" w:hAnsi="Calibri"/>
            <w:webHidden/>
            <w:sz w:val="22"/>
            <w:szCs w:val="24"/>
          </w:rPr>
          <w:fldChar w:fldCharType="end"/>
        </w:r>
      </w:hyperlink>
    </w:p>
    <w:p w14:paraId="49674C14" w14:textId="0C677020" w:rsidR="00532D2D" w:rsidRPr="00532D2D" w:rsidRDefault="0079281B">
      <w:pPr>
        <w:pStyle w:val="Sumrio3"/>
        <w:rPr>
          <w:rStyle w:val="Hyperlink"/>
          <w:rFonts w:ascii="Calibri" w:eastAsia="SimSun" w:hAnsi="Calibri"/>
          <w:sz w:val="22"/>
          <w:szCs w:val="24"/>
        </w:rPr>
      </w:pPr>
      <w:hyperlink w:anchor="_Toc95928409" w:history="1">
        <w:r w:rsidR="00532D2D" w:rsidRPr="00532D2D">
          <w:rPr>
            <w:rStyle w:val="Hyperlink"/>
            <w:rFonts w:ascii="Calibri" w:eastAsia="SimSun" w:hAnsi="Calibri"/>
            <w:sz w:val="22"/>
            <w:szCs w:val="24"/>
          </w:rPr>
          <w:t>Agente de Liquidação e Escriturador</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_Toc95928409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70</w:t>
        </w:r>
        <w:r w:rsidR="00532D2D" w:rsidRPr="00532D2D">
          <w:rPr>
            <w:rStyle w:val="Hyperlink"/>
            <w:rFonts w:ascii="Calibri" w:eastAsia="SimSun" w:hAnsi="Calibri"/>
            <w:webHidden/>
            <w:sz w:val="22"/>
            <w:szCs w:val="24"/>
          </w:rPr>
          <w:fldChar w:fldCharType="end"/>
        </w:r>
      </w:hyperlink>
    </w:p>
    <w:p w14:paraId="1ADE8717" w14:textId="36B0AD26" w:rsidR="00532D2D" w:rsidRPr="00532D2D" w:rsidRDefault="0079281B">
      <w:pPr>
        <w:pStyle w:val="Sumrio3"/>
        <w:rPr>
          <w:rStyle w:val="Hyperlink"/>
          <w:rFonts w:ascii="Calibri" w:eastAsia="SimSun" w:hAnsi="Calibri"/>
          <w:sz w:val="22"/>
          <w:szCs w:val="24"/>
        </w:rPr>
      </w:pPr>
      <w:hyperlink w:anchor="_Toc95928410" w:history="1">
        <w:r w:rsidR="00532D2D" w:rsidRPr="00532D2D">
          <w:rPr>
            <w:rStyle w:val="Hyperlink"/>
            <w:rFonts w:ascii="Calibri" w:eastAsia="SimSun" w:hAnsi="Calibri"/>
            <w:sz w:val="22"/>
            <w:szCs w:val="24"/>
          </w:rPr>
          <w:t>Colocação e Procedimento de Distribuição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_Toc95928410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70</w:t>
        </w:r>
        <w:r w:rsidR="00532D2D" w:rsidRPr="00532D2D">
          <w:rPr>
            <w:rStyle w:val="Hyperlink"/>
            <w:rFonts w:ascii="Calibri" w:eastAsia="SimSun" w:hAnsi="Calibri"/>
            <w:webHidden/>
            <w:sz w:val="22"/>
            <w:szCs w:val="24"/>
          </w:rPr>
          <w:fldChar w:fldCharType="end"/>
        </w:r>
      </w:hyperlink>
    </w:p>
    <w:p w14:paraId="65F13F71" w14:textId="248D6445" w:rsidR="00532D2D" w:rsidRPr="00532D2D" w:rsidRDefault="0079281B">
      <w:pPr>
        <w:pStyle w:val="Sumrio3"/>
        <w:rPr>
          <w:rStyle w:val="Hyperlink"/>
          <w:rFonts w:ascii="Calibri" w:eastAsia="SimSun" w:hAnsi="Calibri"/>
          <w:sz w:val="22"/>
          <w:szCs w:val="24"/>
        </w:rPr>
      </w:pPr>
      <w:hyperlink w:anchor="_Toc95928411" w:history="1">
        <w:r w:rsidR="00532D2D" w:rsidRPr="00532D2D">
          <w:rPr>
            <w:rStyle w:val="Hyperlink"/>
            <w:rFonts w:ascii="Calibri" w:eastAsia="SimSun" w:hAnsi="Calibri"/>
            <w:sz w:val="22"/>
            <w:szCs w:val="24"/>
          </w:rPr>
          <w:t>Público-alvo da Oferta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_Toc95928411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71</w:t>
        </w:r>
        <w:r w:rsidR="00532D2D" w:rsidRPr="00532D2D">
          <w:rPr>
            <w:rStyle w:val="Hyperlink"/>
            <w:rFonts w:ascii="Calibri" w:eastAsia="SimSun" w:hAnsi="Calibri"/>
            <w:webHidden/>
            <w:sz w:val="22"/>
            <w:szCs w:val="24"/>
          </w:rPr>
          <w:fldChar w:fldCharType="end"/>
        </w:r>
      </w:hyperlink>
    </w:p>
    <w:p w14:paraId="731BB3D4" w14:textId="14BED387" w:rsidR="00532D2D" w:rsidRPr="00532D2D" w:rsidRDefault="0079281B">
      <w:pPr>
        <w:pStyle w:val="Sumrio3"/>
        <w:rPr>
          <w:rStyle w:val="Hyperlink"/>
          <w:rFonts w:ascii="Calibri" w:eastAsia="SimSun" w:hAnsi="Calibri"/>
          <w:sz w:val="22"/>
          <w:szCs w:val="24"/>
        </w:rPr>
      </w:pPr>
      <w:hyperlink w:anchor="_Toc95928412" w:history="1">
        <w:r w:rsidR="00532D2D" w:rsidRPr="00532D2D">
          <w:rPr>
            <w:rStyle w:val="Hyperlink"/>
            <w:rFonts w:ascii="Calibri" w:eastAsia="SimSun" w:hAnsi="Calibri"/>
            <w:sz w:val="22"/>
            <w:szCs w:val="24"/>
          </w:rPr>
          <w:t>Coleta de Intenções de Investimento de Investimento (Procedimento de Bookbuilding)</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_Toc95928412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71</w:t>
        </w:r>
        <w:r w:rsidR="00532D2D" w:rsidRPr="00532D2D">
          <w:rPr>
            <w:rStyle w:val="Hyperlink"/>
            <w:rFonts w:ascii="Calibri" w:eastAsia="SimSun" w:hAnsi="Calibri"/>
            <w:webHidden/>
            <w:sz w:val="22"/>
            <w:szCs w:val="24"/>
          </w:rPr>
          <w:fldChar w:fldCharType="end"/>
        </w:r>
      </w:hyperlink>
    </w:p>
    <w:p w14:paraId="08CECDCC" w14:textId="71A9E520" w:rsidR="00532D2D" w:rsidRPr="00532D2D" w:rsidRDefault="0079281B">
      <w:pPr>
        <w:pStyle w:val="Sumrio3"/>
        <w:rPr>
          <w:rStyle w:val="Hyperlink"/>
          <w:rFonts w:ascii="Calibri" w:eastAsia="SimSun" w:hAnsi="Calibri"/>
          <w:sz w:val="22"/>
          <w:szCs w:val="24"/>
        </w:rPr>
      </w:pPr>
      <w:hyperlink w:anchor="_Toc95928413" w:history="1">
        <w:r w:rsidR="00532D2D" w:rsidRPr="00532D2D">
          <w:rPr>
            <w:rStyle w:val="Hyperlink"/>
            <w:rFonts w:ascii="Calibri" w:eastAsia="SimSun" w:hAnsi="Calibri"/>
            <w:sz w:val="22"/>
            <w:szCs w:val="24"/>
          </w:rPr>
          <w:t>Debêntures Adicionais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_Toc95928413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72</w:t>
        </w:r>
        <w:r w:rsidR="00532D2D" w:rsidRPr="00532D2D">
          <w:rPr>
            <w:rStyle w:val="Hyperlink"/>
            <w:rFonts w:ascii="Calibri" w:eastAsia="SimSun" w:hAnsi="Calibri"/>
            <w:webHidden/>
            <w:sz w:val="22"/>
            <w:szCs w:val="24"/>
          </w:rPr>
          <w:fldChar w:fldCharType="end"/>
        </w:r>
      </w:hyperlink>
    </w:p>
    <w:p w14:paraId="00B9AF4E" w14:textId="18F3C887" w:rsidR="00532D2D" w:rsidRPr="00532D2D" w:rsidRDefault="0079281B">
      <w:pPr>
        <w:pStyle w:val="Sumrio3"/>
        <w:rPr>
          <w:rStyle w:val="Hyperlink"/>
          <w:rFonts w:ascii="Calibri" w:eastAsia="SimSun" w:hAnsi="Calibri"/>
          <w:sz w:val="22"/>
          <w:szCs w:val="24"/>
        </w:rPr>
      </w:pPr>
      <w:hyperlink w:anchor="_Toc95928414" w:history="1">
        <w:r w:rsidR="00532D2D" w:rsidRPr="00532D2D">
          <w:rPr>
            <w:rStyle w:val="Hyperlink"/>
            <w:rFonts w:ascii="Calibri" w:eastAsia="SimSun" w:hAnsi="Calibri"/>
            <w:sz w:val="22"/>
            <w:szCs w:val="24"/>
          </w:rPr>
          <w:t>Preço de Subscrição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_Toc95928414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73</w:t>
        </w:r>
        <w:r w:rsidR="00532D2D" w:rsidRPr="00532D2D">
          <w:rPr>
            <w:rStyle w:val="Hyperlink"/>
            <w:rFonts w:ascii="Calibri" w:eastAsia="SimSun" w:hAnsi="Calibri"/>
            <w:webHidden/>
            <w:sz w:val="22"/>
            <w:szCs w:val="24"/>
          </w:rPr>
          <w:fldChar w:fldCharType="end"/>
        </w:r>
      </w:hyperlink>
    </w:p>
    <w:p w14:paraId="6E86EC8B" w14:textId="2691BA6D" w:rsidR="00532D2D" w:rsidRPr="00532D2D" w:rsidRDefault="0079281B">
      <w:pPr>
        <w:pStyle w:val="Sumrio3"/>
        <w:rPr>
          <w:rStyle w:val="Hyperlink"/>
          <w:rFonts w:ascii="Calibri" w:eastAsia="SimSun" w:hAnsi="Calibri"/>
          <w:sz w:val="22"/>
          <w:szCs w:val="24"/>
        </w:rPr>
      </w:pPr>
      <w:hyperlink w:anchor="_Toc95928415" w:history="1">
        <w:r w:rsidR="00532D2D" w:rsidRPr="00532D2D">
          <w:rPr>
            <w:rStyle w:val="Hyperlink"/>
            <w:rFonts w:ascii="Calibri" w:eastAsia="SimSun" w:hAnsi="Calibri"/>
            <w:sz w:val="22"/>
            <w:szCs w:val="24"/>
          </w:rPr>
          <w:t>Forma de Subscrição e Integralização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_Toc95928415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73</w:t>
        </w:r>
        <w:r w:rsidR="00532D2D" w:rsidRPr="00532D2D">
          <w:rPr>
            <w:rStyle w:val="Hyperlink"/>
            <w:rFonts w:ascii="Calibri" w:eastAsia="SimSun" w:hAnsi="Calibri"/>
            <w:webHidden/>
            <w:sz w:val="22"/>
            <w:szCs w:val="24"/>
          </w:rPr>
          <w:fldChar w:fldCharType="end"/>
        </w:r>
      </w:hyperlink>
    </w:p>
    <w:p w14:paraId="492D8CF4" w14:textId="6B413BF5" w:rsidR="00532D2D" w:rsidRPr="00532D2D" w:rsidRDefault="0079281B">
      <w:pPr>
        <w:pStyle w:val="Sumrio3"/>
        <w:rPr>
          <w:rStyle w:val="Hyperlink"/>
          <w:rFonts w:ascii="Calibri" w:eastAsia="SimSun" w:hAnsi="Calibri"/>
          <w:sz w:val="22"/>
          <w:szCs w:val="24"/>
        </w:rPr>
      </w:pPr>
      <w:hyperlink w:anchor="_Toc95928416" w:history="1">
        <w:r w:rsidR="00532D2D" w:rsidRPr="00532D2D">
          <w:rPr>
            <w:rStyle w:val="Hyperlink"/>
            <w:rFonts w:ascii="Calibri" w:eastAsia="SimSun" w:hAnsi="Calibri"/>
            <w:sz w:val="22"/>
            <w:szCs w:val="24"/>
          </w:rPr>
          <w:t>Formador de Mercado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_Toc95928416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74</w:t>
        </w:r>
        <w:r w:rsidR="00532D2D" w:rsidRPr="00532D2D">
          <w:rPr>
            <w:rStyle w:val="Hyperlink"/>
            <w:rFonts w:ascii="Calibri" w:eastAsia="SimSun" w:hAnsi="Calibri"/>
            <w:webHidden/>
            <w:sz w:val="22"/>
            <w:szCs w:val="24"/>
          </w:rPr>
          <w:fldChar w:fldCharType="end"/>
        </w:r>
      </w:hyperlink>
    </w:p>
    <w:p w14:paraId="738546C7" w14:textId="3D90D98E" w:rsidR="00532D2D" w:rsidRPr="00532D2D" w:rsidRDefault="0079281B">
      <w:pPr>
        <w:pStyle w:val="Sumrio3"/>
        <w:rPr>
          <w:rStyle w:val="Hyperlink"/>
          <w:rFonts w:ascii="Calibri" w:eastAsia="SimSun" w:hAnsi="Calibri"/>
          <w:sz w:val="22"/>
          <w:szCs w:val="24"/>
        </w:rPr>
      </w:pPr>
      <w:hyperlink w:anchor="_Toc95928417" w:history="1">
        <w:r w:rsidR="00532D2D" w:rsidRPr="00532D2D">
          <w:rPr>
            <w:rStyle w:val="Hyperlink"/>
            <w:rFonts w:ascii="Calibri" w:eastAsia="SimSun" w:hAnsi="Calibri"/>
            <w:sz w:val="22"/>
            <w:szCs w:val="24"/>
          </w:rPr>
          <w:t>Destinação dos Recursos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_Toc95928417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74</w:t>
        </w:r>
        <w:r w:rsidR="00532D2D" w:rsidRPr="00532D2D">
          <w:rPr>
            <w:rStyle w:val="Hyperlink"/>
            <w:rFonts w:ascii="Calibri" w:eastAsia="SimSun" w:hAnsi="Calibri"/>
            <w:webHidden/>
            <w:sz w:val="22"/>
            <w:szCs w:val="24"/>
          </w:rPr>
          <w:fldChar w:fldCharType="end"/>
        </w:r>
      </w:hyperlink>
    </w:p>
    <w:p w14:paraId="5AF92DD6" w14:textId="353326F4" w:rsidR="00532D2D" w:rsidRPr="00532D2D" w:rsidRDefault="0079281B">
      <w:pPr>
        <w:pStyle w:val="Sumrio3"/>
        <w:rPr>
          <w:rStyle w:val="Hyperlink"/>
          <w:rFonts w:ascii="Calibri" w:eastAsia="SimSun" w:hAnsi="Calibri"/>
          <w:sz w:val="22"/>
          <w:szCs w:val="24"/>
        </w:rPr>
      </w:pPr>
      <w:hyperlink w:anchor="_Toc95928418" w:history="1">
        <w:r w:rsidR="00532D2D" w:rsidRPr="00532D2D">
          <w:rPr>
            <w:rStyle w:val="Hyperlink"/>
            <w:rFonts w:ascii="Calibri" w:eastAsia="SimSun" w:hAnsi="Calibri"/>
            <w:sz w:val="22"/>
            <w:szCs w:val="24"/>
          </w:rPr>
          <w:t>Agente Fiduciário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_Toc95928418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76</w:t>
        </w:r>
        <w:r w:rsidR="00532D2D" w:rsidRPr="00532D2D">
          <w:rPr>
            <w:rStyle w:val="Hyperlink"/>
            <w:rFonts w:ascii="Calibri" w:eastAsia="SimSun" w:hAnsi="Calibri"/>
            <w:webHidden/>
            <w:sz w:val="22"/>
            <w:szCs w:val="24"/>
          </w:rPr>
          <w:fldChar w:fldCharType="end"/>
        </w:r>
      </w:hyperlink>
    </w:p>
    <w:p w14:paraId="24605A2A" w14:textId="307F00F7" w:rsidR="00532D2D" w:rsidRPr="00532D2D" w:rsidRDefault="0079281B" w:rsidP="00532D2D">
      <w:pPr>
        <w:pStyle w:val="Sumrio1"/>
        <w:ind w:left="0" w:firstLine="0"/>
        <w:rPr>
          <w:rStyle w:val="Hyperlink"/>
          <w:rFonts w:ascii="Calibri" w:hAnsi="Calibri" w:cs="Calibri"/>
          <w:sz w:val="22"/>
        </w:rPr>
      </w:pPr>
      <w:hyperlink w:anchor="_Toc95928419" w:history="1">
        <w:r w:rsidR="00532D2D" w:rsidRPr="00532D2D">
          <w:rPr>
            <w:rStyle w:val="Hyperlink"/>
            <w:rFonts w:ascii="Calibri" w:hAnsi="Calibri" w:cs="Calibri"/>
            <w:sz w:val="22"/>
          </w:rPr>
          <w:t>CARACTERÍSTICAS GERAIS DAS DEBÊNTURES</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_Toc95928419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76</w:t>
        </w:r>
        <w:r w:rsidR="00532D2D" w:rsidRPr="00532D2D">
          <w:rPr>
            <w:rStyle w:val="Hyperlink"/>
            <w:rFonts w:ascii="Calibri" w:hAnsi="Calibri" w:cs="Calibri"/>
            <w:webHidden/>
            <w:sz w:val="22"/>
          </w:rPr>
          <w:fldChar w:fldCharType="end"/>
        </w:r>
      </w:hyperlink>
    </w:p>
    <w:p w14:paraId="1F6FB48F" w14:textId="38270E56" w:rsidR="00532D2D" w:rsidRPr="00532D2D" w:rsidRDefault="0079281B">
      <w:pPr>
        <w:pStyle w:val="Sumrio3"/>
        <w:rPr>
          <w:rStyle w:val="Hyperlink"/>
          <w:rFonts w:ascii="Calibri" w:eastAsia="SimSun" w:hAnsi="Calibri"/>
          <w:sz w:val="22"/>
          <w:szCs w:val="24"/>
        </w:rPr>
      </w:pPr>
      <w:hyperlink w:anchor="_Toc95928420" w:history="1">
        <w:r w:rsidR="00532D2D" w:rsidRPr="00532D2D">
          <w:rPr>
            <w:rStyle w:val="Hyperlink"/>
            <w:rFonts w:ascii="Calibri" w:eastAsia="SimSun" w:hAnsi="Calibri"/>
            <w:sz w:val="22"/>
            <w:szCs w:val="24"/>
          </w:rPr>
          <w:t>Data de Emissão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_Toc95928420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76</w:t>
        </w:r>
        <w:r w:rsidR="00532D2D" w:rsidRPr="00532D2D">
          <w:rPr>
            <w:rStyle w:val="Hyperlink"/>
            <w:rFonts w:ascii="Calibri" w:eastAsia="SimSun" w:hAnsi="Calibri"/>
            <w:webHidden/>
            <w:sz w:val="22"/>
            <w:szCs w:val="24"/>
          </w:rPr>
          <w:fldChar w:fldCharType="end"/>
        </w:r>
      </w:hyperlink>
    </w:p>
    <w:p w14:paraId="1B6E8760" w14:textId="20588241" w:rsidR="00532D2D" w:rsidRPr="00532D2D" w:rsidRDefault="0079281B">
      <w:pPr>
        <w:pStyle w:val="Sumrio3"/>
        <w:rPr>
          <w:rStyle w:val="Hyperlink"/>
          <w:rFonts w:ascii="Calibri" w:eastAsia="SimSun" w:hAnsi="Calibri"/>
          <w:sz w:val="22"/>
          <w:szCs w:val="24"/>
        </w:rPr>
      </w:pPr>
      <w:hyperlink w:anchor="_Toc95928421" w:history="1">
        <w:r w:rsidR="00532D2D" w:rsidRPr="00532D2D">
          <w:rPr>
            <w:rStyle w:val="Hyperlink"/>
            <w:rFonts w:ascii="Calibri" w:eastAsia="SimSun" w:hAnsi="Calibri"/>
            <w:sz w:val="22"/>
            <w:szCs w:val="24"/>
          </w:rPr>
          <w:t>Data de Início da Rentabilidade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_Toc95928421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76</w:t>
        </w:r>
        <w:r w:rsidR="00532D2D" w:rsidRPr="00532D2D">
          <w:rPr>
            <w:rStyle w:val="Hyperlink"/>
            <w:rFonts w:ascii="Calibri" w:eastAsia="SimSun" w:hAnsi="Calibri"/>
            <w:webHidden/>
            <w:sz w:val="22"/>
            <w:szCs w:val="24"/>
          </w:rPr>
          <w:fldChar w:fldCharType="end"/>
        </w:r>
      </w:hyperlink>
    </w:p>
    <w:p w14:paraId="7A4C34E7" w14:textId="075AAAA5" w:rsidR="00532D2D" w:rsidRPr="00532D2D" w:rsidRDefault="0079281B">
      <w:pPr>
        <w:pStyle w:val="Sumrio3"/>
        <w:rPr>
          <w:rStyle w:val="Hyperlink"/>
          <w:rFonts w:ascii="Calibri" w:eastAsia="SimSun" w:hAnsi="Calibri"/>
          <w:sz w:val="22"/>
          <w:szCs w:val="24"/>
        </w:rPr>
      </w:pPr>
      <w:hyperlink w:anchor="_Toc95928422" w:history="1">
        <w:r w:rsidR="00532D2D" w:rsidRPr="00532D2D">
          <w:rPr>
            <w:rStyle w:val="Hyperlink"/>
            <w:rFonts w:ascii="Calibri" w:eastAsia="SimSun" w:hAnsi="Calibri"/>
            <w:sz w:val="22"/>
            <w:szCs w:val="24"/>
          </w:rPr>
          <w:t>Forma, Tipo e Comprovação de Titularidade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_Toc95928422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76</w:t>
        </w:r>
        <w:r w:rsidR="00532D2D" w:rsidRPr="00532D2D">
          <w:rPr>
            <w:rStyle w:val="Hyperlink"/>
            <w:rFonts w:ascii="Calibri" w:eastAsia="SimSun" w:hAnsi="Calibri"/>
            <w:webHidden/>
            <w:sz w:val="22"/>
            <w:szCs w:val="24"/>
          </w:rPr>
          <w:fldChar w:fldCharType="end"/>
        </w:r>
      </w:hyperlink>
    </w:p>
    <w:p w14:paraId="5896899D" w14:textId="127AE333" w:rsidR="00532D2D" w:rsidRPr="00532D2D" w:rsidRDefault="0079281B">
      <w:pPr>
        <w:pStyle w:val="Sumrio3"/>
        <w:rPr>
          <w:rStyle w:val="Hyperlink"/>
          <w:rFonts w:ascii="Calibri" w:eastAsia="SimSun" w:hAnsi="Calibri"/>
          <w:sz w:val="22"/>
          <w:szCs w:val="24"/>
        </w:rPr>
      </w:pPr>
      <w:hyperlink w:anchor="_Toc95928423" w:history="1">
        <w:r w:rsidR="00532D2D" w:rsidRPr="00532D2D">
          <w:rPr>
            <w:rStyle w:val="Hyperlink"/>
            <w:rFonts w:ascii="Calibri" w:eastAsia="SimSun" w:hAnsi="Calibri"/>
            <w:sz w:val="22"/>
            <w:szCs w:val="24"/>
          </w:rPr>
          <w:t>Conversibilidade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_Toc95928423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76</w:t>
        </w:r>
        <w:r w:rsidR="00532D2D" w:rsidRPr="00532D2D">
          <w:rPr>
            <w:rStyle w:val="Hyperlink"/>
            <w:rFonts w:ascii="Calibri" w:eastAsia="SimSun" w:hAnsi="Calibri"/>
            <w:webHidden/>
            <w:sz w:val="22"/>
            <w:szCs w:val="24"/>
          </w:rPr>
          <w:fldChar w:fldCharType="end"/>
        </w:r>
      </w:hyperlink>
    </w:p>
    <w:p w14:paraId="222A2414" w14:textId="11D8D0EA" w:rsidR="00532D2D" w:rsidRPr="00532D2D" w:rsidRDefault="0079281B">
      <w:pPr>
        <w:pStyle w:val="Sumrio3"/>
        <w:rPr>
          <w:rStyle w:val="Hyperlink"/>
          <w:rFonts w:ascii="Calibri" w:eastAsia="SimSun" w:hAnsi="Calibri"/>
          <w:sz w:val="22"/>
          <w:szCs w:val="24"/>
        </w:rPr>
      </w:pPr>
      <w:hyperlink w:anchor="_Toc95928424" w:history="1">
        <w:r w:rsidR="00532D2D" w:rsidRPr="00532D2D">
          <w:rPr>
            <w:rStyle w:val="Hyperlink"/>
            <w:rFonts w:ascii="Calibri" w:eastAsia="SimSun" w:hAnsi="Calibri"/>
            <w:sz w:val="22"/>
            <w:szCs w:val="24"/>
          </w:rPr>
          <w:t>Espécie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_Toc95928424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76</w:t>
        </w:r>
        <w:r w:rsidR="00532D2D" w:rsidRPr="00532D2D">
          <w:rPr>
            <w:rStyle w:val="Hyperlink"/>
            <w:rFonts w:ascii="Calibri" w:eastAsia="SimSun" w:hAnsi="Calibri"/>
            <w:webHidden/>
            <w:sz w:val="22"/>
            <w:szCs w:val="24"/>
          </w:rPr>
          <w:fldChar w:fldCharType="end"/>
        </w:r>
      </w:hyperlink>
    </w:p>
    <w:p w14:paraId="45B6D727" w14:textId="59065794" w:rsidR="00532D2D" w:rsidRPr="00532D2D" w:rsidRDefault="0079281B">
      <w:pPr>
        <w:pStyle w:val="Sumrio3"/>
        <w:rPr>
          <w:rStyle w:val="Hyperlink"/>
          <w:rFonts w:ascii="Calibri" w:eastAsia="SimSun" w:hAnsi="Calibri"/>
          <w:sz w:val="22"/>
          <w:szCs w:val="24"/>
        </w:rPr>
      </w:pPr>
      <w:hyperlink w:anchor="_Toc95928425" w:history="1">
        <w:r w:rsidR="00532D2D" w:rsidRPr="00532D2D">
          <w:rPr>
            <w:rStyle w:val="Hyperlink"/>
            <w:rFonts w:ascii="Calibri" w:eastAsia="SimSun" w:hAnsi="Calibri"/>
            <w:sz w:val="22"/>
            <w:szCs w:val="24"/>
          </w:rPr>
          <w:t>Prazo e Data de Vencimento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_Toc95928425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76</w:t>
        </w:r>
        <w:r w:rsidR="00532D2D" w:rsidRPr="00532D2D">
          <w:rPr>
            <w:rStyle w:val="Hyperlink"/>
            <w:rFonts w:ascii="Calibri" w:eastAsia="SimSun" w:hAnsi="Calibri"/>
            <w:webHidden/>
            <w:sz w:val="22"/>
            <w:szCs w:val="24"/>
          </w:rPr>
          <w:fldChar w:fldCharType="end"/>
        </w:r>
      </w:hyperlink>
    </w:p>
    <w:p w14:paraId="1268BC60" w14:textId="27A12009" w:rsidR="00532D2D" w:rsidRPr="00532D2D" w:rsidRDefault="0079281B">
      <w:pPr>
        <w:pStyle w:val="Sumrio3"/>
        <w:rPr>
          <w:rStyle w:val="Hyperlink"/>
          <w:rFonts w:ascii="Calibri" w:eastAsia="SimSun" w:hAnsi="Calibri"/>
          <w:sz w:val="22"/>
          <w:szCs w:val="24"/>
        </w:rPr>
      </w:pPr>
      <w:hyperlink w:anchor="_Toc95928426" w:history="1">
        <w:r w:rsidR="00532D2D" w:rsidRPr="00532D2D">
          <w:rPr>
            <w:rStyle w:val="Hyperlink"/>
            <w:rFonts w:ascii="Calibri" w:eastAsia="SimSun" w:hAnsi="Calibri"/>
            <w:sz w:val="22"/>
            <w:szCs w:val="24"/>
          </w:rPr>
          <w:t>Valor Nominal Unitário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_Toc95928426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77</w:t>
        </w:r>
        <w:r w:rsidR="00532D2D" w:rsidRPr="00532D2D">
          <w:rPr>
            <w:rStyle w:val="Hyperlink"/>
            <w:rFonts w:ascii="Calibri" w:eastAsia="SimSun" w:hAnsi="Calibri"/>
            <w:webHidden/>
            <w:sz w:val="22"/>
            <w:szCs w:val="24"/>
          </w:rPr>
          <w:fldChar w:fldCharType="end"/>
        </w:r>
      </w:hyperlink>
    </w:p>
    <w:p w14:paraId="570F741C" w14:textId="7772E9F4" w:rsidR="00532D2D" w:rsidRPr="00532D2D" w:rsidRDefault="0079281B">
      <w:pPr>
        <w:pStyle w:val="Sumrio3"/>
        <w:rPr>
          <w:rStyle w:val="Hyperlink"/>
          <w:rFonts w:ascii="Calibri" w:eastAsia="SimSun" w:hAnsi="Calibri"/>
          <w:sz w:val="22"/>
          <w:szCs w:val="24"/>
        </w:rPr>
      </w:pPr>
      <w:hyperlink w:anchor="_Toc95928427" w:history="1">
        <w:r w:rsidR="00532D2D" w:rsidRPr="00532D2D">
          <w:rPr>
            <w:rStyle w:val="Hyperlink"/>
            <w:rFonts w:ascii="Calibri" w:eastAsia="SimSun" w:hAnsi="Calibri"/>
            <w:sz w:val="22"/>
            <w:szCs w:val="24"/>
          </w:rPr>
          <w:t>Atualização Monetária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_Toc95928427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77</w:t>
        </w:r>
        <w:r w:rsidR="00532D2D" w:rsidRPr="00532D2D">
          <w:rPr>
            <w:rStyle w:val="Hyperlink"/>
            <w:rFonts w:ascii="Calibri" w:eastAsia="SimSun" w:hAnsi="Calibri"/>
            <w:webHidden/>
            <w:sz w:val="22"/>
            <w:szCs w:val="24"/>
          </w:rPr>
          <w:fldChar w:fldCharType="end"/>
        </w:r>
      </w:hyperlink>
    </w:p>
    <w:p w14:paraId="46DB3FA0" w14:textId="4A6E1803" w:rsidR="00532D2D" w:rsidRPr="00532D2D" w:rsidRDefault="0079281B">
      <w:pPr>
        <w:pStyle w:val="Sumrio3"/>
        <w:rPr>
          <w:rStyle w:val="Hyperlink"/>
          <w:rFonts w:ascii="Calibri" w:eastAsia="SimSun" w:hAnsi="Calibri"/>
          <w:sz w:val="22"/>
          <w:szCs w:val="24"/>
        </w:rPr>
      </w:pPr>
      <w:hyperlink w:anchor="_Toc95928429" w:history="1">
        <w:r w:rsidR="00532D2D" w:rsidRPr="00532D2D">
          <w:rPr>
            <w:rStyle w:val="Hyperlink"/>
            <w:rFonts w:ascii="Calibri" w:eastAsia="SimSun" w:hAnsi="Calibri"/>
            <w:sz w:val="22"/>
            <w:szCs w:val="24"/>
          </w:rPr>
          <w:t>Remuneração das Debêntures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_Toc95928429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79</w:t>
        </w:r>
        <w:r w:rsidR="00532D2D" w:rsidRPr="00532D2D">
          <w:rPr>
            <w:rStyle w:val="Hyperlink"/>
            <w:rFonts w:ascii="Calibri" w:eastAsia="SimSun" w:hAnsi="Calibri"/>
            <w:webHidden/>
            <w:sz w:val="22"/>
            <w:szCs w:val="24"/>
          </w:rPr>
          <w:fldChar w:fldCharType="end"/>
        </w:r>
      </w:hyperlink>
    </w:p>
    <w:p w14:paraId="6424B769" w14:textId="0ABD75E2" w:rsidR="00532D2D" w:rsidRPr="00532D2D" w:rsidRDefault="0079281B">
      <w:pPr>
        <w:pStyle w:val="Sumrio3"/>
        <w:rPr>
          <w:rStyle w:val="Hyperlink"/>
          <w:rFonts w:ascii="Calibri" w:eastAsia="SimSun" w:hAnsi="Calibri"/>
          <w:sz w:val="22"/>
          <w:szCs w:val="24"/>
        </w:rPr>
      </w:pPr>
      <w:hyperlink w:anchor="_Toc95928430" w:history="1">
        <w:r w:rsidR="00532D2D" w:rsidRPr="00532D2D">
          <w:rPr>
            <w:rStyle w:val="Hyperlink"/>
            <w:rFonts w:ascii="Calibri" w:eastAsia="SimSun" w:hAnsi="Calibri"/>
            <w:sz w:val="22"/>
            <w:szCs w:val="24"/>
          </w:rPr>
          <w:t>Remuneração das Debêntures da Primeira Série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_Toc95928430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79</w:t>
        </w:r>
        <w:r w:rsidR="00532D2D" w:rsidRPr="00532D2D">
          <w:rPr>
            <w:rStyle w:val="Hyperlink"/>
            <w:rFonts w:ascii="Calibri" w:eastAsia="SimSun" w:hAnsi="Calibri"/>
            <w:webHidden/>
            <w:sz w:val="22"/>
            <w:szCs w:val="24"/>
          </w:rPr>
          <w:fldChar w:fldCharType="end"/>
        </w:r>
      </w:hyperlink>
    </w:p>
    <w:p w14:paraId="6F9D32A0" w14:textId="7EC3BD47" w:rsidR="00532D2D" w:rsidRPr="00532D2D" w:rsidRDefault="0079281B">
      <w:pPr>
        <w:pStyle w:val="Sumrio3"/>
        <w:rPr>
          <w:rStyle w:val="Hyperlink"/>
          <w:rFonts w:ascii="Calibri" w:eastAsia="SimSun" w:hAnsi="Calibri"/>
          <w:sz w:val="22"/>
          <w:szCs w:val="24"/>
        </w:rPr>
      </w:pPr>
      <w:hyperlink w:anchor="_Toc95928431" w:history="1">
        <w:r w:rsidR="00532D2D" w:rsidRPr="00532D2D">
          <w:rPr>
            <w:rStyle w:val="Hyperlink"/>
            <w:rFonts w:ascii="Calibri" w:eastAsia="SimSun" w:hAnsi="Calibri"/>
            <w:sz w:val="22"/>
            <w:szCs w:val="24"/>
          </w:rPr>
          <w:t>Remuneração das Debêntures da Segunda Série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_Toc95928431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79</w:t>
        </w:r>
        <w:r w:rsidR="00532D2D" w:rsidRPr="00532D2D">
          <w:rPr>
            <w:rStyle w:val="Hyperlink"/>
            <w:rFonts w:ascii="Calibri" w:eastAsia="SimSun" w:hAnsi="Calibri"/>
            <w:webHidden/>
            <w:sz w:val="22"/>
            <w:szCs w:val="24"/>
          </w:rPr>
          <w:fldChar w:fldCharType="end"/>
        </w:r>
      </w:hyperlink>
    </w:p>
    <w:p w14:paraId="7CAC0B26" w14:textId="0192ABA1" w:rsidR="00532D2D" w:rsidRPr="00532D2D" w:rsidRDefault="0079281B">
      <w:pPr>
        <w:pStyle w:val="Sumrio3"/>
        <w:rPr>
          <w:rStyle w:val="Hyperlink"/>
          <w:rFonts w:ascii="Calibri" w:eastAsia="SimSun" w:hAnsi="Calibri"/>
          <w:sz w:val="22"/>
          <w:szCs w:val="24"/>
        </w:rPr>
      </w:pPr>
      <w:hyperlink w:anchor="_Toc95928432" w:history="1">
        <w:r w:rsidR="00532D2D" w:rsidRPr="00532D2D">
          <w:rPr>
            <w:rStyle w:val="Hyperlink"/>
            <w:rFonts w:ascii="Calibri" w:eastAsia="SimSun" w:hAnsi="Calibri"/>
            <w:sz w:val="22"/>
            <w:szCs w:val="24"/>
          </w:rPr>
          <w:t>Pagamento da Remuneração da Primeira Série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_Toc95928432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80</w:t>
        </w:r>
        <w:r w:rsidR="00532D2D" w:rsidRPr="00532D2D">
          <w:rPr>
            <w:rStyle w:val="Hyperlink"/>
            <w:rFonts w:ascii="Calibri" w:eastAsia="SimSun" w:hAnsi="Calibri"/>
            <w:webHidden/>
            <w:sz w:val="22"/>
            <w:szCs w:val="24"/>
          </w:rPr>
          <w:fldChar w:fldCharType="end"/>
        </w:r>
      </w:hyperlink>
    </w:p>
    <w:p w14:paraId="6F34A7B7" w14:textId="095CD31F" w:rsidR="00532D2D" w:rsidRPr="00532D2D" w:rsidRDefault="0079281B">
      <w:pPr>
        <w:pStyle w:val="Sumrio3"/>
        <w:rPr>
          <w:rStyle w:val="Hyperlink"/>
          <w:rFonts w:ascii="Calibri" w:eastAsia="SimSun" w:hAnsi="Calibri"/>
          <w:sz w:val="22"/>
          <w:szCs w:val="24"/>
        </w:rPr>
      </w:pPr>
      <w:hyperlink w:anchor="_Toc95928433" w:history="1">
        <w:r w:rsidR="00532D2D" w:rsidRPr="00532D2D">
          <w:rPr>
            <w:rStyle w:val="Hyperlink"/>
            <w:rFonts w:ascii="Calibri" w:eastAsia="SimSun" w:hAnsi="Calibri"/>
            <w:sz w:val="22"/>
            <w:szCs w:val="24"/>
          </w:rPr>
          <w:t>Pagamento da Remuneração da Segunda Série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_Toc95928433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81</w:t>
        </w:r>
        <w:r w:rsidR="00532D2D" w:rsidRPr="00532D2D">
          <w:rPr>
            <w:rStyle w:val="Hyperlink"/>
            <w:rFonts w:ascii="Calibri" w:eastAsia="SimSun" w:hAnsi="Calibri"/>
            <w:webHidden/>
            <w:sz w:val="22"/>
            <w:szCs w:val="24"/>
          </w:rPr>
          <w:fldChar w:fldCharType="end"/>
        </w:r>
      </w:hyperlink>
    </w:p>
    <w:p w14:paraId="5212FB82" w14:textId="52AD41A4" w:rsidR="00532D2D" w:rsidRPr="00532D2D" w:rsidRDefault="0079281B">
      <w:pPr>
        <w:pStyle w:val="Sumrio3"/>
        <w:rPr>
          <w:rStyle w:val="Hyperlink"/>
          <w:rFonts w:ascii="Calibri" w:eastAsia="SimSun" w:hAnsi="Calibri"/>
          <w:sz w:val="22"/>
          <w:szCs w:val="24"/>
        </w:rPr>
      </w:pPr>
      <w:hyperlink w:anchor="_Toc95928434" w:history="1">
        <w:r w:rsidR="00532D2D" w:rsidRPr="00532D2D">
          <w:rPr>
            <w:rStyle w:val="Hyperlink"/>
            <w:rFonts w:ascii="Calibri" w:eastAsia="SimSun" w:hAnsi="Calibri"/>
            <w:sz w:val="22"/>
            <w:szCs w:val="24"/>
          </w:rPr>
          <w:t>Amortização do Valor Nominal Atualizado das Debêntures da Primeira Série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_Toc95928434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82</w:t>
        </w:r>
        <w:r w:rsidR="00532D2D" w:rsidRPr="00532D2D">
          <w:rPr>
            <w:rStyle w:val="Hyperlink"/>
            <w:rFonts w:ascii="Calibri" w:eastAsia="SimSun" w:hAnsi="Calibri"/>
            <w:webHidden/>
            <w:sz w:val="22"/>
            <w:szCs w:val="24"/>
          </w:rPr>
          <w:fldChar w:fldCharType="end"/>
        </w:r>
      </w:hyperlink>
    </w:p>
    <w:p w14:paraId="3D4796F3" w14:textId="5969AB36" w:rsidR="00532D2D" w:rsidRPr="00532D2D" w:rsidRDefault="0079281B">
      <w:pPr>
        <w:pStyle w:val="Sumrio3"/>
        <w:rPr>
          <w:rStyle w:val="Hyperlink"/>
          <w:rFonts w:ascii="Calibri" w:eastAsia="SimSun" w:hAnsi="Calibri"/>
          <w:sz w:val="22"/>
          <w:szCs w:val="24"/>
        </w:rPr>
      </w:pPr>
      <w:hyperlink w:anchor="_Toc95928435" w:history="1">
        <w:r w:rsidR="00532D2D" w:rsidRPr="00532D2D">
          <w:rPr>
            <w:rStyle w:val="Hyperlink"/>
            <w:rFonts w:ascii="Calibri" w:eastAsia="SimSun" w:hAnsi="Calibri"/>
            <w:sz w:val="22"/>
            <w:szCs w:val="24"/>
          </w:rPr>
          <w:t>Amortização do Valor Nominal Atualizado das Debêntures da Segunda Série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_Toc95928435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83</w:t>
        </w:r>
        <w:r w:rsidR="00532D2D" w:rsidRPr="00532D2D">
          <w:rPr>
            <w:rStyle w:val="Hyperlink"/>
            <w:rFonts w:ascii="Calibri" w:eastAsia="SimSun" w:hAnsi="Calibri"/>
            <w:webHidden/>
            <w:sz w:val="22"/>
            <w:szCs w:val="24"/>
          </w:rPr>
          <w:fldChar w:fldCharType="end"/>
        </w:r>
      </w:hyperlink>
    </w:p>
    <w:p w14:paraId="7E76B141" w14:textId="5D2002DC" w:rsidR="00532D2D" w:rsidRPr="00532D2D" w:rsidRDefault="0079281B">
      <w:pPr>
        <w:pStyle w:val="Sumrio3"/>
        <w:rPr>
          <w:rStyle w:val="Hyperlink"/>
          <w:rFonts w:ascii="Calibri" w:eastAsia="SimSun" w:hAnsi="Calibri"/>
          <w:sz w:val="22"/>
          <w:szCs w:val="24"/>
        </w:rPr>
      </w:pPr>
      <w:hyperlink w:anchor="_Toc95928436" w:history="1">
        <w:r w:rsidR="00532D2D" w:rsidRPr="00532D2D">
          <w:rPr>
            <w:rStyle w:val="Hyperlink"/>
            <w:rFonts w:ascii="Calibri" w:eastAsia="SimSun" w:hAnsi="Calibri"/>
            <w:sz w:val="22"/>
            <w:szCs w:val="24"/>
          </w:rPr>
          <w:t>Local de Pagamento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_Toc95928436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83</w:t>
        </w:r>
        <w:r w:rsidR="00532D2D" w:rsidRPr="00532D2D">
          <w:rPr>
            <w:rStyle w:val="Hyperlink"/>
            <w:rFonts w:ascii="Calibri" w:eastAsia="SimSun" w:hAnsi="Calibri"/>
            <w:webHidden/>
            <w:sz w:val="22"/>
            <w:szCs w:val="24"/>
          </w:rPr>
          <w:fldChar w:fldCharType="end"/>
        </w:r>
      </w:hyperlink>
    </w:p>
    <w:p w14:paraId="2A7B07AC" w14:textId="07593388" w:rsidR="00532D2D" w:rsidRPr="00532D2D" w:rsidRDefault="0079281B">
      <w:pPr>
        <w:pStyle w:val="Sumrio3"/>
        <w:rPr>
          <w:rStyle w:val="Hyperlink"/>
          <w:rFonts w:ascii="Calibri" w:eastAsia="SimSun" w:hAnsi="Calibri"/>
          <w:sz w:val="22"/>
          <w:szCs w:val="24"/>
        </w:rPr>
      </w:pPr>
      <w:hyperlink w:anchor="_Toc95928437" w:history="1">
        <w:r w:rsidR="00532D2D" w:rsidRPr="00532D2D">
          <w:rPr>
            <w:rStyle w:val="Hyperlink"/>
            <w:rFonts w:ascii="Calibri" w:eastAsia="SimSun" w:hAnsi="Calibri"/>
            <w:sz w:val="22"/>
            <w:szCs w:val="24"/>
          </w:rPr>
          <w:t>Caracterização como Debêntures Verdes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_Toc95928437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83</w:t>
        </w:r>
        <w:r w:rsidR="00532D2D" w:rsidRPr="00532D2D">
          <w:rPr>
            <w:rStyle w:val="Hyperlink"/>
            <w:rFonts w:ascii="Calibri" w:eastAsia="SimSun" w:hAnsi="Calibri"/>
            <w:webHidden/>
            <w:sz w:val="22"/>
            <w:szCs w:val="24"/>
          </w:rPr>
          <w:fldChar w:fldCharType="end"/>
        </w:r>
      </w:hyperlink>
    </w:p>
    <w:p w14:paraId="4CE20B1B" w14:textId="0A4890E2" w:rsidR="00532D2D" w:rsidRPr="00532D2D" w:rsidRDefault="0079281B">
      <w:pPr>
        <w:pStyle w:val="Sumrio3"/>
        <w:rPr>
          <w:rStyle w:val="Hyperlink"/>
          <w:rFonts w:ascii="Calibri" w:eastAsia="SimSun" w:hAnsi="Calibri"/>
          <w:sz w:val="22"/>
          <w:szCs w:val="24"/>
        </w:rPr>
      </w:pPr>
      <w:hyperlink w:anchor="_Toc95928438" w:history="1">
        <w:r w:rsidR="00532D2D" w:rsidRPr="00532D2D">
          <w:rPr>
            <w:rStyle w:val="Hyperlink"/>
            <w:rFonts w:ascii="Calibri" w:eastAsia="SimSun" w:hAnsi="Calibri"/>
            <w:sz w:val="22"/>
            <w:szCs w:val="24"/>
          </w:rPr>
          <w:t>Prorrogação dos Prazos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_Toc95928438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84</w:t>
        </w:r>
        <w:r w:rsidR="00532D2D" w:rsidRPr="00532D2D">
          <w:rPr>
            <w:rStyle w:val="Hyperlink"/>
            <w:rFonts w:ascii="Calibri" w:eastAsia="SimSun" w:hAnsi="Calibri"/>
            <w:webHidden/>
            <w:sz w:val="22"/>
            <w:szCs w:val="24"/>
          </w:rPr>
          <w:fldChar w:fldCharType="end"/>
        </w:r>
      </w:hyperlink>
    </w:p>
    <w:p w14:paraId="16D0D870" w14:textId="7A04FAA0" w:rsidR="00532D2D" w:rsidRPr="00532D2D" w:rsidRDefault="0079281B">
      <w:pPr>
        <w:pStyle w:val="Sumrio3"/>
        <w:rPr>
          <w:rStyle w:val="Hyperlink"/>
          <w:rFonts w:ascii="Calibri" w:eastAsia="SimSun" w:hAnsi="Calibri"/>
          <w:sz w:val="22"/>
          <w:szCs w:val="24"/>
        </w:rPr>
      </w:pPr>
      <w:hyperlink w:anchor="_Toc95928439" w:history="1">
        <w:r w:rsidR="00532D2D" w:rsidRPr="00532D2D">
          <w:rPr>
            <w:rStyle w:val="Hyperlink"/>
            <w:rFonts w:ascii="Calibri" w:eastAsia="SimSun" w:hAnsi="Calibri"/>
            <w:sz w:val="22"/>
            <w:szCs w:val="24"/>
          </w:rPr>
          <w:t>Encargos Moratórios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_Toc95928439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84</w:t>
        </w:r>
        <w:r w:rsidR="00532D2D" w:rsidRPr="00532D2D">
          <w:rPr>
            <w:rStyle w:val="Hyperlink"/>
            <w:rFonts w:ascii="Calibri" w:eastAsia="SimSun" w:hAnsi="Calibri"/>
            <w:webHidden/>
            <w:sz w:val="22"/>
            <w:szCs w:val="24"/>
          </w:rPr>
          <w:fldChar w:fldCharType="end"/>
        </w:r>
      </w:hyperlink>
    </w:p>
    <w:p w14:paraId="650BFB0E" w14:textId="7227A667" w:rsidR="00532D2D" w:rsidRPr="00532D2D" w:rsidRDefault="0079281B">
      <w:pPr>
        <w:pStyle w:val="Sumrio3"/>
        <w:rPr>
          <w:rStyle w:val="Hyperlink"/>
          <w:rFonts w:ascii="Calibri" w:eastAsia="SimSun" w:hAnsi="Calibri"/>
          <w:sz w:val="22"/>
          <w:szCs w:val="24"/>
        </w:rPr>
      </w:pPr>
      <w:hyperlink w:anchor="_Toc95928440" w:history="1">
        <w:r w:rsidR="00532D2D" w:rsidRPr="00532D2D">
          <w:rPr>
            <w:rStyle w:val="Hyperlink"/>
            <w:rFonts w:ascii="Calibri" w:eastAsia="SimSun" w:hAnsi="Calibri"/>
            <w:sz w:val="22"/>
            <w:szCs w:val="24"/>
          </w:rPr>
          <w:t>Decadência dos Direitos aos Acréscimos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_Toc95928440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85</w:t>
        </w:r>
        <w:r w:rsidR="00532D2D" w:rsidRPr="00532D2D">
          <w:rPr>
            <w:rStyle w:val="Hyperlink"/>
            <w:rFonts w:ascii="Calibri" w:eastAsia="SimSun" w:hAnsi="Calibri"/>
            <w:webHidden/>
            <w:sz w:val="22"/>
            <w:szCs w:val="24"/>
          </w:rPr>
          <w:fldChar w:fldCharType="end"/>
        </w:r>
      </w:hyperlink>
    </w:p>
    <w:p w14:paraId="17AB3509" w14:textId="6AED8DC0" w:rsidR="00532D2D" w:rsidRPr="00532D2D" w:rsidRDefault="0079281B">
      <w:pPr>
        <w:pStyle w:val="Sumrio3"/>
        <w:rPr>
          <w:rStyle w:val="Hyperlink"/>
          <w:rFonts w:ascii="Calibri" w:eastAsia="SimSun" w:hAnsi="Calibri"/>
          <w:sz w:val="22"/>
          <w:szCs w:val="24"/>
        </w:rPr>
      </w:pPr>
      <w:hyperlink w:anchor="_Toc95928441" w:history="1">
        <w:r w:rsidR="00532D2D" w:rsidRPr="00532D2D">
          <w:rPr>
            <w:rStyle w:val="Hyperlink"/>
            <w:rFonts w:ascii="Calibri" w:eastAsia="SimSun" w:hAnsi="Calibri"/>
            <w:sz w:val="22"/>
            <w:szCs w:val="24"/>
          </w:rPr>
          <w:t>Repactuação Programada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_Toc95928441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85</w:t>
        </w:r>
        <w:r w:rsidR="00532D2D" w:rsidRPr="00532D2D">
          <w:rPr>
            <w:rStyle w:val="Hyperlink"/>
            <w:rFonts w:ascii="Calibri" w:eastAsia="SimSun" w:hAnsi="Calibri"/>
            <w:webHidden/>
            <w:sz w:val="22"/>
            <w:szCs w:val="24"/>
          </w:rPr>
          <w:fldChar w:fldCharType="end"/>
        </w:r>
      </w:hyperlink>
    </w:p>
    <w:p w14:paraId="1E1E51CB" w14:textId="30DD5A91" w:rsidR="00532D2D" w:rsidRPr="00532D2D" w:rsidRDefault="0079281B">
      <w:pPr>
        <w:pStyle w:val="Sumrio3"/>
        <w:rPr>
          <w:rStyle w:val="Hyperlink"/>
          <w:rFonts w:ascii="Calibri" w:eastAsia="SimSun" w:hAnsi="Calibri"/>
          <w:sz w:val="22"/>
          <w:szCs w:val="24"/>
        </w:rPr>
      </w:pPr>
      <w:hyperlink w:anchor="_Toc95928442" w:history="1">
        <w:r w:rsidR="00532D2D" w:rsidRPr="00532D2D">
          <w:rPr>
            <w:rStyle w:val="Hyperlink"/>
            <w:rFonts w:ascii="Calibri" w:eastAsia="SimSun" w:hAnsi="Calibri"/>
            <w:sz w:val="22"/>
            <w:szCs w:val="24"/>
          </w:rPr>
          <w:t>Publicidade</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_Toc95928442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85</w:t>
        </w:r>
        <w:r w:rsidR="00532D2D" w:rsidRPr="00532D2D">
          <w:rPr>
            <w:rStyle w:val="Hyperlink"/>
            <w:rFonts w:ascii="Calibri" w:eastAsia="SimSun" w:hAnsi="Calibri"/>
            <w:webHidden/>
            <w:sz w:val="22"/>
            <w:szCs w:val="24"/>
          </w:rPr>
          <w:fldChar w:fldCharType="end"/>
        </w:r>
      </w:hyperlink>
    </w:p>
    <w:p w14:paraId="0C34A314" w14:textId="0708B196" w:rsidR="00532D2D" w:rsidRPr="00532D2D" w:rsidRDefault="0079281B">
      <w:pPr>
        <w:pStyle w:val="Sumrio3"/>
        <w:rPr>
          <w:rStyle w:val="Hyperlink"/>
          <w:rFonts w:ascii="Calibri" w:eastAsia="SimSun" w:hAnsi="Calibri"/>
          <w:sz w:val="22"/>
          <w:szCs w:val="24"/>
        </w:rPr>
      </w:pPr>
      <w:hyperlink w:anchor="_Toc95928443" w:history="1">
        <w:r w:rsidR="00532D2D" w:rsidRPr="00532D2D">
          <w:rPr>
            <w:rStyle w:val="Hyperlink"/>
            <w:rFonts w:ascii="Calibri" w:eastAsia="SimSun" w:hAnsi="Calibri"/>
            <w:sz w:val="22"/>
            <w:szCs w:val="24"/>
          </w:rPr>
          <w:t>Imunidade Tributária dos Debenturistas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_Toc95928443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85</w:t>
        </w:r>
        <w:r w:rsidR="00532D2D" w:rsidRPr="00532D2D">
          <w:rPr>
            <w:rStyle w:val="Hyperlink"/>
            <w:rFonts w:ascii="Calibri" w:eastAsia="SimSun" w:hAnsi="Calibri"/>
            <w:webHidden/>
            <w:sz w:val="22"/>
            <w:szCs w:val="24"/>
          </w:rPr>
          <w:fldChar w:fldCharType="end"/>
        </w:r>
      </w:hyperlink>
    </w:p>
    <w:p w14:paraId="5A60F0EF" w14:textId="30A59C91" w:rsidR="00532D2D" w:rsidRPr="00532D2D" w:rsidRDefault="0079281B">
      <w:pPr>
        <w:pStyle w:val="Sumrio3"/>
        <w:rPr>
          <w:rStyle w:val="Hyperlink"/>
          <w:rFonts w:ascii="Calibri" w:eastAsia="SimSun" w:hAnsi="Calibri"/>
          <w:sz w:val="22"/>
          <w:szCs w:val="24"/>
        </w:rPr>
      </w:pPr>
      <w:hyperlink w:anchor="_Toc95928444" w:history="1">
        <w:r w:rsidR="00532D2D" w:rsidRPr="00532D2D">
          <w:rPr>
            <w:rStyle w:val="Hyperlink"/>
            <w:rFonts w:ascii="Calibri" w:eastAsia="SimSun" w:hAnsi="Calibri"/>
            <w:sz w:val="22"/>
            <w:szCs w:val="24"/>
          </w:rPr>
          <w:t>Classificação de Risco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_Toc95928444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86</w:t>
        </w:r>
        <w:r w:rsidR="00532D2D" w:rsidRPr="00532D2D">
          <w:rPr>
            <w:rStyle w:val="Hyperlink"/>
            <w:rFonts w:ascii="Calibri" w:eastAsia="SimSun" w:hAnsi="Calibri"/>
            <w:webHidden/>
            <w:sz w:val="22"/>
            <w:szCs w:val="24"/>
          </w:rPr>
          <w:fldChar w:fldCharType="end"/>
        </w:r>
      </w:hyperlink>
    </w:p>
    <w:p w14:paraId="5407E347" w14:textId="7126ED48" w:rsidR="00532D2D" w:rsidRPr="00532D2D" w:rsidRDefault="0079281B" w:rsidP="00532D2D">
      <w:pPr>
        <w:pStyle w:val="Sumrio1"/>
        <w:ind w:left="0" w:firstLine="0"/>
        <w:rPr>
          <w:rStyle w:val="Hyperlink"/>
          <w:rFonts w:ascii="Calibri" w:hAnsi="Calibri" w:cs="Calibri"/>
          <w:sz w:val="22"/>
        </w:rPr>
      </w:pPr>
      <w:hyperlink w:anchor="_Toc95928445" w:history="1">
        <w:r w:rsidR="00532D2D" w:rsidRPr="00532D2D">
          <w:rPr>
            <w:rStyle w:val="Hyperlink"/>
            <w:rFonts w:ascii="Calibri" w:hAnsi="Calibri" w:cs="Calibri"/>
            <w:sz w:val="22"/>
          </w:rPr>
          <w:t>RESGATE ANTECIPADO FACULTATIVO, AMORTIZAÇÃO EXTRAORDINÁRIA, OFERTA DE RESGATE ANTECIPADO E AQUISIÇÃO FACULTATIVA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_Toc95928445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86</w:t>
        </w:r>
        <w:r w:rsidR="00532D2D" w:rsidRPr="00532D2D">
          <w:rPr>
            <w:rStyle w:val="Hyperlink"/>
            <w:rFonts w:ascii="Calibri" w:hAnsi="Calibri" w:cs="Calibri"/>
            <w:webHidden/>
            <w:sz w:val="22"/>
          </w:rPr>
          <w:fldChar w:fldCharType="end"/>
        </w:r>
      </w:hyperlink>
    </w:p>
    <w:p w14:paraId="4DA70E8F" w14:textId="5E55FF6E" w:rsidR="00532D2D" w:rsidRPr="00532D2D" w:rsidRDefault="0079281B">
      <w:pPr>
        <w:pStyle w:val="Sumrio3"/>
        <w:rPr>
          <w:rStyle w:val="Hyperlink"/>
          <w:rFonts w:ascii="Calibri" w:eastAsia="SimSun" w:hAnsi="Calibri"/>
          <w:sz w:val="22"/>
          <w:szCs w:val="24"/>
        </w:rPr>
      </w:pPr>
      <w:hyperlink w:anchor="_Toc95928446" w:history="1">
        <w:r w:rsidR="00532D2D" w:rsidRPr="00532D2D">
          <w:rPr>
            <w:rStyle w:val="Hyperlink"/>
            <w:rFonts w:ascii="Calibri" w:eastAsia="SimSun" w:hAnsi="Calibri"/>
            <w:sz w:val="22"/>
            <w:szCs w:val="24"/>
          </w:rPr>
          <w:t>Resgate Antecipado Facultativo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_Toc95928446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86</w:t>
        </w:r>
        <w:r w:rsidR="00532D2D" w:rsidRPr="00532D2D">
          <w:rPr>
            <w:rStyle w:val="Hyperlink"/>
            <w:rFonts w:ascii="Calibri" w:eastAsia="SimSun" w:hAnsi="Calibri"/>
            <w:webHidden/>
            <w:sz w:val="22"/>
            <w:szCs w:val="24"/>
          </w:rPr>
          <w:fldChar w:fldCharType="end"/>
        </w:r>
      </w:hyperlink>
    </w:p>
    <w:p w14:paraId="1CE64FC7" w14:textId="23A62F31" w:rsidR="00532D2D" w:rsidRPr="00532D2D" w:rsidRDefault="0079281B">
      <w:pPr>
        <w:pStyle w:val="Sumrio3"/>
        <w:rPr>
          <w:rStyle w:val="Hyperlink"/>
          <w:rFonts w:ascii="Calibri" w:eastAsia="SimSun" w:hAnsi="Calibri"/>
          <w:sz w:val="22"/>
          <w:szCs w:val="24"/>
        </w:rPr>
      </w:pPr>
      <w:hyperlink w:anchor="_Toc95928447" w:history="1">
        <w:r w:rsidR="00532D2D" w:rsidRPr="00532D2D">
          <w:rPr>
            <w:rStyle w:val="Hyperlink"/>
            <w:rFonts w:ascii="Calibri" w:eastAsia="SimSun" w:hAnsi="Calibri"/>
            <w:sz w:val="22"/>
            <w:szCs w:val="24"/>
          </w:rPr>
          <w:t>Amortização Extraordinária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_Toc95928447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86</w:t>
        </w:r>
        <w:r w:rsidR="00532D2D" w:rsidRPr="00532D2D">
          <w:rPr>
            <w:rStyle w:val="Hyperlink"/>
            <w:rFonts w:ascii="Calibri" w:eastAsia="SimSun" w:hAnsi="Calibri"/>
            <w:webHidden/>
            <w:sz w:val="22"/>
            <w:szCs w:val="24"/>
          </w:rPr>
          <w:fldChar w:fldCharType="end"/>
        </w:r>
      </w:hyperlink>
    </w:p>
    <w:p w14:paraId="4A8F583D" w14:textId="2E00AF7F" w:rsidR="00532D2D" w:rsidRPr="00532D2D" w:rsidRDefault="0079281B">
      <w:pPr>
        <w:pStyle w:val="Sumrio3"/>
        <w:rPr>
          <w:rStyle w:val="Hyperlink"/>
          <w:rFonts w:ascii="Calibri" w:eastAsia="SimSun" w:hAnsi="Calibri"/>
          <w:sz w:val="22"/>
          <w:szCs w:val="24"/>
        </w:rPr>
      </w:pPr>
      <w:hyperlink w:anchor="_Toc95928448" w:history="1">
        <w:r w:rsidR="00532D2D" w:rsidRPr="00532D2D">
          <w:rPr>
            <w:rStyle w:val="Hyperlink"/>
            <w:rFonts w:ascii="Calibri" w:eastAsia="SimSun" w:hAnsi="Calibri"/>
            <w:sz w:val="22"/>
            <w:szCs w:val="24"/>
          </w:rPr>
          <w:t>Oferta de Resgate Antecipado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_Toc95928448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87</w:t>
        </w:r>
        <w:r w:rsidR="00532D2D" w:rsidRPr="00532D2D">
          <w:rPr>
            <w:rStyle w:val="Hyperlink"/>
            <w:rFonts w:ascii="Calibri" w:eastAsia="SimSun" w:hAnsi="Calibri"/>
            <w:webHidden/>
            <w:sz w:val="22"/>
            <w:szCs w:val="24"/>
          </w:rPr>
          <w:fldChar w:fldCharType="end"/>
        </w:r>
      </w:hyperlink>
    </w:p>
    <w:p w14:paraId="7838F8EB" w14:textId="5ED5CFED" w:rsidR="00532D2D" w:rsidRPr="00532D2D" w:rsidRDefault="0079281B">
      <w:pPr>
        <w:pStyle w:val="Sumrio3"/>
        <w:rPr>
          <w:rStyle w:val="Hyperlink"/>
          <w:rFonts w:ascii="Calibri" w:eastAsia="SimSun" w:hAnsi="Calibri"/>
          <w:sz w:val="22"/>
          <w:szCs w:val="24"/>
        </w:rPr>
      </w:pPr>
      <w:hyperlink w:anchor="_Toc95928449" w:history="1">
        <w:r w:rsidR="00532D2D" w:rsidRPr="00532D2D">
          <w:rPr>
            <w:rStyle w:val="Hyperlink"/>
            <w:rFonts w:ascii="Calibri" w:eastAsia="SimSun" w:hAnsi="Calibri"/>
            <w:sz w:val="22"/>
            <w:szCs w:val="24"/>
          </w:rPr>
          <w:t>Aquisição Facultativa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_Toc95928449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88</w:t>
        </w:r>
        <w:r w:rsidR="00532D2D" w:rsidRPr="00532D2D">
          <w:rPr>
            <w:rStyle w:val="Hyperlink"/>
            <w:rFonts w:ascii="Calibri" w:eastAsia="SimSun" w:hAnsi="Calibri"/>
            <w:webHidden/>
            <w:sz w:val="22"/>
            <w:szCs w:val="24"/>
          </w:rPr>
          <w:fldChar w:fldCharType="end"/>
        </w:r>
      </w:hyperlink>
    </w:p>
    <w:p w14:paraId="3CB24AA1" w14:textId="6CAFFCEC" w:rsidR="00532D2D" w:rsidRPr="00532D2D" w:rsidRDefault="0079281B">
      <w:pPr>
        <w:pStyle w:val="Sumrio3"/>
        <w:rPr>
          <w:rStyle w:val="Hyperlink"/>
          <w:rFonts w:ascii="Calibri" w:eastAsia="SimSun" w:hAnsi="Calibri"/>
          <w:sz w:val="22"/>
          <w:szCs w:val="24"/>
        </w:rPr>
      </w:pPr>
      <w:hyperlink w:anchor="_Toc95928450" w:history="1">
        <w:r w:rsidR="00532D2D" w:rsidRPr="00532D2D">
          <w:rPr>
            <w:rStyle w:val="Hyperlink"/>
            <w:rFonts w:ascii="Calibri" w:eastAsia="SimSun" w:hAnsi="Calibri"/>
            <w:sz w:val="22"/>
            <w:szCs w:val="24"/>
          </w:rPr>
          <w:t>Resgate Obrigatório Total</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_Toc95928450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89</w:t>
        </w:r>
        <w:r w:rsidR="00532D2D" w:rsidRPr="00532D2D">
          <w:rPr>
            <w:rStyle w:val="Hyperlink"/>
            <w:rFonts w:ascii="Calibri" w:eastAsia="SimSun" w:hAnsi="Calibri"/>
            <w:webHidden/>
            <w:sz w:val="22"/>
            <w:szCs w:val="24"/>
          </w:rPr>
          <w:fldChar w:fldCharType="end"/>
        </w:r>
      </w:hyperlink>
    </w:p>
    <w:p w14:paraId="1EE5D4B0" w14:textId="6F8D3C28" w:rsidR="00532D2D" w:rsidRPr="00532D2D" w:rsidRDefault="0079281B" w:rsidP="00532D2D">
      <w:pPr>
        <w:pStyle w:val="Sumrio1"/>
        <w:ind w:left="0" w:firstLine="0"/>
        <w:rPr>
          <w:rStyle w:val="Hyperlink"/>
          <w:rFonts w:ascii="Calibri" w:hAnsi="Calibri" w:cs="Calibri"/>
          <w:sz w:val="22"/>
        </w:rPr>
      </w:pPr>
      <w:hyperlink w:anchor="_Toc95928451" w:history="1">
        <w:r w:rsidR="00532D2D" w:rsidRPr="00532D2D">
          <w:rPr>
            <w:rStyle w:val="Hyperlink"/>
            <w:rFonts w:ascii="Calibri" w:hAnsi="Calibri" w:cs="Calibri"/>
            <w:sz w:val="22"/>
          </w:rPr>
          <w:t>VENCIMENTO ANTECIPADO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_Toc95928451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93</w:t>
        </w:r>
        <w:r w:rsidR="00532D2D" w:rsidRPr="00532D2D">
          <w:rPr>
            <w:rStyle w:val="Hyperlink"/>
            <w:rFonts w:ascii="Calibri" w:hAnsi="Calibri" w:cs="Calibri"/>
            <w:webHidden/>
            <w:sz w:val="22"/>
          </w:rPr>
          <w:fldChar w:fldCharType="end"/>
        </w:r>
      </w:hyperlink>
    </w:p>
    <w:p w14:paraId="721D2160" w14:textId="61DF40DF" w:rsidR="00532D2D" w:rsidRPr="00532D2D" w:rsidRDefault="0079281B" w:rsidP="00532D2D">
      <w:pPr>
        <w:pStyle w:val="Sumrio3"/>
        <w:rPr>
          <w:rStyle w:val="Hyperlink"/>
          <w:rFonts w:ascii="Calibri" w:eastAsia="SimSun" w:hAnsi="Calibri"/>
          <w:sz w:val="22"/>
          <w:szCs w:val="24"/>
        </w:rPr>
      </w:pPr>
      <w:hyperlink w:anchor="_Toc95928452" w:history="1">
        <w:r w:rsidR="00532D2D" w:rsidRPr="00532D2D">
          <w:rPr>
            <w:rStyle w:val="Hyperlink"/>
            <w:rFonts w:ascii="Calibri" w:eastAsia="SimSun" w:hAnsi="Calibri"/>
            <w:sz w:val="22"/>
            <w:szCs w:val="24"/>
          </w:rPr>
          <w:t>Eventos de Vencimento Antecipado Automático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_Toc95928452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93</w:t>
        </w:r>
        <w:r w:rsidR="00532D2D" w:rsidRPr="00532D2D">
          <w:rPr>
            <w:rStyle w:val="Hyperlink"/>
            <w:rFonts w:ascii="Calibri" w:eastAsia="SimSun" w:hAnsi="Calibri"/>
            <w:webHidden/>
            <w:sz w:val="22"/>
            <w:szCs w:val="24"/>
          </w:rPr>
          <w:fldChar w:fldCharType="end"/>
        </w:r>
      </w:hyperlink>
    </w:p>
    <w:p w14:paraId="62965DFA" w14:textId="47DEDFDA" w:rsidR="00532D2D" w:rsidRPr="00532D2D" w:rsidRDefault="0079281B" w:rsidP="00532D2D">
      <w:pPr>
        <w:pStyle w:val="Sumrio3"/>
        <w:rPr>
          <w:rStyle w:val="Hyperlink"/>
          <w:rFonts w:ascii="Calibri" w:eastAsia="SimSun" w:hAnsi="Calibri"/>
          <w:sz w:val="22"/>
          <w:szCs w:val="24"/>
        </w:rPr>
      </w:pPr>
      <w:hyperlink w:anchor="_Toc95928453" w:history="1">
        <w:r w:rsidR="00532D2D" w:rsidRPr="00532D2D">
          <w:rPr>
            <w:rStyle w:val="Hyperlink"/>
            <w:rFonts w:ascii="Calibri" w:eastAsia="SimSun" w:hAnsi="Calibri"/>
            <w:sz w:val="22"/>
            <w:szCs w:val="24"/>
          </w:rPr>
          <w:t>Eventos de Vencimento Antecipado Não Automático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_Toc95928453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94</w:t>
        </w:r>
        <w:r w:rsidR="00532D2D" w:rsidRPr="00532D2D">
          <w:rPr>
            <w:rStyle w:val="Hyperlink"/>
            <w:rFonts w:ascii="Calibri" w:eastAsia="SimSun" w:hAnsi="Calibri"/>
            <w:webHidden/>
            <w:sz w:val="22"/>
            <w:szCs w:val="24"/>
          </w:rPr>
          <w:fldChar w:fldCharType="end"/>
        </w:r>
      </w:hyperlink>
    </w:p>
    <w:p w14:paraId="3DA034A2" w14:textId="178AE0B6" w:rsidR="00532D2D" w:rsidRPr="00532D2D" w:rsidRDefault="0079281B" w:rsidP="00532D2D">
      <w:pPr>
        <w:pStyle w:val="Sumrio1"/>
        <w:ind w:left="0" w:firstLine="0"/>
        <w:rPr>
          <w:rStyle w:val="Hyperlink"/>
          <w:rFonts w:ascii="Calibri" w:hAnsi="Calibri" w:cs="Calibri"/>
          <w:sz w:val="22"/>
        </w:rPr>
      </w:pPr>
      <w:hyperlink w:anchor="_Toc95928454" w:history="1">
        <w:r w:rsidR="00532D2D" w:rsidRPr="00532D2D">
          <w:rPr>
            <w:rStyle w:val="Hyperlink"/>
            <w:rFonts w:ascii="Calibri" w:hAnsi="Calibri" w:cs="Calibri"/>
            <w:sz w:val="22"/>
          </w:rPr>
          <w:t>DISPOSIÇÕES APLICÁVEIS EM CASO DE OCORRÊNCIA DE EVENTO DE INADIMPLEMENTO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_Toc95928454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101</w:t>
        </w:r>
        <w:r w:rsidR="00532D2D" w:rsidRPr="00532D2D">
          <w:rPr>
            <w:rStyle w:val="Hyperlink"/>
            <w:rFonts w:ascii="Calibri" w:hAnsi="Calibri" w:cs="Calibri"/>
            <w:webHidden/>
            <w:sz w:val="22"/>
          </w:rPr>
          <w:fldChar w:fldCharType="end"/>
        </w:r>
      </w:hyperlink>
    </w:p>
    <w:p w14:paraId="46100B82" w14:textId="0A20185F" w:rsidR="00532D2D" w:rsidRPr="00532D2D" w:rsidRDefault="0079281B" w:rsidP="00532D2D">
      <w:pPr>
        <w:pStyle w:val="Sumrio1"/>
        <w:ind w:left="0" w:firstLine="0"/>
        <w:rPr>
          <w:rStyle w:val="Hyperlink"/>
          <w:rFonts w:ascii="Calibri" w:hAnsi="Calibri" w:cs="Calibri"/>
          <w:sz w:val="22"/>
        </w:rPr>
      </w:pPr>
      <w:hyperlink w:anchor="_Toc95928455" w:history="1">
        <w:r w:rsidR="00532D2D" w:rsidRPr="00532D2D">
          <w:rPr>
            <w:rStyle w:val="Hyperlink"/>
            <w:rFonts w:ascii="Calibri" w:hAnsi="Calibri" w:cs="Calibri"/>
            <w:sz w:val="22"/>
          </w:rPr>
          <w:t>ASSEMBLEIA GERAL DE DEBENTURISTAS</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_Toc95928455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102</w:t>
        </w:r>
        <w:r w:rsidR="00532D2D" w:rsidRPr="00532D2D">
          <w:rPr>
            <w:rStyle w:val="Hyperlink"/>
            <w:rFonts w:ascii="Calibri" w:hAnsi="Calibri" w:cs="Calibri"/>
            <w:webHidden/>
            <w:sz w:val="22"/>
          </w:rPr>
          <w:fldChar w:fldCharType="end"/>
        </w:r>
      </w:hyperlink>
    </w:p>
    <w:p w14:paraId="70966034" w14:textId="7E975B24" w:rsidR="00532D2D" w:rsidRPr="00532D2D" w:rsidRDefault="0079281B" w:rsidP="00532D2D">
      <w:pPr>
        <w:pStyle w:val="Sumrio1"/>
        <w:ind w:left="0" w:firstLine="0"/>
        <w:rPr>
          <w:rStyle w:val="Hyperlink"/>
          <w:rFonts w:ascii="Calibri" w:hAnsi="Calibri" w:cs="Calibri"/>
          <w:sz w:val="22"/>
        </w:rPr>
      </w:pPr>
      <w:hyperlink w:anchor="_Toc95928456" w:history="1">
        <w:r w:rsidR="00532D2D" w:rsidRPr="00532D2D">
          <w:rPr>
            <w:rStyle w:val="Hyperlink"/>
            <w:rFonts w:ascii="Calibri" w:hAnsi="Calibri" w:cs="Calibri"/>
            <w:sz w:val="22"/>
          </w:rPr>
          <w:t>CARACTERÍSTICAS DA OFERTA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_Toc95928456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105</w:t>
        </w:r>
        <w:r w:rsidR="00532D2D" w:rsidRPr="00532D2D">
          <w:rPr>
            <w:rStyle w:val="Hyperlink"/>
            <w:rFonts w:ascii="Calibri" w:hAnsi="Calibri" w:cs="Calibri"/>
            <w:webHidden/>
            <w:sz w:val="22"/>
          </w:rPr>
          <w:fldChar w:fldCharType="end"/>
        </w:r>
      </w:hyperlink>
    </w:p>
    <w:p w14:paraId="53F58CE5" w14:textId="342E5B74" w:rsidR="00532D2D" w:rsidRPr="00532D2D" w:rsidRDefault="0079281B">
      <w:pPr>
        <w:pStyle w:val="Sumrio3"/>
        <w:rPr>
          <w:rStyle w:val="Hyperlink"/>
          <w:rFonts w:ascii="Calibri" w:eastAsia="SimSun" w:hAnsi="Calibri"/>
          <w:sz w:val="22"/>
          <w:szCs w:val="24"/>
        </w:rPr>
      </w:pPr>
      <w:hyperlink w:anchor="_Toc95928457" w:history="1">
        <w:r w:rsidR="00532D2D" w:rsidRPr="00532D2D">
          <w:rPr>
            <w:rStyle w:val="Hyperlink"/>
            <w:rFonts w:ascii="Calibri" w:eastAsia="SimSun" w:hAnsi="Calibri"/>
            <w:sz w:val="22"/>
            <w:szCs w:val="24"/>
          </w:rPr>
          <w:t>Oferta Não Institucional</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_Toc95928457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105</w:t>
        </w:r>
        <w:r w:rsidR="00532D2D" w:rsidRPr="00532D2D">
          <w:rPr>
            <w:rStyle w:val="Hyperlink"/>
            <w:rFonts w:ascii="Calibri" w:eastAsia="SimSun" w:hAnsi="Calibri"/>
            <w:webHidden/>
            <w:sz w:val="22"/>
            <w:szCs w:val="24"/>
          </w:rPr>
          <w:fldChar w:fldCharType="end"/>
        </w:r>
      </w:hyperlink>
    </w:p>
    <w:p w14:paraId="0E2B1D83" w14:textId="062B8BE3" w:rsidR="00532D2D" w:rsidRPr="00532D2D" w:rsidRDefault="0079281B">
      <w:pPr>
        <w:pStyle w:val="Sumrio3"/>
        <w:rPr>
          <w:rStyle w:val="Hyperlink"/>
          <w:rFonts w:ascii="Calibri" w:eastAsia="SimSun" w:hAnsi="Calibri"/>
          <w:sz w:val="22"/>
          <w:szCs w:val="24"/>
        </w:rPr>
      </w:pPr>
      <w:hyperlink w:anchor="_Toc95928458" w:history="1">
        <w:r w:rsidR="00532D2D" w:rsidRPr="00532D2D">
          <w:rPr>
            <w:rStyle w:val="Hyperlink"/>
            <w:rFonts w:ascii="Calibri" w:eastAsia="SimSun" w:hAnsi="Calibri"/>
            <w:sz w:val="22"/>
            <w:szCs w:val="24"/>
          </w:rPr>
          <w:t>Critérios de Rateio da Oferta Não Institucional</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_Toc95928458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108</w:t>
        </w:r>
        <w:r w:rsidR="00532D2D" w:rsidRPr="00532D2D">
          <w:rPr>
            <w:rStyle w:val="Hyperlink"/>
            <w:rFonts w:ascii="Calibri" w:eastAsia="SimSun" w:hAnsi="Calibri"/>
            <w:webHidden/>
            <w:sz w:val="22"/>
            <w:szCs w:val="24"/>
          </w:rPr>
          <w:fldChar w:fldCharType="end"/>
        </w:r>
      </w:hyperlink>
    </w:p>
    <w:p w14:paraId="2717E8C8" w14:textId="1FAC2FFF" w:rsidR="00532D2D" w:rsidRPr="00532D2D" w:rsidRDefault="0079281B">
      <w:pPr>
        <w:pStyle w:val="Sumrio3"/>
        <w:rPr>
          <w:rStyle w:val="Hyperlink"/>
          <w:rFonts w:ascii="Calibri" w:eastAsia="SimSun" w:hAnsi="Calibri"/>
          <w:sz w:val="22"/>
          <w:szCs w:val="24"/>
        </w:rPr>
      </w:pPr>
      <w:hyperlink w:anchor="_Toc95928459" w:history="1">
        <w:r w:rsidR="00532D2D" w:rsidRPr="00532D2D">
          <w:rPr>
            <w:rStyle w:val="Hyperlink"/>
            <w:rFonts w:ascii="Calibri" w:eastAsia="SimSun" w:hAnsi="Calibri"/>
            <w:sz w:val="22"/>
            <w:szCs w:val="24"/>
          </w:rPr>
          <w:t>Critério de Colocação da Oferta Institucional</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_Toc95928459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108</w:t>
        </w:r>
        <w:r w:rsidR="00532D2D" w:rsidRPr="00532D2D">
          <w:rPr>
            <w:rStyle w:val="Hyperlink"/>
            <w:rFonts w:ascii="Calibri" w:eastAsia="SimSun" w:hAnsi="Calibri"/>
            <w:webHidden/>
            <w:sz w:val="22"/>
            <w:szCs w:val="24"/>
          </w:rPr>
          <w:fldChar w:fldCharType="end"/>
        </w:r>
      </w:hyperlink>
    </w:p>
    <w:p w14:paraId="5B4A115A" w14:textId="1D466423" w:rsidR="00532D2D" w:rsidRPr="00532D2D" w:rsidRDefault="0079281B">
      <w:pPr>
        <w:pStyle w:val="Sumrio3"/>
        <w:rPr>
          <w:rStyle w:val="Hyperlink"/>
          <w:rFonts w:ascii="Calibri" w:eastAsia="SimSun" w:hAnsi="Calibri"/>
          <w:sz w:val="22"/>
          <w:szCs w:val="24"/>
        </w:rPr>
      </w:pPr>
      <w:hyperlink w:anchor="_Toc95928460" w:history="1">
        <w:r w:rsidR="00532D2D" w:rsidRPr="00532D2D">
          <w:rPr>
            <w:rStyle w:val="Hyperlink"/>
            <w:rFonts w:ascii="Calibri" w:eastAsia="SimSun" w:hAnsi="Calibri"/>
            <w:sz w:val="22"/>
            <w:szCs w:val="24"/>
          </w:rPr>
          <w:t>Oferta Institucional</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_Toc95928460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108</w:t>
        </w:r>
        <w:r w:rsidR="00532D2D" w:rsidRPr="00532D2D">
          <w:rPr>
            <w:rStyle w:val="Hyperlink"/>
            <w:rFonts w:ascii="Calibri" w:eastAsia="SimSun" w:hAnsi="Calibri"/>
            <w:webHidden/>
            <w:sz w:val="22"/>
            <w:szCs w:val="24"/>
          </w:rPr>
          <w:fldChar w:fldCharType="end"/>
        </w:r>
      </w:hyperlink>
    </w:p>
    <w:p w14:paraId="43889B96" w14:textId="29F6DEFA" w:rsidR="00532D2D" w:rsidRPr="00532D2D" w:rsidRDefault="0079281B">
      <w:pPr>
        <w:pStyle w:val="Sumrio3"/>
        <w:rPr>
          <w:rStyle w:val="Hyperlink"/>
          <w:rFonts w:ascii="Calibri" w:eastAsia="SimSun" w:hAnsi="Calibri"/>
          <w:sz w:val="22"/>
          <w:szCs w:val="24"/>
        </w:rPr>
      </w:pPr>
      <w:hyperlink w:anchor="_Toc95928461" w:history="1">
        <w:r w:rsidR="00532D2D" w:rsidRPr="00532D2D">
          <w:rPr>
            <w:rStyle w:val="Hyperlink"/>
            <w:rFonts w:ascii="Calibri" w:eastAsia="SimSun" w:hAnsi="Calibri"/>
            <w:sz w:val="22"/>
            <w:szCs w:val="24"/>
          </w:rPr>
          <w:t>Distribuição Parcial</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_Toc95928461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110</w:t>
        </w:r>
        <w:r w:rsidR="00532D2D" w:rsidRPr="00532D2D">
          <w:rPr>
            <w:rStyle w:val="Hyperlink"/>
            <w:rFonts w:ascii="Calibri" w:eastAsia="SimSun" w:hAnsi="Calibri"/>
            <w:webHidden/>
            <w:sz w:val="22"/>
            <w:szCs w:val="24"/>
          </w:rPr>
          <w:fldChar w:fldCharType="end"/>
        </w:r>
      </w:hyperlink>
    </w:p>
    <w:p w14:paraId="6AC5A6ED" w14:textId="4689B6CC" w:rsidR="00532D2D" w:rsidRPr="00532D2D" w:rsidRDefault="0079281B">
      <w:pPr>
        <w:pStyle w:val="Sumrio3"/>
        <w:rPr>
          <w:rStyle w:val="Hyperlink"/>
          <w:rFonts w:ascii="Calibri" w:eastAsia="SimSun" w:hAnsi="Calibri"/>
          <w:sz w:val="22"/>
          <w:szCs w:val="24"/>
        </w:rPr>
      </w:pPr>
      <w:hyperlink w:anchor="_Toc95928462" w:history="1">
        <w:r w:rsidR="00532D2D" w:rsidRPr="00532D2D">
          <w:rPr>
            <w:rStyle w:val="Hyperlink"/>
            <w:rFonts w:ascii="Calibri" w:eastAsia="SimSun" w:hAnsi="Calibri"/>
            <w:sz w:val="22"/>
            <w:szCs w:val="24"/>
          </w:rPr>
          <w:t>Inadequação da Oferta a Certos Investidores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_Toc95928462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110</w:t>
        </w:r>
        <w:r w:rsidR="00532D2D" w:rsidRPr="00532D2D">
          <w:rPr>
            <w:rStyle w:val="Hyperlink"/>
            <w:rFonts w:ascii="Calibri" w:eastAsia="SimSun" w:hAnsi="Calibri"/>
            <w:webHidden/>
            <w:sz w:val="22"/>
            <w:szCs w:val="24"/>
          </w:rPr>
          <w:fldChar w:fldCharType="end"/>
        </w:r>
      </w:hyperlink>
    </w:p>
    <w:p w14:paraId="3BA1BF58" w14:textId="431D8389" w:rsidR="00532D2D" w:rsidRPr="00532D2D" w:rsidRDefault="0079281B">
      <w:pPr>
        <w:pStyle w:val="Sumrio3"/>
        <w:rPr>
          <w:rStyle w:val="Hyperlink"/>
          <w:rFonts w:ascii="Calibri" w:eastAsia="SimSun" w:hAnsi="Calibri"/>
          <w:sz w:val="22"/>
          <w:szCs w:val="24"/>
        </w:rPr>
      </w:pPr>
      <w:hyperlink w:anchor="_Toc95928463" w:history="1">
        <w:r w:rsidR="00532D2D" w:rsidRPr="00532D2D">
          <w:rPr>
            <w:rStyle w:val="Hyperlink"/>
            <w:rFonts w:ascii="Calibri" w:eastAsia="SimSun" w:hAnsi="Calibri"/>
            <w:sz w:val="22"/>
            <w:szCs w:val="24"/>
          </w:rPr>
          <w:t>Modificação da Oferta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_Toc95928463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110</w:t>
        </w:r>
        <w:r w:rsidR="00532D2D" w:rsidRPr="00532D2D">
          <w:rPr>
            <w:rStyle w:val="Hyperlink"/>
            <w:rFonts w:ascii="Calibri" w:eastAsia="SimSun" w:hAnsi="Calibri"/>
            <w:webHidden/>
            <w:sz w:val="22"/>
            <w:szCs w:val="24"/>
          </w:rPr>
          <w:fldChar w:fldCharType="end"/>
        </w:r>
      </w:hyperlink>
    </w:p>
    <w:p w14:paraId="47366684" w14:textId="2456814B" w:rsidR="00532D2D" w:rsidRPr="00532D2D" w:rsidRDefault="0079281B">
      <w:pPr>
        <w:pStyle w:val="Sumrio3"/>
        <w:rPr>
          <w:rStyle w:val="Hyperlink"/>
          <w:rFonts w:ascii="Calibri" w:eastAsia="SimSun" w:hAnsi="Calibri"/>
          <w:sz w:val="22"/>
          <w:szCs w:val="24"/>
        </w:rPr>
      </w:pPr>
      <w:hyperlink w:anchor="_Toc95928464" w:history="1">
        <w:r w:rsidR="00532D2D" w:rsidRPr="00532D2D">
          <w:rPr>
            <w:rStyle w:val="Hyperlink"/>
            <w:rFonts w:ascii="Calibri" w:eastAsia="SimSun" w:hAnsi="Calibri"/>
            <w:sz w:val="22"/>
            <w:szCs w:val="24"/>
          </w:rPr>
          <w:t>Suspensão da Oferta ou Verificação de Divergência Relevante entre este Prospecto Definitivo e o Prospecto Preliminar</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_Toc95928464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111</w:t>
        </w:r>
        <w:r w:rsidR="00532D2D" w:rsidRPr="00532D2D">
          <w:rPr>
            <w:rStyle w:val="Hyperlink"/>
            <w:rFonts w:ascii="Calibri" w:eastAsia="SimSun" w:hAnsi="Calibri"/>
            <w:webHidden/>
            <w:sz w:val="22"/>
            <w:szCs w:val="24"/>
          </w:rPr>
          <w:fldChar w:fldCharType="end"/>
        </w:r>
      </w:hyperlink>
    </w:p>
    <w:p w14:paraId="0D079DBD" w14:textId="2754E4D8" w:rsidR="00532D2D" w:rsidRDefault="0079281B">
      <w:pPr>
        <w:pStyle w:val="Sumrio3"/>
        <w:rPr>
          <w:rFonts w:eastAsiaTheme="minorEastAsia" w:cstheme="minorBidi"/>
          <w:lang w:eastAsia="pt-BR"/>
        </w:rPr>
      </w:pPr>
      <w:hyperlink w:anchor="_Toc95928465" w:history="1">
        <w:r w:rsidR="00532D2D" w:rsidRPr="00663D53">
          <w:rPr>
            <w:rStyle w:val="Hyperlink"/>
            <w:i/>
          </w:rPr>
          <w:t>Cancelamento, Revogação da Oferta ou Resilição do Contrato de Distribuição</w:t>
        </w:r>
        <w:r w:rsidR="00532D2D">
          <w:rPr>
            <w:webHidden/>
          </w:rPr>
          <w:tab/>
        </w:r>
        <w:r w:rsidR="00532D2D">
          <w:rPr>
            <w:webHidden/>
          </w:rPr>
          <w:fldChar w:fldCharType="begin"/>
        </w:r>
        <w:r w:rsidR="00532D2D">
          <w:rPr>
            <w:webHidden/>
          </w:rPr>
          <w:instrText xml:space="preserve"> PAGEREF _Toc95928465 \h </w:instrText>
        </w:r>
        <w:r w:rsidR="00532D2D">
          <w:rPr>
            <w:webHidden/>
          </w:rPr>
        </w:r>
        <w:r w:rsidR="00532D2D">
          <w:rPr>
            <w:webHidden/>
          </w:rPr>
          <w:fldChar w:fldCharType="separate"/>
        </w:r>
        <w:r w:rsidR="001166EA">
          <w:rPr>
            <w:webHidden/>
          </w:rPr>
          <w:t>112</w:t>
        </w:r>
        <w:r w:rsidR="00532D2D">
          <w:rPr>
            <w:webHidden/>
          </w:rPr>
          <w:fldChar w:fldCharType="end"/>
        </w:r>
      </w:hyperlink>
    </w:p>
    <w:p w14:paraId="783B0F95" w14:textId="5641F8E0" w:rsidR="00532D2D" w:rsidRPr="00532D2D" w:rsidRDefault="0079281B" w:rsidP="00532D2D">
      <w:pPr>
        <w:pStyle w:val="Sumrio1"/>
        <w:ind w:left="0" w:firstLine="0"/>
        <w:rPr>
          <w:rStyle w:val="Hyperlink"/>
          <w:rFonts w:ascii="Calibri" w:hAnsi="Calibri" w:cs="Calibri"/>
          <w:sz w:val="22"/>
        </w:rPr>
      </w:pPr>
      <w:hyperlink w:anchor="_Toc95928466" w:history="1">
        <w:r w:rsidR="00532D2D" w:rsidRPr="00532D2D">
          <w:rPr>
            <w:rStyle w:val="Hyperlink"/>
            <w:rFonts w:ascii="Calibri" w:hAnsi="Calibri" w:cs="Calibri"/>
            <w:sz w:val="22"/>
          </w:rPr>
          <w:t>CONTRATO DE DISTRIBUIÇÃO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_Toc95928466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113</w:t>
        </w:r>
        <w:r w:rsidR="00532D2D" w:rsidRPr="00532D2D">
          <w:rPr>
            <w:rStyle w:val="Hyperlink"/>
            <w:rFonts w:ascii="Calibri" w:hAnsi="Calibri" w:cs="Calibri"/>
            <w:webHidden/>
            <w:sz w:val="22"/>
          </w:rPr>
          <w:fldChar w:fldCharType="end"/>
        </w:r>
      </w:hyperlink>
    </w:p>
    <w:p w14:paraId="0CD1C29D" w14:textId="582CFED2" w:rsidR="00532D2D" w:rsidRDefault="0079281B">
      <w:pPr>
        <w:pStyle w:val="Sumrio3"/>
        <w:rPr>
          <w:rFonts w:eastAsiaTheme="minorEastAsia" w:cstheme="minorBidi"/>
          <w:lang w:eastAsia="pt-BR"/>
        </w:rPr>
      </w:pPr>
      <w:hyperlink w:anchor="_Toc95928467" w:history="1">
        <w:r w:rsidR="00532D2D" w:rsidRPr="00663D53">
          <w:rPr>
            <w:rStyle w:val="Hyperlink"/>
            <w:i/>
          </w:rPr>
          <w:t>Regime de Colocação</w:t>
        </w:r>
        <w:r w:rsidR="00532D2D">
          <w:rPr>
            <w:webHidden/>
          </w:rPr>
          <w:tab/>
        </w:r>
        <w:r w:rsidR="00532D2D">
          <w:rPr>
            <w:webHidden/>
          </w:rPr>
          <w:fldChar w:fldCharType="begin"/>
        </w:r>
        <w:r w:rsidR="00532D2D">
          <w:rPr>
            <w:webHidden/>
          </w:rPr>
          <w:instrText xml:space="preserve"> PAGEREF _Toc95928467 \h </w:instrText>
        </w:r>
        <w:r w:rsidR="00532D2D">
          <w:rPr>
            <w:webHidden/>
          </w:rPr>
        </w:r>
        <w:r w:rsidR="00532D2D">
          <w:rPr>
            <w:webHidden/>
          </w:rPr>
          <w:fldChar w:fldCharType="separate"/>
        </w:r>
        <w:r w:rsidR="001166EA">
          <w:rPr>
            <w:webHidden/>
          </w:rPr>
          <w:t>113</w:t>
        </w:r>
        <w:r w:rsidR="00532D2D">
          <w:rPr>
            <w:webHidden/>
          </w:rPr>
          <w:fldChar w:fldCharType="end"/>
        </w:r>
      </w:hyperlink>
    </w:p>
    <w:p w14:paraId="6623C1B2" w14:textId="02A14221" w:rsidR="00532D2D" w:rsidRPr="00532D2D" w:rsidRDefault="0079281B">
      <w:pPr>
        <w:pStyle w:val="Sumrio3"/>
        <w:rPr>
          <w:rStyle w:val="Hyperlink"/>
          <w:rFonts w:ascii="Calibri" w:eastAsia="SimSun" w:hAnsi="Calibri"/>
          <w:sz w:val="22"/>
          <w:szCs w:val="24"/>
        </w:rPr>
      </w:pPr>
      <w:hyperlink w:anchor="_Toc95928468" w:history="1">
        <w:r w:rsidR="00532D2D" w:rsidRPr="00532D2D">
          <w:rPr>
            <w:rStyle w:val="Hyperlink"/>
            <w:rFonts w:ascii="Calibri" w:eastAsia="SimSun" w:hAnsi="Calibri"/>
            <w:sz w:val="22"/>
            <w:szCs w:val="24"/>
          </w:rPr>
          <w:t>Comissionamento do Coordenador Líder</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_Toc95928468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114</w:t>
        </w:r>
        <w:r w:rsidR="00532D2D" w:rsidRPr="00532D2D">
          <w:rPr>
            <w:rStyle w:val="Hyperlink"/>
            <w:rFonts w:ascii="Calibri" w:eastAsia="SimSun" w:hAnsi="Calibri"/>
            <w:webHidden/>
            <w:sz w:val="22"/>
            <w:szCs w:val="24"/>
          </w:rPr>
          <w:fldChar w:fldCharType="end"/>
        </w:r>
      </w:hyperlink>
    </w:p>
    <w:p w14:paraId="04CAC081" w14:textId="6D6D521B" w:rsidR="00532D2D" w:rsidRPr="00532D2D" w:rsidRDefault="0079281B">
      <w:pPr>
        <w:pStyle w:val="Sumrio3"/>
        <w:rPr>
          <w:rStyle w:val="Hyperlink"/>
          <w:rFonts w:ascii="Calibri" w:eastAsia="SimSun" w:hAnsi="Calibri"/>
          <w:sz w:val="22"/>
          <w:szCs w:val="24"/>
        </w:rPr>
      </w:pPr>
      <w:hyperlink w:anchor="_Toc95928469" w:history="1">
        <w:r w:rsidR="00532D2D" w:rsidRPr="00532D2D">
          <w:rPr>
            <w:rStyle w:val="Hyperlink"/>
            <w:rFonts w:ascii="Calibri" w:eastAsia="SimSun" w:hAnsi="Calibri"/>
            <w:sz w:val="22"/>
            <w:szCs w:val="24"/>
          </w:rPr>
          <w:t>Cópia do Contrato de Distribuição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_Toc95928469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115</w:t>
        </w:r>
        <w:r w:rsidR="00532D2D" w:rsidRPr="00532D2D">
          <w:rPr>
            <w:rStyle w:val="Hyperlink"/>
            <w:rFonts w:ascii="Calibri" w:eastAsia="SimSun" w:hAnsi="Calibri"/>
            <w:webHidden/>
            <w:sz w:val="22"/>
            <w:szCs w:val="24"/>
          </w:rPr>
          <w:fldChar w:fldCharType="end"/>
        </w:r>
      </w:hyperlink>
    </w:p>
    <w:p w14:paraId="7147CB7C" w14:textId="45634E7A" w:rsidR="00532D2D" w:rsidRPr="00532D2D" w:rsidRDefault="0079281B" w:rsidP="00532D2D">
      <w:pPr>
        <w:pStyle w:val="Sumrio1"/>
        <w:ind w:left="0" w:firstLine="0"/>
        <w:rPr>
          <w:rStyle w:val="Hyperlink"/>
          <w:rFonts w:ascii="Calibri" w:hAnsi="Calibri" w:cs="Calibri"/>
          <w:sz w:val="22"/>
        </w:rPr>
      </w:pPr>
      <w:hyperlink w:anchor="_Toc95928470" w:history="1">
        <w:r w:rsidR="00532D2D" w:rsidRPr="00532D2D">
          <w:rPr>
            <w:rStyle w:val="Hyperlink"/>
            <w:rFonts w:ascii="Calibri" w:hAnsi="Calibri" w:cs="Calibri"/>
            <w:sz w:val="22"/>
          </w:rPr>
          <w:t>CUSTOS ESTIMADOS DE DISTRIBUIÇÃO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_Toc95928470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117</w:t>
        </w:r>
        <w:r w:rsidR="00532D2D" w:rsidRPr="00532D2D">
          <w:rPr>
            <w:rStyle w:val="Hyperlink"/>
            <w:rFonts w:ascii="Calibri" w:hAnsi="Calibri" w:cs="Calibri"/>
            <w:webHidden/>
            <w:sz w:val="22"/>
          </w:rPr>
          <w:fldChar w:fldCharType="end"/>
        </w:r>
      </w:hyperlink>
    </w:p>
    <w:p w14:paraId="6A563DD8" w14:textId="110DF94E" w:rsidR="00532D2D" w:rsidRPr="00532D2D" w:rsidRDefault="0079281B" w:rsidP="00532D2D">
      <w:pPr>
        <w:pStyle w:val="Sumrio1"/>
        <w:ind w:left="0" w:firstLine="0"/>
        <w:rPr>
          <w:rStyle w:val="Hyperlink"/>
          <w:rFonts w:ascii="Calibri" w:hAnsi="Calibri" w:cs="Calibri"/>
          <w:sz w:val="22"/>
        </w:rPr>
      </w:pPr>
      <w:hyperlink w:anchor="_Toc95928471" w:history="1">
        <w:r w:rsidR="00532D2D" w:rsidRPr="00532D2D">
          <w:rPr>
            <w:rStyle w:val="Hyperlink"/>
            <w:rFonts w:ascii="Calibri" w:hAnsi="Calibri" w:cs="Calibri"/>
            <w:sz w:val="22"/>
          </w:rPr>
          <w:t>VISÃO GERAL DA LEI 12.431</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_Toc95928471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121</w:t>
        </w:r>
        <w:r w:rsidR="00532D2D" w:rsidRPr="00532D2D">
          <w:rPr>
            <w:rStyle w:val="Hyperlink"/>
            <w:rFonts w:ascii="Calibri" w:hAnsi="Calibri" w:cs="Calibri"/>
            <w:webHidden/>
            <w:sz w:val="22"/>
          </w:rPr>
          <w:fldChar w:fldCharType="end"/>
        </w:r>
      </w:hyperlink>
    </w:p>
    <w:p w14:paraId="098F7398" w14:textId="0CFA9B93" w:rsidR="00532D2D" w:rsidRPr="00532D2D" w:rsidRDefault="0079281B" w:rsidP="00532D2D">
      <w:pPr>
        <w:pStyle w:val="Sumrio3"/>
        <w:rPr>
          <w:rStyle w:val="Hyperlink"/>
          <w:rFonts w:ascii="Calibri" w:eastAsia="SimSun" w:hAnsi="Calibri"/>
          <w:sz w:val="22"/>
          <w:szCs w:val="24"/>
        </w:rPr>
      </w:pPr>
      <w:hyperlink w:anchor="_Toc95928472" w:history="1">
        <w:r w:rsidR="00532D2D" w:rsidRPr="00532D2D">
          <w:rPr>
            <w:rStyle w:val="Hyperlink"/>
            <w:rFonts w:ascii="Calibri" w:eastAsia="SimSun" w:hAnsi="Calibri"/>
            <w:sz w:val="22"/>
            <w:szCs w:val="24"/>
          </w:rPr>
          <w:t>Sumário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_Toc95928472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121</w:t>
        </w:r>
        <w:r w:rsidR="00532D2D" w:rsidRPr="00532D2D">
          <w:rPr>
            <w:rStyle w:val="Hyperlink"/>
            <w:rFonts w:ascii="Calibri" w:eastAsia="SimSun" w:hAnsi="Calibri"/>
            <w:webHidden/>
            <w:sz w:val="22"/>
            <w:szCs w:val="24"/>
          </w:rPr>
          <w:fldChar w:fldCharType="end"/>
        </w:r>
      </w:hyperlink>
    </w:p>
    <w:p w14:paraId="5F5245D0" w14:textId="7A0D9DB9" w:rsidR="00532D2D" w:rsidRPr="00532D2D" w:rsidRDefault="0079281B">
      <w:pPr>
        <w:pStyle w:val="Sumrio3"/>
        <w:rPr>
          <w:rStyle w:val="Hyperlink"/>
          <w:rFonts w:ascii="Calibri" w:eastAsia="SimSun" w:hAnsi="Calibri"/>
          <w:sz w:val="22"/>
          <w:szCs w:val="24"/>
        </w:rPr>
      </w:pPr>
      <w:hyperlink w:anchor="_Toc95928473" w:history="1">
        <w:r w:rsidR="00532D2D" w:rsidRPr="00532D2D">
          <w:rPr>
            <w:rStyle w:val="Hyperlink"/>
            <w:rFonts w:ascii="Calibri" w:eastAsia="SimSun" w:hAnsi="Calibri"/>
            <w:sz w:val="22"/>
            <w:szCs w:val="24"/>
          </w:rPr>
          <w:t>Valores mobiliários de longo prazo – descrição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_Toc95928473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121</w:t>
        </w:r>
        <w:r w:rsidR="00532D2D" w:rsidRPr="00532D2D">
          <w:rPr>
            <w:rStyle w:val="Hyperlink"/>
            <w:rFonts w:ascii="Calibri" w:eastAsia="SimSun" w:hAnsi="Calibri"/>
            <w:webHidden/>
            <w:sz w:val="22"/>
            <w:szCs w:val="24"/>
          </w:rPr>
          <w:fldChar w:fldCharType="end"/>
        </w:r>
      </w:hyperlink>
    </w:p>
    <w:p w14:paraId="724D3438" w14:textId="09B79F4E" w:rsidR="00532D2D" w:rsidRPr="00532D2D" w:rsidRDefault="0079281B">
      <w:pPr>
        <w:pStyle w:val="Sumrio3"/>
        <w:rPr>
          <w:rStyle w:val="Hyperlink"/>
          <w:rFonts w:ascii="Calibri" w:eastAsia="SimSun" w:hAnsi="Calibri"/>
          <w:sz w:val="22"/>
          <w:szCs w:val="24"/>
        </w:rPr>
      </w:pPr>
      <w:hyperlink w:anchor="_Toc95928474" w:history="1">
        <w:r w:rsidR="00532D2D" w:rsidRPr="00532D2D">
          <w:rPr>
            <w:rStyle w:val="Hyperlink"/>
            <w:rFonts w:ascii="Calibri" w:eastAsia="SimSun" w:hAnsi="Calibri"/>
            <w:sz w:val="22"/>
            <w:szCs w:val="24"/>
          </w:rPr>
          <w:t>Principais características das Debêntures de Infraestrutura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_Toc95928474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121</w:t>
        </w:r>
        <w:r w:rsidR="00532D2D" w:rsidRPr="00532D2D">
          <w:rPr>
            <w:rStyle w:val="Hyperlink"/>
            <w:rFonts w:ascii="Calibri" w:eastAsia="SimSun" w:hAnsi="Calibri"/>
            <w:webHidden/>
            <w:sz w:val="22"/>
            <w:szCs w:val="24"/>
          </w:rPr>
          <w:fldChar w:fldCharType="end"/>
        </w:r>
      </w:hyperlink>
    </w:p>
    <w:p w14:paraId="16D94B9F" w14:textId="652EC0E3" w:rsidR="00532D2D" w:rsidRPr="00532D2D" w:rsidRDefault="0079281B">
      <w:pPr>
        <w:pStyle w:val="Sumrio3"/>
        <w:rPr>
          <w:rStyle w:val="Hyperlink"/>
          <w:rFonts w:ascii="Calibri" w:eastAsia="SimSun" w:hAnsi="Calibri"/>
          <w:sz w:val="22"/>
          <w:szCs w:val="24"/>
        </w:rPr>
      </w:pPr>
      <w:hyperlink w:anchor="_Toc95928475" w:history="1">
        <w:r w:rsidR="00532D2D" w:rsidRPr="00532D2D">
          <w:rPr>
            <w:rStyle w:val="Hyperlink"/>
            <w:rFonts w:ascii="Calibri" w:eastAsia="SimSun" w:hAnsi="Calibri"/>
            <w:sz w:val="22"/>
            <w:szCs w:val="24"/>
          </w:rPr>
          <w:t>Investimento em Projetos de Investimentos prioritários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_Toc95928475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122</w:t>
        </w:r>
        <w:r w:rsidR="00532D2D" w:rsidRPr="00532D2D">
          <w:rPr>
            <w:rStyle w:val="Hyperlink"/>
            <w:rFonts w:ascii="Calibri" w:eastAsia="SimSun" w:hAnsi="Calibri"/>
            <w:webHidden/>
            <w:sz w:val="22"/>
            <w:szCs w:val="24"/>
          </w:rPr>
          <w:fldChar w:fldCharType="end"/>
        </w:r>
      </w:hyperlink>
    </w:p>
    <w:p w14:paraId="2936CF3B" w14:textId="27CC8DE3" w:rsidR="00532D2D" w:rsidRPr="00532D2D" w:rsidRDefault="0079281B">
      <w:pPr>
        <w:pStyle w:val="Sumrio3"/>
        <w:rPr>
          <w:rStyle w:val="Hyperlink"/>
          <w:rFonts w:ascii="Calibri" w:eastAsia="SimSun" w:hAnsi="Calibri"/>
          <w:sz w:val="22"/>
          <w:szCs w:val="24"/>
        </w:rPr>
      </w:pPr>
      <w:hyperlink w:anchor="_Toc95928476" w:history="1">
        <w:r w:rsidR="00532D2D" w:rsidRPr="00532D2D">
          <w:rPr>
            <w:rStyle w:val="Hyperlink"/>
            <w:rFonts w:ascii="Calibri" w:eastAsia="SimSun" w:hAnsi="Calibri"/>
            <w:sz w:val="22"/>
            <w:szCs w:val="24"/>
          </w:rPr>
          <w:t>Qualificação dos emissores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_Toc95928476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122</w:t>
        </w:r>
        <w:r w:rsidR="00532D2D" w:rsidRPr="00532D2D">
          <w:rPr>
            <w:rStyle w:val="Hyperlink"/>
            <w:rFonts w:ascii="Calibri" w:eastAsia="SimSun" w:hAnsi="Calibri"/>
            <w:webHidden/>
            <w:sz w:val="22"/>
            <w:szCs w:val="24"/>
          </w:rPr>
          <w:fldChar w:fldCharType="end"/>
        </w:r>
      </w:hyperlink>
    </w:p>
    <w:p w14:paraId="36B8D450" w14:textId="62B08C15" w:rsidR="00532D2D" w:rsidRPr="00532D2D" w:rsidRDefault="0079281B">
      <w:pPr>
        <w:pStyle w:val="Sumrio3"/>
        <w:rPr>
          <w:rStyle w:val="Hyperlink"/>
          <w:rFonts w:ascii="Calibri" w:eastAsia="SimSun" w:hAnsi="Calibri"/>
          <w:sz w:val="22"/>
          <w:szCs w:val="24"/>
        </w:rPr>
      </w:pPr>
      <w:hyperlink w:anchor="_Toc95928477" w:history="1">
        <w:r w:rsidR="00532D2D" w:rsidRPr="00532D2D">
          <w:rPr>
            <w:rStyle w:val="Hyperlink"/>
            <w:rFonts w:ascii="Calibri" w:eastAsia="SimSun" w:hAnsi="Calibri"/>
            <w:sz w:val="22"/>
            <w:szCs w:val="24"/>
          </w:rPr>
          <w:t>Decreto 8.874</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_Toc95928477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122</w:t>
        </w:r>
        <w:r w:rsidR="00532D2D" w:rsidRPr="00532D2D">
          <w:rPr>
            <w:rStyle w:val="Hyperlink"/>
            <w:rFonts w:ascii="Calibri" w:eastAsia="SimSun" w:hAnsi="Calibri"/>
            <w:webHidden/>
            <w:sz w:val="22"/>
            <w:szCs w:val="24"/>
          </w:rPr>
          <w:fldChar w:fldCharType="end"/>
        </w:r>
      </w:hyperlink>
    </w:p>
    <w:p w14:paraId="6BB5DEA5" w14:textId="184C5610" w:rsidR="00532D2D" w:rsidRPr="00532D2D" w:rsidRDefault="0079281B">
      <w:pPr>
        <w:pStyle w:val="Sumrio3"/>
        <w:rPr>
          <w:rStyle w:val="Hyperlink"/>
          <w:rFonts w:ascii="Calibri" w:eastAsia="SimSun" w:hAnsi="Calibri"/>
          <w:sz w:val="22"/>
          <w:szCs w:val="24"/>
        </w:rPr>
      </w:pPr>
      <w:hyperlink w:anchor="_Toc95928478" w:history="1">
        <w:r w:rsidR="00532D2D" w:rsidRPr="00532D2D">
          <w:rPr>
            <w:rStyle w:val="Hyperlink"/>
            <w:rFonts w:ascii="Calibri" w:eastAsia="SimSun" w:hAnsi="Calibri"/>
            <w:sz w:val="22"/>
            <w:szCs w:val="24"/>
          </w:rPr>
          <w:t>Tributação das Debêntures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_Toc95928478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122</w:t>
        </w:r>
        <w:r w:rsidR="00532D2D" w:rsidRPr="00532D2D">
          <w:rPr>
            <w:rStyle w:val="Hyperlink"/>
            <w:rFonts w:ascii="Calibri" w:eastAsia="SimSun" w:hAnsi="Calibri"/>
            <w:webHidden/>
            <w:sz w:val="22"/>
            <w:szCs w:val="24"/>
          </w:rPr>
          <w:fldChar w:fldCharType="end"/>
        </w:r>
      </w:hyperlink>
    </w:p>
    <w:p w14:paraId="3B2B5B20" w14:textId="45C04EAD" w:rsidR="00532D2D" w:rsidRPr="00532D2D" w:rsidRDefault="0079281B" w:rsidP="00532D2D">
      <w:pPr>
        <w:pStyle w:val="Sumrio1"/>
        <w:ind w:left="0" w:firstLine="0"/>
        <w:rPr>
          <w:rStyle w:val="Hyperlink"/>
          <w:rFonts w:ascii="Calibri" w:hAnsi="Calibri" w:cs="Calibri"/>
          <w:sz w:val="22"/>
        </w:rPr>
      </w:pPr>
      <w:hyperlink w:anchor="_Toc95928479" w:history="1">
        <w:r w:rsidR="00532D2D" w:rsidRPr="00532D2D">
          <w:rPr>
            <w:rStyle w:val="Hyperlink"/>
            <w:rFonts w:ascii="Calibri" w:hAnsi="Calibri" w:cs="Calibri"/>
            <w:sz w:val="22"/>
          </w:rPr>
          <w:t>FATORES DE RISCO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_Toc95928479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127</w:t>
        </w:r>
        <w:r w:rsidR="00532D2D" w:rsidRPr="00532D2D">
          <w:rPr>
            <w:rStyle w:val="Hyperlink"/>
            <w:rFonts w:ascii="Calibri" w:hAnsi="Calibri" w:cs="Calibri"/>
            <w:webHidden/>
            <w:sz w:val="22"/>
          </w:rPr>
          <w:fldChar w:fldCharType="end"/>
        </w:r>
      </w:hyperlink>
    </w:p>
    <w:p w14:paraId="0953A5C8" w14:textId="2A81CE9C" w:rsidR="00532D2D" w:rsidRPr="00532D2D" w:rsidRDefault="0079281B" w:rsidP="00532D2D">
      <w:pPr>
        <w:pStyle w:val="Sumrio3"/>
        <w:rPr>
          <w:rStyle w:val="Hyperlink"/>
          <w:rFonts w:ascii="Calibri" w:eastAsia="SimSun" w:hAnsi="Calibri"/>
          <w:sz w:val="22"/>
          <w:szCs w:val="24"/>
        </w:rPr>
      </w:pPr>
      <w:hyperlink w:anchor="_Toc95928480" w:history="1">
        <w:r w:rsidR="00532D2D" w:rsidRPr="00532D2D">
          <w:rPr>
            <w:rStyle w:val="Hyperlink"/>
            <w:rFonts w:ascii="Calibri" w:eastAsia="SimSun" w:hAnsi="Calibri"/>
            <w:sz w:val="22"/>
            <w:szCs w:val="24"/>
          </w:rPr>
          <w:t>Fatores de Riscos Relacionados à Emissora e ao Ambiente Macroeconômico</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_Toc95928480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128</w:t>
        </w:r>
        <w:r w:rsidR="00532D2D" w:rsidRPr="00532D2D">
          <w:rPr>
            <w:rStyle w:val="Hyperlink"/>
            <w:rFonts w:ascii="Calibri" w:eastAsia="SimSun" w:hAnsi="Calibri"/>
            <w:webHidden/>
            <w:sz w:val="22"/>
            <w:szCs w:val="24"/>
          </w:rPr>
          <w:fldChar w:fldCharType="end"/>
        </w:r>
      </w:hyperlink>
    </w:p>
    <w:p w14:paraId="690BA43F" w14:textId="3C34624D" w:rsidR="00532D2D" w:rsidRPr="00532D2D" w:rsidRDefault="0079281B" w:rsidP="00532D2D">
      <w:pPr>
        <w:pStyle w:val="Sumrio3"/>
        <w:rPr>
          <w:rStyle w:val="Hyperlink"/>
          <w:rFonts w:ascii="Calibri" w:eastAsia="SimSun" w:hAnsi="Calibri"/>
          <w:sz w:val="22"/>
          <w:szCs w:val="24"/>
        </w:rPr>
      </w:pPr>
      <w:hyperlink w:anchor="_Toc95928481" w:history="1">
        <w:r w:rsidR="00532D2D" w:rsidRPr="00532D2D">
          <w:rPr>
            <w:rStyle w:val="Hyperlink"/>
            <w:rFonts w:ascii="Calibri" w:eastAsia="SimSun" w:hAnsi="Calibri"/>
            <w:sz w:val="22"/>
            <w:szCs w:val="24"/>
          </w:rPr>
          <w:t>Fatores de Riscos Relacionadas à Oferta e às Debêntures</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_Toc95928481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128</w:t>
        </w:r>
        <w:r w:rsidR="00532D2D" w:rsidRPr="00532D2D">
          <w:rPr>
            <w:rStyle w:val="Hyperlink"/>
            <w:rFonts w:ascii="Calibri" w:eastAsia="SimSun" w:hAnsi="Calibri"/>
            <w:webHidden/>
            <w:sz w:val="22"/>
            <w:szCs w:val="24"/>
          </w:rPr>
          <w:fldChar w:fldCharType="end"/>
        </w:r>
      </w:hyperlink>
    </w:p>
    <w:p w14:paraId="6B32BAE3" w14:textId="1FE1B57F" w:rsidR="00532D2D" w:rsidRPr="00532D2D" w:rsidRDefault="0079281B" w:rsidP="00532D2D">
      <w:pPr>
        <w:pStyle w:val="Sumrio1"/>
        <w:ind w:left="0" w:firstLine="0"/>
        <w:rPr>
          <w:rStyle w:val="Hyperlink"/>
          <w:rFonts w:ascii="Calibri" w:hAnsi="Calibri" w:cs="Calibri"/>
          <w:sz w:val="22"/>
        </w:rPr>
      </w:pPr>
      <w:hyperlink w:anchor="_Toc95928488" w:history="1">
        <w:r w:rsidR="00532D2D" w:rsidRPr="00532D2D">
          <w:rPr>
            <w:rStyle w:val="Hyperlink"/>
            <w:rFonts w:ascii="Calibri" w:hAnsi="Calibri" w:cs="Calibri"/>
            <w:sz w:val="22"/>
          </w:rPr>
          <w:t>APRESENTAÇÃO DAS INSTITUIÇÕES PARTICIPANTES DA OFERTA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_Toc95928488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139</w:t>
        </w:r>
        <w:r w:rsidR="00532D2D" w:rsidRPr="00532D2D">
          <w:rPr>
            <w:rStyle w:val="Hyperlink"/>
            <w:rFonts w:ascii="Calibri" w:hAnsi="Calibri" w:cs="Calibri"/>
            <w:webHidden/>
            <w:sz w:val="22"/>
          </w:rPr>
          <w:fldChar w:fldCharType="end"/>
        </w:r>
      </w:hyperlink>
    </w:p>
    <w:p w14:paraId="14388D9B" w14:textId="6516B8BC" w:rsidR="00532D2D" w:rsidRPr="00532D2D" w:rsidRDefault="0079281B" w:rsidP="00532D2D">
      <w:pPr>
        <w:pStyle w:val="Sumrio3"/>
        <w:rPr>
          <w:rStyle w:val="Hyperlink"/>
          <w:rFonts w:ascii="Calibri" w:eastAsia="SimSun" w:hAnsi="Calibri"/>
          <w:sz w:val="22"/>
          <w:szCs w:val="24"/>
        </w:rPr>
      </w:pPr>
      <w:hyperlink w:anchor="_Toc95928489" w:history="1">
        <w:r w:rsidR="00532D2D" w:rsidRPr="00532D2D">
          <w:rPr>
            <w:rStyle w:val="Hyperlink"/>
            <w:rFonts w:ascii="Calibri" w:eastAsia="SimSun" w:hAnsi="Calibri"/>
            <w:sz w:val="22"/>
            <w:szCs w:val="24"/>
          </w:rPr>
          <w:t>XP Investimentos Corretora de Câmbio, Títulos e Valores Mobiliários S.A.</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_Toc95928489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139</w:t>
        </w:r>
        <w:r w:rsidR="00532D2D" w:rsidRPr="00532D2D">
          <w:rPr>
            <w:rStyle w:val="Hyperlink"/>
            <w:rFonts w:ascii="Calibri" w:eastAsia="SimSun" w:hAnsi="Calibri"/>
            <w:webHidden/>
            <w:sz w:val="22"/>
            <w:szCs w:val="24"/>
          </w:rPr>
          <w:fldChar w:fldCharType="end"/>
        </w:r>
      </w:hyperlink>
    </w:p>
    <w:p w14:paraId="589D1F97" w14:textId="7F37D79B" w:rsidR="00532D2D" w:rsidRPr="00532D2D" w:rsidRDefault="0079281B" w:rsidP="00532D2D">
      <w:pPr>
        <w:pStyle w:val="Sumrio1"/>
        <w:ind w:left="0" w:firstLine="0"/>
        <w:rPr>
          <w:rStyle w:val="Hyperlink"/>
          <w:rFonts w:ascii="Calibri" w:hAnsi="Calibri" w:cs="Calibri"/>
          <w:sz w:val="22"/>
        </w:rPr>
      </w:pPr>
      <w:hyperlink w:anchor="_Toc95928490" w:history="1">
        <w:r w:rsidR="00532D2D" w:rsidRPr="00532D2D">
          <w:rPr>
            <w:rStyle w:val="Hyperlink"/>
            <w:rFonts w:ascii="Calibri" w:hAnsi="Calibri" w:cs="Calibri"/>
            <w:sz w:val="22"/>
          </w:rPr>
          <w:t>RELACIONAMENTO ENTRE A EMISSORA E O COORDENADOR LÍDER</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_Toc95928490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141</w:t>
        </w:r>
        <w:r w:rsidR="00532D2D" w:rsidRPr="00532D2D">
          <w:rPr>
            <w:rStyle w:val="Hyperlink"/>
            <w:rFonts w:ascii="Calibri" w:hAnsi="Calibri" w:cs="Calibri"/>
            <w:webHidden/>
            <w:sz w:val="22"/>
          </w:rPr>
          <w:fldChar w:fldCharType="end"/>
        </w:r>
      </w:hyperlink>
    </w:p>
    <w:p w14:paraId="1ED1CB1C" w14:textId="5A257A9E" w:rsidR="00532D2D" w:rsidRPr="00532D2D" w:rsidRDefault="0079281B" w:rsidP="00532D2D">
      <w:pPr>
        <w:pStyle w:val="Sumrio3"/>
        <w:rPr>
          <w:rStyle w:val="Hyperlink"/>
          <w:rFonts w:ascii="Calibri" w:eastAsia="SimSun" w:hAnsi="Calibri"/>
          <w:sz w:val="22"/>
          <w:szCs w:val="24"/>
        </w:rPr>
      </w:pPr>
      <w:hyperlink w:anchor="_Toc95928491" w:history="1">
        <w:r w:rsidR="00532D2D" w:rsidRPr="00532D2D">
          <w:rPr>
            <w:rStyle w:val="Hyperlink"/>
            <w:rFonts w:ascii="Calibri" w:eastAsia="SimSun" w:hAnsi="Calibri"/>
            <w:sz w:val="22"/>
            <w:szCs w:val="24"/>
          </w:rPr>
          <w:t>Relacionamento entre a Emissora e o Coordenador Líder</w:t>
        </w:r>
        <w:r w:rsidR="00532D2D" w:rsidRPr="00532D2D">
          <w:rPr>
            <w:rStyle w:val="Hyperlink"/>
            <w:rFonts w:ascii="Calibri" w:eastAsia="SimSun" w:hAnsi="Calibri"/>
            <w:webHidden/>
            <w:sz w:val="22"/>
            <w:szCs w:val="24"/>
          </w:rPr>
          <w:tab/>
        </w:r>
        <w:r w:rsidR="00532D2D" w:rsidRPr="00532D2D">
          <w:rPr>
            <w:rStyle w:val="Hyperlink"/>
            <w:rFonts w:ascii="Calibri" w:eastAsia="SimSun" w:hAnsi="Calibri"/>
            <w:webHidden/>
            <w:sz w:val="22"/>
            <w:szCs w:val="24"/>
          </w:rPr>
          <w:fldChar w:fldCharType="begin"/>
        </w:r>
        <w:r w:rsidR="00532D2D" w:rsidRPr="00532D2D">
          <w:rPr>
            <w:rStyle w:val="Hyperlink"/>
            <w:rFonts w:ascii="Calibri" w:eastAsia="SimSun" w:hAnsi="Calibri"/>
            <w:webHidden/>
            <w:sz w:val="22"/>
            <w:szCs w:val="24"/>
          </w:rPr>
          <w:instrText xml:space="preserve"> PAGEREF _Toc95928491 \h </w:instrText>
        </w:r>
        <w:r w:rsidR="00532D2D" w:rsidRPr="00532D2D">
          <w:rPr>
            <w:rStyle w:val="Hyperlink"/>
            <w:rFonts w:ascii="Calibri" w:eastAsia="SimSun" w:hAnsi="Calibri"/>
            <w:webHidden/>
            <w:sz w:val="22"/>
            <w:szCs w:val="24"/>
          </w:rPr>
        </w:r>
        <w:r w:rsidR="00532D2D" w:rsidRPr="00532D2D">
          <w:rPr>
            <w:rStyle w:val="Hyperlink"/>
            <w:rFonts w:ascii="Calibri" w:eastAsia="SimSun" w:hAnsi="Calibri"/>
            <w:webHidden/>
            <w:sz w:val="22"/>
            <w:szCs w:val="24"/>
          </w:rPr>
          <w:fldChar w:fldCharType="separate"/>
        </w:r>
        <w:r w:rsidR="001166EA">
          <w:rPr>
            <w:rStyle w:val="Hyperlink"/>
            <w:rFonts w:ascii="Calibri" w:eastAsia="SimSun" w:hAnsi="Calibri"/>
            <w:webHidden/>
            <w:sz w:val="22"/>
            <w:szCs w:val="24"/>
          </w:rPr>
          <w:t>141</w:t>
        </w:r>
        <w:r w:rsidR="00532D2D" w:rsidRPr="00532D2D">
          <w:rPr>
            <w:rStyle w:val="Hyperlink"/>
            <w:rFonts w:ascii="Calibri" w:eastAsia="SimSun" w:hAnsi="Calibri"/>
            <w:webHidden/>
            <w:sz w:val="22"/>
            <w:szCs w:val="24"/>
          </w:rPr>
          <w:fldChar w:fldCharType="end"/>
        </w:r>
      </w:hyperlink>
    </w:p>
    <w:p w14:paraId="7169B02F" w14:textId="5BB2ED07" w:rsidR="00532D2D" w:rsidRPr="00532D2D" w:rsidRDefault="0079281B" w:rsidP="00532D2D">
      <w:pPr>
        <w:pStyle w:val="Sumrio1"/>
        <w:ind w:left="0" w:firstLine="0"/>
        <w:rPr>
          <w:rStyle w:val="Hyperlink"/>
          <w:rFonts w:ascii="Calibri" w:hAnsi="Calibri" w:cs="Calibri"/>
          <w:sz w:val="22"/>
        </w:rPr>
      </w:pPr>
      <w:hyperlink w:anchor="_Toc95928492" w:history="1">
        <w:r w:rsidR="00532D2D" w:rsidRPr="00532D2D">
          <w:rPr>
            <w:rStyle w:val="Hyperlink"/>
            <w:rFonts w:ascii="Calibri" w:hAnsi="Calibri" w:cs="Calibri"/>
            <w:sz w:val="22"/>
          </w:rPr>
          <w:t>INFORMAÇÕES SOBRE A EMISSORA, O COORDENADOR LÍDER, OS CONSULTORES, O AGENTE FIDUCIÁRIO, O AGENTE DE LIQUIDAÇÃO E ESCRITURADOR E OS AUDITORES INDEPENDENTES</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_Toc95928492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143</w:t>
        </w:r>
        <w:r w:rsidR="00532D2D" w:rsidRPr="00532D2D">
          <w:rPr>
            <w:rStyle w:val="Hyperlink"/>
            <w:rFonts w:ascii="Calibri" w:hAnsi="Calibri" w:cs="Calibri"/>
            <w:webHidden/>
            <w:sz w:val="22"/>
          </w:rPr>
          <w:fldChar w:fldCharType="end"/>
        </w:r>
      </w:hyperlink>
    </w:p>
    <w:p w14:paraId="7E98F20F" w14:textId="6F72AE36" w:rsidR="00532D2D" w:rsidRPr="00532D2D" w:rsidRDefault="0079281B" w:rsidP="00532D2D">
      <w:pPr>
        <w:pStyle w:val="Sumrio1"/>
        <w:ind w:left="0" w:firstLine="0"/>
        <w:rPr>
          <w:rStyle w:val="Hyperlink"/>
          <w:rFonts w:ascii="Calibri" w:hAnsi="Calibri" w:cs="Calibri"/>
          <w:sz w:val="22"/>
        </w:rPr>
      </w:pPr>
      <w:hyperlink w:anchor="_Toc95928493" w:history="1">
        <w:r w:rsidR="00532D2D" w:rsidRPr="00532D2D">
          <w:rPr>
            <w:rStyle w:val="Hyperlink"/>
            <w:rFonts w:ascii="Calibri" w:hAnsi="Calibri" w:cs="Calibri"/>
            <w:sz w:val="22"/>
          </w:rPr>
          <w:t>DESTINAÇÃO DOS RECURSOS</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_Toc95928493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145</w:t>
        </w:r>
        <w:r w:rsidR="00532D2D" w:rsidRPr="00532D2D">
          <w:rPr>
            <w:rStyle w:val="Hyperlink"/>
            <w:rFonts w:ascii="Calibri" w:hAnsi="Calibri" w:cs="Calibri"/>
            <w:webHidden/>
            <w:sz w:val="22"/>
          </w:rPr>
          <w:fldChar w:fldCharType="end"/>
        </w:r>
      </w:hyperlink>
    </w:p>
    <w:p w14:paraId="4C8B145F" w14:textId="113EBD59" w:rsidR="00532D2D" w:rsidRPr="00532D2D" w:rsidRDefault="0079281B" w:rsidP="00532D2D">
      <w:pPr>
        <w:pStyle w:val="Sumrio1"/>
        <w:ind w:left="0" w:firstLine="0"/>
        <w:rPr>
          <w:rStyle w:val="Hyperlink"/>
          <w:rFonts w:ascii="Calibri" w:hAnsi="Calibri" w:cs="Calibri"/>
          <w:sz w:val="22"/>
        </w:rPr>
      </w:pPr>
      <w:hyperlink w:anchor="_Toc95928494" w:history="1">
        <w:r w:rsidR="00532D2D" w:rsidRPr="00532D2D">
          <w:rPr>
            <w:rStyle w:val="Hyperlink"/>
            <w:rFonts w:ascii="Calibri" w:hAnsi="Calibri" w:cs="Calibri"/>
            <w:sz w:val="22"/>
          </w:rPr>
          <w:t>CAPITALIZAÇÃO</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_Toc95928494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147</w:t>
        </w:r>
        <w:r w:rsidR="00532D2D" w:rsidRPr="00532D2D">
          <w:rPr>
            <w:rStyle w:val="Hyperlink"/>
            <w:rFonts w:ascii="Calibri" w:hAnsi="Calibri" w:cs="Calibri"/>
            <w:webHidden/>
            <w:sz w:val="22"/>
          </w:rPr>
          <w:fldChar w:fldCharType="end"/>
        </w:r>
      </w:hyperlink>
    </w:p>
    <w:p w14:paraId="0E996226" w14:textId="324F0384" w:rsidR="00532D2D" w:rsidRPr="00532D2D" w:rsidRDefault="0079281B" w:rsidP="00532D2D">
      <w:pPr>
        <w:pStyle w:val="Sumrio1"/>
        <w:ind w:left="0" w:firstLine="0"/>
        <w:rPr>
          <w:rStyle w:val="Hyperlink"/>
          <w:rFonts w:ascii="Calibri" w:hAnsi="Calibri" w:cs="Calibri"/>
          <w:sz w:val="22"/>
        </w:rPr>
      </w:pPr>
      <w:hyperlink w:anchor="_Toc95928495" w:history="1">
        <w:r w:rsidR="00532D2D" w:rsidRPr="00532D2D">
          <w:rPr>
            <w:rStyle w:val="Hyperlink"/>
            <w:rFonts w:ascii="Calibri" w:hAnsi="Calibri" w:cs="Calibri"/>
            <w:sz w:val="22"/>
          </w:rPr>
          <w:t>CAPACIDADE DE PAGAMENTO DA EMISSORA</w:t>
        </w:r>
        <w:r w:rsidR="00532D2D" w:rsidRPr="00532D2D">
          <w:rPr>
            <w:rStyle w:val="Hyperlink"/>
            <w:rFonts w:ascii="Calibri" w:hAnsi="Calibri" w:cs="Calibri"/>
            <w:webHidden/>
            <w:sz w:val="22"/>
          </w:rPr>
          <w:tab/>
        </w:r>
        <w:r w:rsidR="00532D2D" w:rsidRPr="00532D2D">
          <w:rPr>
            <w:rStyle w:val="Hyperlink"/>
            <w:rFonts w:ascii="Calibri" w:hAnsi="Calibri" w:cs="Calibri"/>
            <w:webHidden/>
            <w:sz w:val="22"/>
          </w:rPr>
          <w:fldChar w:fldCharType="begin"/>
        </w:r>
        <w:r w:rsidR="00532D2D" w:rsidRPr="00532D2D">
          <w:rPr>
            <w:rStyle w:val="Hyperlink"/>
            <w:rFonts w:ascii="Calibri" w:hAnsi="Calibri" w:cs="Calibri"/>
            <w:webHidden/>
            <w:sz w:val="22"/>
          </w:rPr>
          <w:instrText xml:space="preserve"> PAGEREF _Toc95928495 \h </w:instrText>
        </w:r>
        <w:r w:rsidR="00532D2D" w:rsidRPr="00532D2D">
          <w:rPr>
            <w:rStyle w:val="Hyperlink"/>
            <w:rFonts w:ascii="Calibri" w:hAnsi="Calibri" w:cs="Calibri"/>
            <w:webHidden/>
            <w:sz w:val="22"/>
          </w:rPr>
        </w:r>
        <w:r w:rsidR="00532D2D" w:rsidRPr="00532D2D">
          <w:rPr>
            <w:rStyle w:val="Hyperlink"/>
            <w:rFonts w:ascii="Calibri" w:hAnsi="Calibri" w:cs="Calibri"/>
            <w:webHidden/>
            <w:sz w:val="22"/>
          </w:rPr>
          <w:fldChar w:fldCharType="separate"/>
        </w:r>
        <w:r w:rsidR="001166EA">
          <w:rPr>
            <w:rStyle w:val="Hyperlink"/>
            <w:rFonts w:ascii="Calibri" w:hAnsi="Calibri" w:cs="Calibri"/>
            <w:webHidden/>
            <w:sz w:val="22"/>
          </w:rPr>
          <w:t>149</w:t>
        </w:r>
        <w:r w:rsidR="00532D2D" w:rsidRPr="00532D2D">
          <w:rPr>
            <w:rStyle w:val="Hyperlink"/>
            <w:rFonts w:ascii="Calibri" w:hAnsi="Calibri" w:cs="Calibri"/>
            <w:webHidden/>
            <w:sz w:val="22"/>
          </w:rPr>
          <w:fldChar w:fldCharType="end"/>
        </w:r>
      </w:hyperlink>
    </w:p>
    <w:p w14:paraId="075E8FEA" w14:textId="2D56F2EB" w:rsidR="00B0703E" w:rsidRPr="00D8141D" w:rsidRDefault="00B0703E">
      <w:pPr>
        <w:rPr>
          <w:rFonts w:cs="Calibri"/>
        </w:rPr>
      </w:pPr>
      <w:r w:rsidRPr="00D8141D">
        <w:rPr>
          <w:rFonts w:cs="Calibri"/>
          <w:b/>
          <w:bCs/>
        </w:rPr>
        <w:fldChar w:fldCharType="end"/>
      </w:r>
    </w:p>
    <w:p w14:paraId="51C3A773" w14:textId="77777777" w:rsidR="008170A7" w:rsidRPr="00D8141D" w:rsidRDefault="008170A7">
      <w:pPr>
        <w:rPr>
          <w:rFonts w:cs="Calibri"/>
        </w:rPr>
      </w:pPr>
    </w:p>
    <w:p w14:paraId="59FBBD65" w14:textId="77777777" w:rsidR="00E8286C" w:rsidRPr="00566CD3" w:rsidRDefault="009A733D" w:rsidP="009E5F9A">
      <w:pPr>
        <w:pStyle w:val="Ttulo1"/>
        <w:keepNext w:val="0"/>
        <w:pageBreakBefore w:val="0"/>
        <w:widowControl w:val="0"/>
        <w:spacing w:after="140" w:line="290" w:lineRule="auto"/>
        <w:rPr>
          <w:caps w:val="0"/>
        </w:rPr>
      </w:pPr>
      <w:bookmarkStart w:id="7" w:name="_Toc428306440"/>
      <w:r w:rsidRPr="00566CD3">
        <w:rPr>
          <w:smallCaps/>
        </w:rPr>
        <w:br w:type="page"/>
      </w:r>
      <w:bookmarkStart w:id="8" w:name="_Toc87002458"/>
      <w:bookmarkStart w:id="9" w:name="_Toc90045074"/>
      <w:bookmarkStart w:id="10" w:name="_Toc95928386"/>
      <w:r w:rsidR="00E8286C" w:rsidRPr="00566CD3">
        <w:rPr>
          <w:caps w:val="0"/>
        </w:rPr>
        <w:lastRenderedPageBreak/>
        <w:t>DEFINIÇÕES</w:t>
      </w:r>
      <w:bookmarkEnd w:id="7"/>
      <w:bookmarkEnd w:id="8"/>
      <w:bookmarkEnd w:id="9"/>
      <w:bookmarkEnd w:id="10"/>
    </w:p>
    <w:p w14:paraId="299DA4A2" w14:textId="5DE48FAB" w:rsidR="00E8286C" w:rsidRPr="00D8141D" w:rsidRDefault="00E8286C" w:rsidP="002A7778">
      <w:pPr>
        <w:pStyle w:val="HOMEBRBodyText"/>
        <w:keepLines w:val="0"/>
        <w:widowControl w:val="0"/>
        <w:spacing w:after="140" w:line="290" w:lineRule="auto"/>
        <w:jc w:val="both"/>
        <w:rPr>
          <w:rFonts w:cs="Calibri"/>
          <w:lang w:val="pt-BR"/>
        </w:rPr>
      </w:pPr>
      <w:r w:rsidRPr="00D8141D">
        <w:rPr>
          <w:rFonts w:cs="Calibri"/>
          <w:lang w:val="pt-BR"/>
        </w:rPr>
        <w:t xml:space="preserve">Para fins do presente Prospecto, </w:t>
      </w:r>
      <w:r w:rsidR="002A4B8C" w:rsidRPr="00D8141D">
        <w:rPr>
          <w:rFonts w:cs="Calibri"/>
          <w:lang w:val="pt-BR"/>
        </w:rPr>
        <w:t>“</w:t>
      </w:r>
      <w:r w:rsidRPr="00D8141D">
        <w:rPr>
          <w:rFonts w:cs="Calibri"/>
          <w:b/>
          <w:u w:val="single"/>
          <w:lang w:val="pt-BR"/>
        </w:rPr>
        <w:t>Emissora</w:t>
      </w:r>
      <w:r w:rsidR="002A4B8C" w:rsidRPr="00D8141D">
        <w:rPr>
          <w:rFonts w:cs="Calibri"/>
          <w:lang w:val="pt-BR"/>
        </w:rPr>
        <w:t>”</w:t>
      </w:r>
      <w:r w:rsidRPr="00D8141D">
        <w:rPr>
          <w:rFonts w:cs="Calibri"/>
          <w:lang w:val="pt-BR"/>
        </w:rPr>
        <w:t xml:space="preserve"> ou </w:t>
      </w:r>
      <w:r w:rsidR="002A4B8C" w:rsidRPr="00D8141D">
        <w:rPr>
          <w:rFonts w:cs="Calibri"/>
          <w:lang w:val="pt-BR"/>
        </w:rPr>
        <w:t>“</w:t>
      </w:r>
      <w:r w:rsidR="00D15DEE" w:rsidRPr="00D8141D">
        <w:rPr>
          <w:rFonts w:cs="Calibri"/>
          <w:b/>
          <w:u w:val="single"/>
          <w:lang w:val="pt-BR"/>
        </w:rPr>
        <w:t>São Martinho</w:t>
      </w:r>
      <w:r w:rsidR="002A4B8C" w:rsidRPr="00D8141D">
        <w:rPr>
          <w:rFonts w:cs="Calibri"/>
          <w:lang w:val="pt-BR"/>
        </w:rPr>
        <w:t>”</w:t>
      </w:r>
      <w:r w:rsidRPr="00D8141D">
        <w:rPr>
          <w:rFonts w:cs="Calibri"/>
          <w:lang w:val="pt-BR"/>
        </w:rPr>
        <w:t xml:space="preserve"> referem-se, a menos que o contexto determine de forma diversa, à </w:t>
      </w:r>
      <w:r w:rsidR="00D15DEE" w:rsidRPr="00D8141D">
        <w:rPr>
          <w:rFonts w:cs="Calibri"/>
          <w:lang w:val="pt-BR"/>
        </w:rPr>
        <w:t>São Martinho</w:t>
      </w:r>
      <w:r w:rsidR="00047241" w:rsidRPr="00D8141D">
        <w:rPr>
          <w:rFonts w:cs="Calibri"/>
          <w:lang w:val="pt-BR"/>
        </w:rPr>
        <w:t xml:space="preserve"> S.A</w:t>
      </w:r>
      <w:r w:rsidR="005B05FE" w:rsidRPr="00D8141D">
        <w:rPr>
          <w:rFonts w:cs="Calibri"/>
          <w:lang w:val="pt-BR"/>
        </w:rPr>
        <w:t>.,</w:t>
      </w:r>
      <w:r w:rsidRPr="00D8141D">
        <w:rPr>
          <w:rFonts w:cs="Calibri"/>
          <w:lang w:val="pt-BR"/>
        </w:rPr>
        <w:t xml:space="preserve"> na data deste Prospecto. </w:t>
      </w:r>
      <w:r w:rsidR="000A1392" w:rsidRPr="00D8141D">
        <w:rPr>
          <w:rFonts w:cs="Calibri"/>
          <w:lang w:val="pt-BR"/>
        </w:rPr>
        <w:t xml:space="preserve">Todos os termos relacionados especificamente com a Oferta e respectivos significados constam da seção “Sumário da Oferta” na página </w:t>
      </w:r>
      <w:r w:rsidR="00214525" w:rsidRPr="00D8141D">
        <w:rPr>
          <w:rFonts w:cs="Calibri"/>
          <w:lang w:val="pt-BR"/>
        </w:rPr>
        <w:fldChar w:fldCharType="begin"/>
      </w:r>
      <w:r w:rsidR="00214525" w:rsidRPr="00D8141D">
        <w:rPr>
          <w:rFonts w:cs="Calibri"/>
          <w:lang w:val="pt-BR"/>
        </w:rPr>
        <w:instrText xml:space="preserve"> PAGEREF _Ref90050717 \h </w:instrText>
      </w:r>
      <w:r w:rsidR="00214525" w:rsidRPr="00D8141D">
        <w:rPr>
          <w:rFonts w:cs="Calibri"/>
          <w:lang w:val="pt-BR"/>
        </w:rPr>
      </w:r>
      <w:r w:rsidR="00214525" w:rsidRPr="00D8141D">
        <w:rPr>
          <w:rFonts w:cs="Calibri"/>
          <w:lang w:val="pt-BR"/>
        </w:rPr>
        <w:fldChar w:fldCharType="separate"/>
      </w:r>
      <w:r w:rsidR="001166EA">
        <w:rPr>
          <w:rFonts w:cs="Calibri"/>
          <w:noProof/>
          <w:lang w:val="pt-BR"/>
        </w:rPr>
        <w:t>40</w:t>
      </w:r>
      <w:r w:rsidR="00214525" w:rsidRPr="00D8141D">
        <w:rPr>
          <w:rFonts w:cs="Calibri"/>
          <w:lang w:val="pt-BR"/>
        </w:rPr>
        <w:fldChar w:fldCharType="end"/>
      </w:r>
      <w:r w:rsidR="000A1392" w:rsidRPr="00D8141D">
        <w:rPr>
          <w:rFonts w:cs="Calibri"/>
          <w:lang w:val="pt-BR"/>
        </w:rPr>
        <w:t xml:space="preserve"> deste Prospecto. Ademais, os termos indicados abaixo terão o significado a eles atribuídos nesta seção, salvo referência diversa neste Prospecto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5"/>
        <w:gridCol w:w="5666"/>
      </w:tblGrid>
      <w:tr w:rsidR="00E8286C" w:rsidRPr="0082022E" w14:paraId="00DE39B2" w14:textId="77777777" w:rsidTr="00000056">
        <w:tc>
          <w:tcPr>
            <w:tcW w:w="1774" w:type="pct"/>
            <w:shd w:val="clear" w:color="auto" w:fill="auto"/>
            <w:noWrap/>
          </w:tcPr>
          <w:p w14:paraId="5F80E83F"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Administração</w:t>
            </w:r>
            <w:r w:rsidRPr="00D8141D">
              <w:rPr>
                <w:rFonts w:eastAsia="Calibri" w:cs="Calibri"/>
                <w:b/>
                <w:lang w:val="pt-BR"/>
              </w:rPr>
              <w:t>”</w:t>
            </w:r>
          </w:p>
        </w:tc>
        <w:tc>
          <w:tcPr>
            <w:tcW w:w="3226" w:type="pct"/>
            <w:shd w:val="clear" w:color="auto" w:fill="auto"/>
            <w:noWrap/>
          </w:tcPr>
          <w:p w14:paraId="6F5A939F" w14:textId="77777777" w:rsidR="00E8286C" w:rsidRPr="00D8141D" w:rsidRDefault="00E8286C"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 xml:space="preserve">Conselho de Administração e Diretoria da Emissora. </w:t>
            </w:r>
          </w:p>
        </w:tc>
      </w:tr>
      <w:tr w:rsidR="00E8286C" w:rsidRPr="0082022E" w14:paraId="4AA5E639" w14:textId="77777777" w:rsidTr="00000056">
        <w:tc>
          <w:tcPr>
            <w:tcW w:w="1774" w:type="pct"/>
            <w:shd w:val="clear" w:color="auto" w:fill="auto"/>
            <w:noWrap/>
          </w:tcPr>
          <w:p w14:paraId="685809C0"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Administradores</w:t>
            </w:r>
            <w:r w:rsidRPr="00D8141D">
              <w:rPr>
                <w:rFonts w:eastAsia="Calibri" w:cs="Calibri"/>
                <w:b/>
                <w:lang w:val="pt-BR"/>
              </w:rPr>
              <w:t>”</w:t>
            </w:r>
          </w:p>
        </w:tc>
        <w:tc>
          <w:tcPr>
            <w:tcW w:w="3226" w:type="pct"/>
            <w:shd w:val="clear" w:color="auto" w:fill="auto"/>
            <w:noWrap/>
          </w:tcPr>
          <w:p w14:paraId="147AEB69" w14:textId="77777777" w:rsidR="00E8286C" w:rsidRPr="00D8141D" w:rsidRDefault="00E8286C"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Membros do Conselho de Administração e da Diretoria da Emissora.</w:t>
            </w:r>
          </w:p>
        </w:tc>
      </w:tr>
      <w:tr w:rsidR="00E8286C" w:rsidRPr="0082022E" w14:paraId="24CA2C94" w14:textId="77777777" w:rsidTr="00000056">
        <w:tc>
          <w:tcPr>
            <w:tcW w:w="1774" w:type="pct"/>
            <w:shd w:val="clear" w:color="auto" w:fill="auto"/>
            <w:noWrap/>
          </w:tcPr>
          <w:p w14:paraId="597DF2B2" w14:textId="55457CF2"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Agência de Classificação de Risco</w:t>
            </w:r>
            <w:r w:rsidRPr="00D8141D">
              <w:rPr>
                <w:rFonts w:eastAsia="Calibri" w:cs="Calibri"/>
                <w:b/>
                <w:lang w:val="pt-BR"/>
              </w:rPr>
              <w:t>”</w:t>
            </w:r>
            <w:r w:rsidR="00E8286C" w:rsidRPr="00D8141D">
              <w:rPr>
                <w:rFonts w:eastAsia="Calibri" w:cs="Calibri"/>
                <w:b/>
                <w:lang w:val="pt-BR"/>
              </w:rPr>
              <w:t xml:space="preserve"> ou </w:t>
            </w:r>
            <w:r w:rsidR="00976389" w:rsidRPr="00D8141D">
              <w:rPr>
                <w:rFonts w:eastAsia="Calibri" w:cs="Calibri"/>
                <w:b/>
                <w:lang w:val="pt-BR"/>
              </w:rPr>
              <w:t>“S&amp;P”</w:t>
            </w:r>
          </w:p>
        </w:tc>
        <w:tc>
          <w:tcPr>
            <w:tcW w:w="3226" w:type="pct"/>
            <w:shd w:val="clear" w:color="auto" w:fill="auto"/>
            <w:noWrap/>
          </w:tcPr>
          <w:p w14:paraId="4FD47646" w14:textId="77777777" w:rsidR="00E8286C" w:rsidRPr="00D8141D" w:rsidRDefault="00AF59A3" w:rsidP="00366E72">
            <w:pPr>
              <w:pStyle w:val="HOMEBRBodyText"/>
              <w:keepLines w:val="0"/>
              <w:widowControl w:val="0"/>
              <w:spacing w:after="140" w:line="290" w:lineRule="auto"/>
              <w:jc w:val="both"/>
              <w:rPr>
                <w:rFonts w:eastAsia="Calibri" w:cs="Calibri"/>
                <w:lang w:val="pt-BR"/>
              </w:rPr>
            </w:pPr>
            <w:r w:rsidRPr="00D8141D">
              <w:rPr>
                <w:rFonts w:cs="Calibri"/>
                <w:b/>
                <w:lang w:val="pt-BR"/>
              </w:rPr>
              <w:t>STANDARD &amp; POOR’S RATINGS DO BRASIL LTDA</w:t>
            </w:r>
            <w:r w:rsidR="00D86B57" w:rsidRPr="00D8141D">
              <w:rPr>
                <w:rFonts w:cs="Calibri"/>
                <w:b/>
                <w:lang w:val="pt-BR"/>
              </w:rPr>
              <w:t>.</w:t>
            </w:r>
            <w:r w:rsidR="000B319E" w:rsidRPr="00D8141D">
              <w:rPr>
                <w:rFonts w:cs="Calibri"/>
                <w:bCs/>
                <w:lang w:val="pt-BR"/>
              </w:rPr>
              <w:t>,</w:t>
            </w:r>
            <w:r w:rsidR="000B319E" w:rsidRPr="00D8141D">
              <w:rPr>
                <w:rFonts w:cs="Calibri"/>
                <w:lang w:val="pt-BR"/>
              </w:rPr>
              <w:t xml:space="preserve"> </w:t>
            </w:r>
            <w:r w:rsidR="009E2F6B" w:rsidRPr="009E2F6B">
              <w:rPr>
                <w:lang w:val="pt-BR"/>
              </w:rPr>
              <w:t>sociedade com sede na Cidade de São Paulo, Estado de São Paulo, na Avenida Brigadeiro Faria Lima, nº 201, 24º andar, Pinheiros, CEP 05426-100, inscrita no CNPJ/ME sob o nº 02.295.585/0001-40</w:t>
            </w:r>
            <w:r w:rsidR="00976389" w:rsidRPr="00D8141D">
              <w:rPr>
                <w:rFonts w:cs="Calibri"/>
                <w:lang w:val="pt-BR"/>
              </w:rPr>
              <w:t>,</w:t>
            </w:r>
            <w:r w:rsidR="00E8286C" w:rsidRPr="00D8141D">
              <w:rPr>
                <w:rFonts w:eastAsia="Calibri" w:cs="Calibri"/>
                <w:lang w:val="pt-BR"/>
              </w:rPr>
              <w:t xml:space="preserve"> a qual atribuiu o </w:t>
            </w:r>
            <w:r w:rsidR="00E8286C" w:rsidRPr="00D8141D">
              <w:rPr>
                <w:rFonts w:eastAsia="Calibri" w:cs="Calibri"/>
                <w:i/>
                <w:lang w:val="pt-BR"/>
              </w:rPr>
              <w:t>rating</w:t>
            </w:r>
            <w:r w:rsidR="00E8286C" w:rsidRPr="00D8141D">
              <w:rPr>
                <w:rFonts w:eastAsia="Calibri" w:cs="Calibri"/>
                <w:lang w:val="pt-BR"/>
              </w:rPr>
              <w:t xml:space="preserve"> </w:t>
            </w:r>
            <w:r w:rsidR="00DB205D" w:rsidRPr="00D8141D">
              <w:rPr>
                <w:rFonts w:eastAsia="Calibri" w:cs="Calibri"/>
                <w:lang w:val="pt-BR"/>
              </w:rPr>
              <w:t>“</w:t>
            </w:r>
            <w:r w:rsidR="00DB205D" w:rsidRPr="00D8141D">
              <w:rPr>
                <w:rFonts w:cs="Calibri"/>
                <w:lang w:val="pt-BR"/>
              </w:rPr>
              <w:t>brAAA</w:t>
            </w:r>
            <w:r w:rsidR="00DB205D" w:rsidRPr="00D8141D">
              <w:rPr>
                <w:rFonts w:eastAsia="Calibri" w:cs="Calibri"/>
                <w:lang w:val="pt-BR"/>
              </w:rPr>
              <w:t>”</w:t>
            </w:r>
            <w:r w:rsidR="00722039" w:rsidRPr="00D8141D" w:rsidDel="00C949DF">
              <w:rPr>
                <w:rFonts w:eastAsia="Calibri" w:cs="Calibri"/>
                <w:lang w:val="pt-BR"/>
              </w:rPr>
              <w:t xml:space="preserve"> </w:t>
            </w:r>
            <w:r w:rsidR="00E8286C" w:rsidRPr="00D8141D">
              <w:rPr>
                <w:rFonts w:eastAsia="Calibri" w:cs="Calibri"/>
                <w:lang w:val="pt-BR"/>
              </w:rPr>
              <w:t>para as Debêntures.</w:t>
            </w:r>
          </w:p>
        </w:tc>
      </w:tr>
      <w:tr w:rsidR="00E8286C" w:rsidRPr="0082022E" w14:paraId="2D08D681" w14:textId="77777777" w:rsidTr="00000056">
        <w:tc>
          <w:tcPr>
            <w:tcW w:w="1774" w:type="pct"/>
            <w:shd w:val="clear" w:color="auto" w:fill="auto"/>
            <w:noWrap/>
          </w:tcPr>
          <w:p w14:paraId="7B1CF8BD"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Agente Fiduciário</w:t>
            </w:r>
            <w:r w:rsidRPr="00D8141D">
              <w:rPr>
                <w:rFonts w:eastAsia="Calibri" w:cs="Calibri"/>
                <w:b/>
                <w:lang w:val="pt-BR"/>
              </w:rPr>
              <w:t>”</w:t>
            </w:r>
          </w:p>
        </w:tc>
        <w:tc>
          <w:tcPr>
            <w:tcW w:w="3226" w:type="pct"/>
            <w:shd w:val="clear" w:color="auto" w:fill="auto"/>
            <w:noWrap/>
          </w:tcPr>
          <w:p w14:paraId="217F55BC" w14:textId="77777777" w:rsidR="00E8286C" w:rsidRPr="00D8141D" w:rsidRDefault="00054286" w:rsidP="00366E72">
            <w:pPr>
              <w:pStyle w:val="HOMEBRBodyText"/>
              <w:keepLines w:val="0"/>
              <w:widowControl w:val="0"/>
              <w:spacing w:after="140" w:line="290" w:lineRule="auto"/>
              <w:jc w:val="both"/>
              <w:rPr>
                <w:rFonts w:eastAsia="Calibri" w:cs="Calibri"/>
                <w:bCs/>
                <w:lang w:val="pt-BR"/>
              </w:rPr>
            </w:pPr>
            <w:r w:rsidRPr="00B63002">
              <w:rPr>
                <w:b/>
                <w:lang w:val="pt-BR"/>
              </w:rPr>
              <w:t>SIMPLIFIC PAVARINI DISTRIBUIDORA DE TÍTULOS E VALORES MOBILIÁRIOS LTDA.</w:t>
            </w:r>
            <w:r w:rsidRPr="00B63002">
              <w:rPr>
                <w:lang w:val="pt-BR"/>
              </w:rPr>
              <w:t xml:space="preserve">, instituição financeira </w:t>
            </w:r>
            <w:r w:rsidR="0093025D" w:rsidRPr="00B63002">
              <w:rPr>
                <w:lang w:val="pt-BR"/>
              </w:rPr>
              <w:t>atuando por sua filial na cidade de São Paulo, Estado de São Paulo, na Rua Joaquim Floriano 466, bloco B, conj</w:t>
            </w:r>
            <w:r w:rsidR="00933851">
              <w:rPr>
                <w:lang w:val="pt-BR"/>
              </w:rPr>
              <w:t>.</w:t>
            </w:r>
            <w:r w:rsidR="0093025D" w:rsidRPr="00B63002">
              <w:rPr>
                <w:lang w:val="pt-BR"/>
              </w:rPr>
              <w:t xml:space="preserve"> 1401, Itaim Bibi CEP 04534-002, inscrita no CNPJ</w:t>
            </w:r>
            <w:r w:rsidR="00933851">
              <w:rPr>
                <w:lang w:val="pt-BR"/>
              </w:rPr>
              <w:t>/ME</w:t>
            </w:r>
            <w:r w:rsidR="0093025D" w:rsidRPr="00B63002">
              <w:rPr>
                <w:lang w:val="pt-BR"/>
              </w:rPr>
              <w:t xml:space="preserve"> sob o nº 15.227.994/0004-01</w:t>
            </w:r>
            <w:r w:rsidRPr="00B63002">
              <w:rPr>
                <w:lang w:val="pt-BR"/>
              </w:rPr>
              <w:t>, neste ato representada por seu representante legal devidamente constituído na forma de seu Contrato Social.</w:t>
            </w:r>
          </w:p>
        </w:tc>
      </w:tr>
      <w:tr w:rsidR="000A1392" w:rsidRPr="0082022E" w14:paraId="75988A44" w14:textId="77777777" w:rsidTr="00000056">
        <w:tc>
          <w:tcPr>
            <w:tcW w:w="1774" w:type="pct"/>
            <w:shd w:val="clear" w:color="auto" w:fill="auto"/>
            <w:noWrap/>
          </w:tcPr>
          <w:p w14:paraId="4719D819" w14:textId="77777777" w:rsidR="000A1392" w:rsidRPr="00D8141D" w:rsidRDefault="000A1392"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“Amortização Extraordinária” </w:t>
            </w:r>
          </w:p>
        </w:tc>
        <w:tc>
          <w:tcPr>
            <w:tcW w:w="3226" w:type="pct"/>
            <w:shd w:val="clear" w:color="auto" w:fill="auto"/>
            <w:noWrap/>
          </w:tcPr>
          <w:p w14:paraId="45840AA1" w14:textId="77777777" w:rsidR="000A1392" w:rsidRPr="00D8141D" w:rsidRDefault="000A1392" w:rsidP="00366E72">
            <w:pPr>
              <w:pStyle w:val="HOMEBRBodyText"/>
              <w:keepLines w:val="0"/>
              <w:widowControl w:val="0"/>
              <w:spacing w:after="140" w:line="290" w:lineRule="auto"/>
              <w:jc w:val="both"/>
              <w:rPr>
                <w:rFonts w:cs="Calibri"/>
                <w:lang w:val="pt-BR"/>
              </w:rPr>
            </w:pPr>
            <w:r w:rsidRPr="00D8141D">
              <w:rPr>
                <w:rFonts w:cs="Calibri"/>
                <w:lang w:val="pt-BR"/>
              </w:rPr>
              <w:t xml:space="preserve">Amortização extraordinária </w:t>
            </w:r>
            <w:r w:rsidR="00054286" w:rsidRPr="00D8141D">
              <w:rPr>
                <w:rFonts w:cs="Calibri"/>
                <w:lang w:val="pt-BR"/>
              </w:rPr>
              <w:t>das Debêntures, a qual não será admitida</w:t>
            </w:r>
            <w:r w:rsidRPr="00D8141D">
              <w:rPr>
                <w:rFonts w:cs="Calibri"/>
                <w:lang w:val="pt-BR"/>
              </w:rPr>
              <w:t>.</w:t>
            </w:r>
          </w:p>
        </w:tc>
      </w:tr>
      <w:tr w:rsidR="00E8286C" w:rsidRPr="0082022E" w14:paraId="0AB14853" w14:textId="77777777" w:rsidTr="00000056">
        <w:tc>
          <w:tcPr>
            <w:tcW w:w="1774" w:type="pct"/>
            <w:shd w:val="clear" w:color="auto" w:fill="auto"/>
            <w:noWrap/>
          </w:tcPr>
          <w:p w14:paraId="77FD535A"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ANBIMA</w:t>
            </w:r>
            <w:r w:rsidRPr="00D8141D">
              <w:rPr>
                <w:rFonts w:eastAsia="Calibri" w:cs="Calibri"/>
                <w:b/>
                <w:lang w:val="pt-BR"/>
              </w:rPr>
              <w:t>”</w:t>
            </w:r>
          </w:p>
        </w:tc>
        <w:tc>
          <w:tcPr>
            <w:tcW w:w="3226" w:type="pct"/>
            <w:shd w:val="clear" w:color="auto" w:fill="auto"/>
            <w:noWrap/>
          </w:tcPr>
          <w:p w14:paraId="4C739F40" w14:textId="77777777" w:rsidR="00E8286C" w:rsidRPr="00D8141D" w:rsidRDefault="00E8286C" w:rsidP="00366E72">
            <w:pPr>
              <w:pStyle w:val="HOMEBRBodyText"/>
              <w:keepLines w:val="0"/>
              <w:widowControl w:val="0"/>
              <w:spacing w:after="140" w:line="290" w:lineRule="auto"/>
              <w:jc w:val="both"/>
              <w:rPr>
                <w:rFonts w:eastAsia="Calibri" w:cs="Calibri"/>
                <w:lang w:val="pt-BR"/>
              </w:rPr>
            </w:pPr>
            <w:r w:rsidRPr="00D8141D">
              <w:rPr>
                <w:rFonts w:cs="Calibri"/>
                <w:lang w:val="pt-BR"/>
              </w:rPr>
              <w:t>Associação Brasileira das Entidades dos Mercados Financeiro e de Capitais.</w:t>
            </w:r>
          </w:p>
        </w:tc>
      </w:tr>
      <w:tr w:rsidR="00E8286C" w:rsidRPr="0082022E" w14:paraId="79C6CECB" w14:textId="77777777" w:rsidTr="00000056">
        <w:tc>
          <w:tcPr>
            <w:tcW w:w="1774" w:type="pct"/>
            <w:shd w:val="clear" w:color="auto" w:fill="auto"/>
            <w:noWrap/>
          </w:tcPr>
          <w:p w14:paraId="4E30451C"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Anúncio de Encerramento</w:t>
            </w:r>
            <w:r w:rsidRPr="00D8141D">
              <w:rPr>
                <w:rFonts w:eastAsia="Calibri" w:cs="Calibri"/>
                <w:b/>
                <w:lang w:val="pt-BR"/>
              </w:rPr>
              <w:t>”</w:t>
            </w:r>
          </w:p>
        </w:tc>
        <w:tc>
          <w:tcPr>
            <w:tcW w:w="3226" w:type="pct"/>
            <w:shd w:val="clear" w:color="auto" w:fill="auto"/>
            <w:noWrap/>
          </w:tcPr>
          <w:p w14:paraId="2CD81C6A" w14:textId="77777777" w:rsidR="00E8286C" w:rsidRPr="00D8141D" w:rsidRDefault="00E8286C" w:rsidP="00366E72">
            <w:pPr>
              <w:pStyle w:val="HOMEBRBodyText"/>
              <w:keepLines w:val="0"/>
              <w:widowControl w:val="0"/>
              <w:spacing w:after="140" w:line="290" w:lineRule="auto"/>
              <w:jc w:val="both"/>
              <w:rPr>
                <w:rFonts w:cs="Calibri"/>
                <w:lang w:val="pt-BR"/>
              </w:rPr>
            </w:pPr>
            <w:r w:rsidRPr="00D8141D">
              <w:rPr>
                <w:rFonts w:cs="Calibri"/>
                <w:lang w:val="pt-BR"/>
              </w:rPr>
              <w:t>Anúncio de encerramento da Oferta</w:t>
            </w:r>
            <w:r w:rsidR="000A1392" w:rsidRPr="00D8141D">
              <w:rPr>
                <w:rFonts w:cs="Calibri"/>
                <w:lang w:val="pt-BR"/>
              </w:rPr>
              <w:t>,</w:t>
            </w:r>
            <w:r w:rsidRPr="00D8141D">
              <w:rPr>
                <w:rFonts w:cs="Calibri"/>
                <w:lang w:val="pt-BR"/>
              </w:rPr>
              <w:t xml:space="preserve"> a ser divulgado pela Emissora e </w:t>
            </w:r>
            <w:r w:rsidR="00D15DEE" w:rsidRPr="00D8141D">
              <w:rPr>
                <w:rFonts w:cs="Calibri"/>
                <w:lang w:val="pt-BR"/>
              </w:rPr>
              <w:t>pelo Coordenador Líder,</w:t>
            </w:r>
            <w:r w:rsidRPr="00D8141D">
              <w:rPr>
                <w:rFonts w:cs="Calibri"/>
                <w:lang w:val="pt-BR"/>
              </w:rPr>
              <w:t xml:space="preserve"> o qual será elaborado nos termos do artigo 29 da Instrução CVM 400 e divulgado nos termos do artigo 54-A da Instrução CVM 400</w:t>
            </w:r>
            <w:r w:rsidR="000A1392" w:rsidRPr="00D8141D">
              <w:rPr>
                <w:rFonts w:cs="Calibri"/>
                <w:lang w:val="pt-BR"/>
              </w:rPr>
              <w:t>,</w:t>
            </w:r>
            <w:r w:rsidRPr="00D8141D">
              <w:rPr>
                <w:rFonts w:cs="Calibri"/>
                <w:lang w:val="pt-BR"/>
              </w:rPr>
              <w:t xml:space="preserve"> na página da rede mundial de computadores: </w:t>
            </w:r>
            <w:r w:rsidRPr="00D8141D">
              <w:rPr>
                <w:rFonts w:cs="Calibri"/>
                <w:b/>
                <w:lang w:val="pt-BR"/>
              </w:rPr>
              <w:t>(</w:t>
            </w:r>
            <w:r w:rsidR="000C0A3E" w:rsidRPr="00D8141D">
              <w:rPr>
                <w:rFonts w:cs="Calibri"/>
                <w:b/>
                <w:lang w:val="pt-BR"/>
              </w:rPr>
              <w:t>i)</w:t>
            </w:r>
            <w:r w:rsidR="000C0A3E" w:rsidRPr="00D8141D">
              <w:rPr>
                <w:rFonts w:cs="Calibri"/>
                <w:lang w:val="pt-BR"/>
              </w:rPr>
              <w:t> </w:t>
            </w:r>
            <w:r w:rsidRPr="00D8141D">
              <w:rPr>
                <w:rFonts w:cs="Calibri"/>
                <w:lang w:val="pt-BR"/>
              </w:rPr>
              <w:t xml:space="preserve">da Emissora; </w:t>
            </w:r>
            <w:r w:rsidRPr="00D8141D">
              <w:rPr>
                <w:rFonts w:cs="Calibri"/>
                <w:b/>
                <w:lang w:val="pt-BR"/>
              </w:rPr>
              <w:t>(</w:t>
            </w:r>
            <w:r w:rsidR="000C0A3E" w:rsidRPr="00D8141D">
              <w:rPr>
                <w:rFonts w:cs="Calibri"/>
                <w:b/>
                <w:lang w:val="pt-BR"/>
              </w:rPr>
              <w:t>ii)</w:t>
            </w:r>
            <w:r w:rsidR="000C0A3E" w:rsidRPr="00D8141D">
              <w:rPr>
                <w:rFonts w:cs="Calibri"/>
                <w:lang w:val="pt-BR"/>
              </w:rPr>
              <w:t> </w:t>
            </w:r>
            <w:r w:rsidR="00D15DEE" w:rsidRPr="00D8141D">
              <w:rPr>
                <w:rFonts w:cs="Calibri"/>
                <w:lang w:val="pt-BR"/>
              </w:rPr>
              <w:t>do Coordenador Líder</w:t>
            </w:r>
            <w:r w:rsidRPr="00D8141D">
              <w:rPr>
                <w:rFonts w:cs="Calibri"/>
                <w:lang w:val="pt-BR"/>
              </w:rPr>
              <w:t xml:space="preserve">; </w:t>
            </w:r>
            <w:r w:rsidRPr="00D8141D">
              <w:rPr>
                <w:rFonts w:cs="Calibri"/>
                <w:b/>
                <w:lang w:val="pt-BR"/>
              </w:rPr>
              <w:t>(</w:t>
            </w:r>
            <w:r w:rsidR="000C0A3E" w:rsidRPr="00D8141D">
              <w:rPr>
                <w:rFonts w:cs="Calibri"/>
                <w:b/>
                <w:lang w:val="pt-BR"/>
              </w:rPr>
              <w:t>iii)</w:t>
            </w:r>
            <w:r w:rsidR="000C0A3E" w:rsidRPr="00D8141D">
              <w:rPr>
                <w:rFonts w:cs="Calibri"/>
                <w:lang w:val="pt-BR"/>
              </w:rPr>
              <w:t> </w:t>
            </w:r>
            <w:r w:rsidRPr="00D8141D">
              <w:rPr>
                <w:rFonts w:cs="Calibri"/>
                <w:lang w:val="pt-BR"/>
              </w:rPr>
              <w:t xml:space="preserve">da </w:t>
            </w:r>
            <w:r w:rsidR="00F82651" w:rsidRPr="00D8141D">
              <w:rPr>
                <w:rFonts w:cs="Calibri"/>
                <w:lang w:val="pt-BR"/>
              </w:rPr>
              <w:t>B3</w:t>
            </w:r>
            <w:r w:rsidRPr="00D8141D">
              <w:rPr>
                <w:rFonts w:cs="Calibri"/>
                <w:lang w:val="pt-BR"/>
              </w:rPr>
              <w:t xml:space="preserve">; </w:t>
            </w:r>
            <w:r w:rsidR="000C0A3E" w:rsidRPr="00D8141D">
              <w:rPr>
                <w:rFonts w:cs="Calibri"/>
                <w:lang w:val="pt-BR"/>
              </w:rPr>
              <w:t xml:space="preserve">e </w:t>
            </w:r>
            <w:r w:rsidRPr="00D8141D">
              <w:rPr>
                <w:rFonts w:cs="Calibri"/>
                <w:b/>
                <w:lang w:val="pt-BR"/>
              </w:rPr>
              <w:t>(</w:t>
            </w:r>
            <w:r w:rsidR="000C0A3E" w:rsidRPr="00D8141D">
              <w:rPr>
                <w:rFonts w:cs="Calibri"/>
                <w:b/>
                <w:lang w:val="pt-BR"/>
              </w:rPr>
              <w:t>iv)</w:t>
            </w:r>
            <w:r w:rsidR="000C0A3E" w:rsidRPr="00D8141D">
              <w:rPr>
                <w:rFonts w:cs="Calibri"/>
                <w:lang w:val="pt-BR"/>
              </w:rPr>
              <w:t> </w:t>
            </w:r>
            <w:r w:rsidRPr="00D8141D">
              <w:rPr>
                <w:rFonts w:cs="Calibri"/>
                <w:lang w:val="pt-BR"/>
              </w:rPr>
              <w:t>da CVM.</w:t>
            </w:r>
          </w:p>
        </w:tc>
      </w:tr>
      <w:tr w:rsidR="00E8286C" w:rsidRPr="0082022E" w14:paraId="654C5810" w14:textId="77777777" w:rsidTr="00000056">
        <w:tc>
          <w:tcPr>
            <w:tcW w:w="1774" w:type="pct"/>
            <w:shd w:val="clear" w:color="auto" w:fill="auto"/>
            <w:noWrap/>
          </w:tcPr>
          <w:p w14:paraId="5AF83C1A"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Anúncio de Início</w:t>
            </w:r>
            <w:r w:rsidRPr="00D8141D">
              <w:rPr>
                <w:rFonts w:eastAsia="Calibri" w:cs="Calibri"/>
                <w:b/>
                <w:lang w:val="pt-BR"/>
              </w:rPr>
              <w:t>”</w:t>
            </w:r>
          </w:p>
        </w:tc>
        <w:tc>
          <w:tcPr>
            <w:tcW w:w="3226" w:type="pct"/>
            <w:shd w:val="clear" w:color="auto" w:fill="auto"/>
            <w:noWrap/>
          </w:tcPr>
          <w:p w14:paraId="0026A31E" w14:textId="77777777" w:rsidR="00E8286C" w:rsidRPr="00D8141D" w:rsidRDefault="00E8286C" w:rsidP="00366E72">
            <w:pPr>
              <w:pStyle w:val="HOMEBRBodyText"/>
              <w:keepLines w:val="0"/>
              <w:widowControl w:val="0"/>
              <w:spacing w:after="140" w:line="290" w:lineRule="auto"/>
              <w:jc w:val="both"/>
              <w:rPr>
                <w:rFonts w:cs="Calibri"/>
                <w:lang w:val="pt-BR"/>
              </w:rPr>
            </w:pPr>
            <w:r w:rsidRPr="00D8141D">
              <w:rPr>
                <w:rFonts w:cs="Calibri"/>
                <w:lang w:val="pt-BR"/>
              </w:rPr>
              <w:t>Anúncio de início da Oferta</w:t>
            </w:r>
            <w:r w:rsidR="000A1392" w:rsidRPr="00D8141D">
              <w:rPr>
                <w:rFonts w:cs="Calibri"/>
                <w:lang w:val="pt-BR"/>
              </w:rPr>
              <w:t>,</w:t>
            </w:r>
            <w:r w:rsidRPr="00D8141D">
              <w:rPr>
                <w:rFonts w:cs="Calibri"/>
                <w:lang w:val="pt-BR"/>
              </w:rPr>
              <w:t xml:space="preserve"> divulgado pela Emissora e pelo</w:t>
            </w:r>
            <w:r w:rsidR="00D15DEE" w:rsidRPr="00D8141D">
              <w:rPr>
                <w:rFonts w:cs="Calibri"/>
                <w:lang w:val="pt-BR"/>
              </w:rPr>
              <w:t xml:space="preserve"> Coordenador Líder</w:t>
            </w:r>
            <w:r w:rsidRPr="00D8141D">
              <w:rPr>
                <w:rFonts w:cs="Calibri"/>
                <w:lang w:val="pt-BR"/>
              </w:rPr>
              <w:t xml:space="preserve">, nos termos dos artigos 23, parágrafo 2º e </w:t>
            </w:r>
            <w:r w:rsidRPr="00D8141D">
              <w:rPr>
                <w:rFonts w:cs="Calibri"/>
                <w:lang w:val="pt-BR"/>
              </w:rPr>
              <w:lastRenderedPageBreak/>
              <w:t>52 da Instrução CVM 400 e divulgado nos termos do artigo 54-A da Instrução CVM 400</w:t>
            </w:r>
            <w:r w:rsidR="000A1392" w:rsidRPr="00D8141D">
              <w:rPr>
                <w:rFonts w:cs="Calibri"/>
                <w:lang w:val="pt-BR"/>
              </w:rPr>
              <w:t>,</w:t>
            </w:r>
            <w:r w:rsidRPr="00D8141D">
              <w:rPr>
                <w:rFonts w:cs="Calibri"/>
                <w:lang w:val="pt-BR"/>
              </w:rPr>
              <w:t xml:space="preserve"> na página da rede mundial de computadores: </w:t>
            </w:r>
            <w:r w:rsidR="000C0A3E" w:rsidRPr="00D8141D">
              <w:rPr>
                <w:rFonts w:cs="Calibri"/>
                <w:b/>
                <w:lang w:val="pt-BR"/>
              </w:rPr>
              <w:t>(i)</w:t>
            </w:r>
            <w:r w:rsidR="000C0A3E" w:rsidRPr="00D8141D">
              <w:rPr>
                <w:rFonts w:cs="Calibri"/>
                <w:lang w:val="pt-BR"/>
              </w:rPr>
              <w:t xml:space="preserve"> da Emissora; </w:t>
            </w:r>
            <w:r w:rsidR="000C0A3E" w:rsidRPr="00D8141D">
              <w:rPr>
                <w:rFonts w:cs="Calibri"/>
                <w:b/>
                <w:lang w:val="pt-BR"/>
              </w:rPr>
              <w:t>(ii)</w:t>
            </w:r>
            <w:r w:rsidR="000C0A3E" w:rsidRPr="00D8141D">
              <w:rPr>
                <w:rFonts w:cs="Calibri"/>
                <w:lang w:val="pt-BR"/>
              </w:rPr>
              <w:t> </w:t>
            </w:r>
            <w:r w:rsidR="00D15DEE" w:rsidRPr="00D8141D">
              <w:rPr>
                <w:rFonts w:cs="Calibri"/>
                <w:lang w:val="pt-BR"/>
              </w:rPr>
              <w:t>do Coordenador Líder</w:t>
            </w:r>
            <w:r w:rsidR="000C0A3E" w:rsidRPr="00D8141D">
              <w:rPr>
                <w:rFonts w:cs="Calibri"/>
                <w:lang w:val="pt-BR"/>
              </w:rPr>
              <w:t xml:space="preserve">; </w:t>
            </w:r>
            <w:r w:rsidR="000C0A3E" w:rsidRPr="00D8141D">
              <w:rPr>
                <w:rFonts w:cs="Calibri"/>
                <w:b/>
                <w:lang w:val="pt-BR"/>
              </w:rPr>
              <w:t>(iii)</w:t>
            </w:r>
            <w:r w:rsidR="000C0A3E" w:rsidRPr="00D8141D">
              <w:rPr>
                <w:rFonts w:cs="Calibri"/>
                <w:lang w:val="pt-BR"/>
              </w:rPr>
              <w:t xml:space="preserve"> da B3; e </w:t>
            </w:r>
            <w:r w:rsidR="000C0A3E" w:rsidRPr="00D8141D">
              <w:rPr>
                <w:rFonts w:cs="Calibri"/>
                <w:b/>
                <w:lang w:val="pt-BR"/>
              </w:rPr>
              <w:t>(iv)</w:t>
            </w:r>
            <w:r w:rsidR="000C0A3E" w:rsidRPr="00D8141D">
              <w:rPr>
                <w:rFonts w:cs="Calibri"/>
                <w:lang w:val="pt-BR"/>
              </w:rPr>
              <w:t> da CVM</w:t>
            </w:r>
            <w:r w:rsidRPr="00D8141D">
              <w:rPr>
                <w:rFonts w:cs="Calibri"/>
                <w:lang w:val="pt-BR"/>
              </w:rPr>
              <w:t>.</w:t>
            </w:r>
          </w:p>
        </w:tc>
      </w:tr>
      <w:tr w:rsidR="00E8286C" w:rsidRPr="0082022E" w14:paraId="6569D2CE" w14:textId="77777777" w:rsidTr="00000056">
        <w:tc>
          <w:tcPr>
            <w:tcW w:w="1774" w:type="pct"/>
            <w:shd w:val="clear" w:color="auto" w:fill="auto"/>
            <w:noWrap/>
          </w:tcPr>
          <w:p w14:paraId="3CDB576C"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w:t>
            </w:r>
            <w:r w:rsidR="00E8286C" w:rsidRPr="00D8141D">
              <w:rPr>
                <w:rFonts w:eastAsia="Calibri" w:cs="Calibri"/>
                <w:b/>
                <w:lang w:val="pt-BR"/>
              </w:rPr>
              <w:t>Apresentações para Potenciais Investidores</w:t>
            </w:r>
            <w:r w:rsidRPr="00D8141D">
              <w:rPr>
                <w:rFonts w:eastAsia="Calibri" w:cs="Calibri"/>
                <w:b/>
                <w:lang w:val="pt-BR"/>
              </w:rPr>
              <w:t>”</w:t>
            </w:r>
          </w:p>
        </w:tc>
        <w:tc>
          <w:tcPr>
            <w:tcW w:w="3226" w:type="pct"/>
            <w:shd w:val="clear" w:color="auto" w:fill="auto"/>
            <w:noWrap/>
          </w:tcPr>
          <w:p w14:paraId="45B5AAE4" w14:textId="77777777" w:rsidR="00E8286C" w:rsidRPr="00D8141D" w:rsidRDefault="00E8286C" w:rsidP="00366E72">
            <w:pPr>
              <w:pStyle w:val="HOMEBRBodyText"/>
              <w:keepLines w:val="0"/>
              <w:widowControl w:val="0"/>
              <w:spacing w:after="140" w:line="290" w:lineRule="auto"/>
              <w:jc w:val="both"/>
              <w:rPr>
                <w:rFonts w:cs="Calibri"/>
                <w:lang w:val="pt-BR"/>
              </w:rPr>
            </w:pPr>
            <w:r w:rsidRPr="00D8141D">
              <w:rPr>
                <w:rFonts w:cs="Calibri"/>
                <w:lang w:val="pt-BR"/>
              </w:rPr>
              <w:t>Apresentações para potenciais investidores (reuniões em grupo, almoços coletivos</w:t>
            </w:r>
            <w:r w:rsidRPr="00D8141D">
              <w:rPr>
                <w:rFonts w:cs="Calibri"/>
                <w:i/>
                <w:lang w:val="pt-BR"/>
              </w:rPr>
              <w:t xml:space="preserve"> </w:t>
            </w:r>
            <w:r w:rsidRPr="00D8141D">
              <w:rPr>
                <w:rFonts w:cs="Calibri"/>
                <w:lang w:val="pt-BR"/>
              </w:rPr>
              <w:t xml:space="preserve">e/ou </w:t>
            </w:r>
            <w:r w:rsidRPr="00D8141D">
              <w:rPr>
                <w:rFonts w:cs="Calibri"/>
                <w:i/>
                <w:lang w:val="pt-BR"/>
              </w:rPr>
              <w:t>one-on-ones</w:t>
            </w:r>
            <w:r w:rsidRPr="00D8141D">
              <w:rPr>
                <w:rFonts w:cs="Calibri"/>
                <w:lang w:val="pt-BR"/>
              </w:rPr>
              <w:t>) realizadas a critério do</w:t>
            </w:r>
            <w:r w:rsidR="00D15DEE" w:rsidRPr="00D8141D">
              <w:rPr>
                <w:rFonts w:cs="Calibri"/>
                <w:lang w:val="pt-BR"/>
              </w:rPr>
              <w:t xml:space="preserve"> Coordenador Líder, </w:t>
            </w:r>
            <w:r w:rsidRPr="00D8141D">
              <w:rPr>
                <w:rFonts w:cs="Calibri"/>
                <w:lang w:val="pt-BR"/>
              </w:rPr>
              <w:t xml:space="preserve">de comum acordo com a Emissora, após a divulgação do Aviso ao Mercado e a disponibilização </w:t>
            </w:r>
            <w:r w:rsidR="00EE4716" w:rsidRPr="00391B20">
              <w:rPr>
                <w:rFonts w:cs="Calibri"/>
                <w:lang w:val="pt-BR"/>
              </w:rPr>
              <w:t>do</w:t>
            </w:r>
            <w:r w:rsidRPr="00D8141D">
              <w:rPr>
                <w:rFonts w:cs="Calibri"/>
                <w:lang w:val="pt-BR"/>
              </w:rPr>
              <w:t xml:space="preserve"> Prospecto</w:t>
            </w:r>
            <w:r w:rsidR="00EE4716" w:rsidRPr="00391B20">
              <w:rPr>
                <w:rFonts w:cs="Calibri"/>
                <w:lang w:val="pt-BR"/>
              </w:rPr>
              <w:t xml:space="preserve"> Preliminar</w:t>
            </w:r>
            <w:r w:rsidRPr="00D8141D">
              <w:rPr>
                <w:rFonts w:cs="Calibri"/>
                <w:lang w:val="pt-BR"/>
              </w:rPr>
              <w:t>.</w:t>
            </w:r>
          </w:p>
        </w:tc>
      </w:tr>
      <w:tr w:rsidR="000A1392" w:rsidRPr="0082022E" w14:paraId="5F469714" w14:textId="77777777" w:rsidTr="00000056">
        <w:tc>
          <w:tcPr>
            <w:tcW w:w="1774" w:type="pct"/>
            <w:shd w:val="clear" w:color="auto" w:fill="auto"/>
            <w:noWrap/>
          </w:tcPr>
          <w:p w14:paraId="27C90AD8" w14:textId="77777777" w:rsidR="000A1392" w:rsidRPr="00D8141D" w:rsidRDefault="000A1392"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“Aquisição Facultativa”</w:t>
            </w:r>
          </w:p>
        </w:tc>
        <w:tc>
          <w:tcPr>
            <w:tcW w:w="3226" w:type="pct"/>
            <w:shd w:val="clear" w:color="auto" w:fill="auto"/>
            <w:noWrap/>
          </w:tcPr>
          <w:p w14:paraId="66B1CA6C" w14:textId="77777777" w:rsidR="00950975" w:rsidRDefault="000A1392" w:rsidP="00366E72">
            <w:pPr>
              <w:pStyle w:val="HOMEBRBodyText"/>
              <w:keepLines w:val="0"/>
              <w:widowControl w:val="0"/>
              <w:spacing w:after="140" w:line="290" w:lineRule="auto"/>
              <w:jc w:val="both"/>
              <w:rPr>
                <w:rFonts w:cs="Calibri"/>
                <w:lang w:val="pt-BR" w:eastAsia="pt-BR"/>
              </w:rPr>
            </w:pPr>
            <w:r w:rsidRPr="00D8141D">
              <w:rPr>
                <w:rFonts w:cs="Calibri"/>
                <w:lang w:val="pt-BR"/>
              </w:rPr>
              <w:t>Aquisição das Debêntures da Primeira Série e/ou das Debêntures da Segunda Série pela Emissora</w:t>
            </w:r>
            <w:r w:rsidR="00976389" w:rsidRPr="00D8141D">
              <w:rPr>
                <w:rFonts w:cs="Calibri"/>
                <w:lang w:val="pt-BR"/>
              </w:rPr>
              <w:t xml:space="preserve">, </w:t>
            </w:r>
            <w:r w:rsidR="00A32CF3" w:rsidRPr="00D8141D">
              <w:rPr>
                <w:rFonts w:cs="Calibri"/>
                <w:lang w:val="pt-BR"/>
              </w:rPr>
              <w:t>após 24 meses da Data de Emissão</w:t>
            </w:r>
            <w:r w:rsidRPr="00D8141D">
              <w:rPr>
                <w:rFonts w:cs="Calibri"/>
                <w:lang w:val="pt-BR"/>
              </w:rPr>
              <w:t xml:space="preserve">, no mercado secundário, </w:t>
            </w:r>
            <w:r w:rsidR="00054286" w:rsidRPr="00D8141D">
              <w:rPr>
                <w:rFonts w:cs="Calibri"/>
                <w:lang w:val="pt-BR" w:eastAsia="pt-BR"/>
              </w:rPr>
              <w:t xml:space="preserve">condicionado ao aceite do respectivo Debenturista vendedor e observado o disposto no artigo 55, parágrafo 3º, da Lei das Sociedades por Ações, </w:t>
            </w:r>
            <w:r w:rsidR="00436DDA" w:rsidRPr="00D8141D">
              <w:rPr>
                <w:rFonts w:cs="Calibri"/>
                <w:lang w:val="pt-BR" w:eastAsia="pt-BR"/>
              </w:rPr>
              <w:t>desde que observado as eventuais regras expedidas pela CVM</w:t>
            </w:r>
            <w:r w:rsidR="00054286" w:rsidRPr="00D8141D">
              <w:rPr>
                <w:rFonts w:cs="Calibri"/>
                <w:lang w:val="pt-BR" w:eastAsia="pt-BR"/>
              </w:rPr>
              <w:t xml:space="preserve">, devendo </w:t>
            </w:r>
            <w:r w:rsidR="00436DDA" w:rsidRPr="00D8141D">
              <w:rPr>
                <w:rFonts w:cs="Calibri"/>
                <w:lang w:val="pt-BR" w:eastAsia="pt-BR"/>
              </w:rPr>
              <w:t xml:space="preserve">tal </w:t>
            </w:r>
            <w:r w:rsidR="00054286" w:rsidRPr="00D8141D">
              <w:rPr>
                <w:rFonts w:cs="Calibri"/>
                <w:lang w:val="pt-BR" w:eastAsia="pt-BR"/>
              </w:rPr>
              <w:t>fato</w:t>
            </w:r>
            <w:r w:rsidR="00436DDA" w:rsidRPr="00D8141D">
              <w:rPr>
                <w:rFonts w:cs="Calibri"/>
                <w:lang w:val="pt-BR" w:eastAsia="pt-BR"/>
              </w:rPr>
              <w:t>, se assim exigido pelas disposições legais e regulamentares aplicáveis,</w:t>
            </w:r>
            <w:r w:rsidR="00054286" w:rsidRPr="00D8141D">
              <w:rPr>
                <w:rFonts w:cs="Calibri"/>
                <w:lang w:val="pt-BR" w:eastAsia="pt-BR"/>
              </w:rPr>
              <w:t xml:space="preserve"> constar do relatório da administração e das </w:t>
            </w:r>
            <w:r w:rsidR="00436DDA" w:rsidRPr="00D8141D">
              <w:rPr>
                <w:rFonts w:cs="Calibri"/>
                <w:lang w:val="pt-BR" w:eastAsia="pt-BR"/>
              </w:rPr>
              <w:t>Demonstrações Financeiras</w:t>
            </w:r>
            <w:r w:rsidR="00DB205D" w:rsidRPr="00D8141D">
              <w:rPr>
                <w:rFonts w:cs="Calibri"/>
                <w:lang w:val="pt-BR" w:eastAsia="pt-BR"/>
              </w:rPr>
              <w:t>.</w:t>
            </w:r>
            <w:r w:rsidR="00436DDA" w:rsidRPr="00B63002">
              <w:rPr>
                <w:lang w:val="pt-BR"/>
              </w:rPr>
              <w:t xml:space="preserve"> </w:t>
            </w:r>
            <w:r w:rsidR="00436DDA" w:rsidRPr="00D8141D">
              <w:rPr>
                <w:rFonts w:cs="Calibri"/>
                <w:lang w:val="pt-BR" w:eastAsia="pt-BR"/>
              </w:rPr>
              <w:t>As Debêntures adquiridas pela Emissora de acordo com</w:t>
            </w:r>
            <w:r w:rsidR="00DB48F4" w:rsidRPr="00D8141D">
              <w:rPr>
                <w:rFonts w:cs="Calibri"/>
                <w:lang w:val="pt-BR" w:eastAsia="pt-BR"/>
              </w:rPr>
              <w:t xml:space="preserve"> a</w:t>
            </w:r>
            <w:r w:rsidR="00436DDA" w:rsidRPr="00D8141D">
              <w:rPr>
                <w:rFonts w:cs="Calibri"/>
                <w:lang w:val="pt-BR" w:eastAsia="pt-BR"/>
              </w:rPr>
              <w:t xml:space="preserve"> Cláusula </w:t>
            </w:r>
            <w:r w:rsidR="00976389" w:rsidRPr="00D8141D">
              <w:rPr>
                <w:rFonts w:cs="Calibri"/>
                <w:lang w:val="pt-BR" w:eastAsia="pt-BR"/>
              </w:rPr>
              <w:t>7.4 da Escritura de Emissão</w:t>
            </w:r>
            <w:r w:rsidR="00DB48F4" w:rsidRPr="00D8141D">
              <w:rPr>
                <w:rFonts w:cs="Calibri"/>
                <w:lang w:val="pt-BR" w:eastAsia="pt-BR"/>
              </w:rPr>
              <w:t xml:space="preserve"> </w:t>
            </w:r>
            <w:r w:rsidR="00436DDA" w:rsidRPr="00D8141D">
              <w:rPr>
                <w:rFonts w:cs="Calibri"/>
                <w:lang w:val="pt-BR" w:eastAsia="pt-BR"/>
              </w:rPr>
              <w:t>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se e quando recolocadas no mercado, farão jus à mesma Remuneração aplicável às demais Debêntures</w:t>
            </w:r>
            <w:r w:rsidR="00072661" w:rsidRPr="00D8141D">
              <w:rPr>
                <w:rFonts w:cs="Calibri"/>
                <w:lang w:val="pt-BR" w:eastAsia="pt-BR"/>
              </w:rPr>
              <w:t>.</w:t>
            </w:r>
            <w:r w:rsidR="00054286" w:rsidRPr="00D8141D">
              <w:rPr>
                <w:rFonts w:cs="Calibri"/>
                <w:lang w:val="pt-BR" w:eastAsia="pt-BR"/>
              </w:rPr>
              <w:t xml:space="preserve"> </w:t>
            </w:r>
          </w:p>
          <w:p w14:paraId="4DAF75CA" w14:textId="59BAD667" w:rsidR="00950975" w:rsidRPr="00D8141D" w:rsidRDefault="003B1E94" w:rsidP="00366E72">
            <w:pPr>
              <w:pStyle w:val="HOMEBRBodyText"/>
              <w:keepLines w:val="0"/>
              <w:widowControl w:val="0"/>
              <w:spacing w:after="140" w:line="290" w:lineRule="auto"/>
              <w:jc w:val="both"/>
              <w:rPr>
                <w:rFonts w:cs="Calibri"/>
                <w:lang w:val="pt-BR"/>
              </w:rPr>
            </w:pPr>
            <w:r>
              <w:rPr>
                <w:rFonts w:cs="Calibri"/>
                <w:b/>
                <w:bCs/>
                <w:lang w:val="pt-BR"/>
              </w:rPr>
              <w:br/>
            </w:r>
            <w:r w:rsidR="00950975" w:rsidRPr="00D8141D">
              <w:rPr>
                <w:rFonts w:cs="Calibri"/>
                <w:b/>
                <w:bCs/>
                <w:lang w:val="pt-BR"/>
              </w:rPr>
              <w:t xml:space="preserve">Para mais informações sobre a Aquisição Facultativa, consulte a Seção “Fatores de Risco Relacionados à Oferta e as Debêntures – </w:t>
            </w:r>
            <w:r w:rsidR="00544EAE" w:rsidRPr="00D8141D">
              <w:rPr>
                <w:rFonts w:cs="Calibri"/>
                <w:b/>
                <w:bCs/>
                <w:lang w:val="pt-BR"/>
              </w:rPr>
              <w:t>As Debêntures poderão ser objeto de Oferta de Resgate Antecipado, Aquisição Facultativa e Resgate Obrigatório Total, nos termos previstos na Escritura de Emissão, o que poderá impactar de maneira adversa na liquidez das Debêntures no mercado secundário</w:t>
            </w:r>
            <w:r w:rsidR="00950975" w:rsidRPr="00D8141D">
              <w:rPr>
                <w:rFonts w:cs="Calibri"/>
                <w:b/>
                <w:bCs/>
                <w:lang w:val="pt-BR"/>
              </w:rPr>
              <w:t xml:space="preserve">”, na página </w:t>
            </w:r>
            <w:r w:rsidR="00E342C2" w:rsidRPr="00D8141D">
              <w:rPr>
                <w:rFonts w:cs="Calibri"/>
                <w:b/>
                <w:bCs/>
                <w:lang w:val="pt-BR"/>
              </w:rPr>
              <w:fldChar w:fldCharType="begin"/>
            </w:r>
            <w:r w:rsidR="00E342C2" w:rsidRPr="00D8141D">
              <w:rPr>
                <w:rFonts w:cs="Calibri"/>
                <w:b/>
                <w:bCs/>
                <w:lang w:val="pt-BR"/>
              </w:rPr>
              <w:instrText xml:space="preserve"> PAGEREF _Ref90050338 \h </w:instrText>
            </w:r>
            <w:r w:rsidR="00E342C2" w:rsidRPr="00D8141D">
              <w:rPr>
                <w:rFonts w:cs="Calibri"/>
                <w:b/>
                <w:bCs/>
                <w:lang w:val="pt-BR"/>
              </w:rPr>
            </w:r>
            <w:r w:rsidR="00E342C2" w:rsidRPr="00D8141D">
              <w:rPr>
                <w:rFonts w:cs="Calibri"/>
                <w:b/>
                <w:bCs/>
                <w:lang w:val="pt-BR"/>
              </w:rPr>
              <w:fldChar w:fldCharType="separate"/>
            </w:r>
            <w:r w:rsidR="001166EA">
              <w:rPr>
                <w:rFonts w:cs="Calibri"/>
                <w:b/>
                <w:bCs/>
                <w:noProof/>
                <w:lang w:val="pt-BR"/>
              </w:rPr>
              <w:t>134</w:t>
            </w:r>
            <w:r w:rsidR="00E342C2" w:rsidRPr="00D8141D">
              <w:rPr>
                <w:rFonts w:cs="Calibri"/>
                <w:b/>
                <w:bCs/>
                <w:lang w:val="pt-BR"/>
              </w:rPr>
              <w:fldChar w:fldCharType="end"/>
            </w:r>
            <w:r w:rsidR="00950975" w:rsidRPr="00D8141D">
              <w:rPr>
                <w:rFonts w:cs="Calibri"/>
                <w:b/>
                <w:bCs/>
                <w:lang w:val="pt-BR"/>
              </w:rPr>
              <w:t xml:space="preserve"> deste Prospecto</w:t>
            </w:r>
            <w:r w:rsidR="00950975" w:rsidRPr="00D8141D">
              <w:rPr>
                <w:rFonts w:cs="Calibri"/>
                <w:lang w:val="pt-BR"/>
              </w:rPr>
              <w:t>.</w:t>
            </w:r>
          </w:p>
        </w:tc>
      </w:tr>
      <w:tr w:rsidR="00E8286C" w:rsidRPr="0082022E" w14:paraId="0857ABFB" w14:textId="77777777" w:rsidTr="00000056">
        <w:tc>
          <w:tcPr>
            <w:tcW w:w="1774" w:type="pct"/>
            <w:shd w:val="clear" w:color="auto" w:fill="auto"/>
            <w:noWrap/>
          </w:tcPr>
          <w:p w14:paraId="321ECC28"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cs="Calibri"/>
                <w:b/>
                <w:lang w:val="pt-BR"/>
              </w:rPr>
              <w:lastRenderedPageBreak/>
              <w:t>“</w:t>
            </w:r>
            <w:r w:rsidR="00E8286C" w:rsidRPr="00D8141D">
              <w:rPr>
                <w:rFonts w:cs="Calibri"/>
                <w:b/>
                <w:lang w:val="pt-BR"/>
              </w:rPr>
              <w:t>Assembleia Geral de Debenturistas</w:t>
            </w:r>
            <w:r w:rsidRPr="00D8141D">
              <w:rPr>
                <w:rFonts w:cs="Calibri"/>
                <w:b/>
                <w:lang w:val="pt-BR"/>
              </w:rPr>
              <w:t>”</w:t>
            </w:r>
          </w:p>
        </w:tc>
        <w:tc>
          <w:tcPr>
            <w:tcW w:w="3226" w:type="pct"/>
            <w:shd w:val="clear" w:color="auto" w:fill="auto"/>
            <w:noWrap/>
          </w:tcPr>
          <w:p w14:paraId="628AF7F7" w14:textId="77777777" w:rsidR="00E8286C" w:rsidRPr="00D8141D" w:rsidRDefault="00E8286C" w:rsidP="00366E72">
            <w:pPr>
              <w:pStyle w:val="HOMEBRBodyText"/>
              <w:keepLines w:val="0"/>
              <w:widowControl w:val="0"/>
              <w:spacing w:after="140" w:line="290" w:lineRule="auto"/>
              <w:jc w:val="both"/>
              <w:rPr>
                <w:rFonts w:cs="Calibri"/>
                <w:lang w:val="pt-BR"/>
              </w:rPr>
            </w:pPr>
            <w:r w:rsidRPr="00D8141D">
              <w:rPr>
                <w:rFonts w:cs="Calibri"/>
                <w:lang w:val="pt-BR"/>
              </w:rPr>
              <w:t xml:space="preserve">Assembleia geral, de acordo com o disposto no artigo 71 da Lei das Sociedades por Ações, na qual os Debenturistas poderão, a qualquer tempo, </w:t>
            </w:r>
            <w:r w:rsidR="0046731E" w:rsidRPr="00D8141D">
              <w:rPr>
                <w:rFonts w:cs="Calibri"/>
                <w:lang w:val="pt-BR"/>
              </w:rPr>
              <w:t>reunir-se</w:t>
            </w:r>
            <w:r w:rsidRPr="00D8141D">
              <w:rPr>
                <w:rFonts w:cs="Calibri"/>
                <w:lang w:val="pt-BR"/>
              </w:rPr>
              <w:t xml:space="preserve"> a fim de deliberarem sobre matéria de interesse comum da comunhão dos Debenturistas, na forma estabelecida na Escritura de Emissão.</w:t>
            </w:r>
          </w:p>
        </w:tc>
      </w:tr>
      <w:tr w:rsidR="00E8286C" w:rsidRPr="0082022E" w14:paraId="5DA06AF7" w14:textId="77777777" w:rsidTr="00000056">
        <w:tc>
          <w:tcPr>
            <w:tcW w:w="1774" w:type="pct"/>
            <w:shd w:val="clear" w:color="auto" w:fill="auto"/>
            <w:noWrap/>
          </w:tcPr>
          <w:p w14:paraId="266D6938"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cs="Calibri"/>
                <w:b/>
                <w:lang w:val="pt-BR"/>
              </w:rPr>
              <w:t>“</w:t>
            </w:r>
            <w:r w:rsidR="00E8286C" w:rsidRPr="00D8141D">
              <w:rPr>
                <w:rFonts w:cs="Calibri"/>
                <w:b/>
                <w:lang w:val="pt-BR"/>
              </w:rPr>
              <w:t>Atualização Monetária</w:t>
            </w:r>
            <w:r w:rsidRPr="00D8141D">
              <w:rPr>
                <w:rFonts w:cs="Calibri"/>
                <w:b/>
                <w:lang w:val="pt-BR"/>
              </w:rPr>
              <w:t>”</w:t>
            </w:r>
          </w:p>
        </w:tc>
        <w:tc>
          <w:tcPr>
            <w:tcW w:w="3226" w:type="pct"/>
            <w:shd w:val="clear" w:color="auto" w:fill="auto"/>
            <w:noWrap/>
          </w:tcPr>
          <w:p w14:paraId="4E6A4330" w14:textId="77777777" w:rsidR="00E8286C" w:rsidRPr="00D8141D" w:rsidRDefault="000C0A3E" w:rsidP="00366E72">
            <w:pPr>
              <w:pStyle w:val="HOMEBRBodyText"/>
              <w:keepLines w:val="0"/>
              <w:widowControl w:val="0"/>
              <w:spacing w:after="140" w:line="290" w:lineRule="auto"/>
              <w:jc w:val="both"/>
              <w:rPr>
                <w:rFonts w:cs="Calibri"/>
                <w:lang w:val="pt-BR"/>
              </w:rPr>
            </w:pPr>
            <w:r w:rsidRPr="00D8141D">
              <w:rPr>
                <w:rFonts w:cs="Calibri"/>
                <w:lang w:val="pt-BR"/>
              </w:rPr>
              <w:t xml:space="preserve">Atualização monetária do Valor Nominal Unitário das Debêntures ou do saldo do Valor Nominal Unitário das Debêntures, conforme o caso, pela variação do </w:t>
            </w:r>
            <w:r w:rsidR="00B0508D" w:rsidRPr="00D8141D">
              <w:rPr>
                <w:rFonts w:cs="Calibri"/>
                <w:lang w:val="pt-BR"/>
              </w:rPr>
              <w:t>IPCA</w:t>
            </w:r>
            <w:r w:rsidRPr="00D8141D">
              <w:rPr>
                <w:rFonts w:cs="Calibri"/>
                <w:lang w:val="pt-BR"/>
              </w:rPr>
              <w:t xml:space="preserve">, </w:t>
            </w:r>
            <w:r w:rsidR="00840CEB" w:rsidRPr="00D8141D">
              <w:rPr>
                <w:rFonts w:cs="Calibri"/>
                <w:lang w:val="pt-BR"/>
              </w:rPr>
              <w:t xml:space="preserve">apurado e </w:t>
            </w:r>
            <w:r w:rsidRPr="00D8141D">
              <w:rPr>
                <w:rFonts w:cs="Calibri"/>
                <w:lang w:val="pt-BR"/>
              </w:rPr>
              <w:t xml:space="preserve">divulgado pelo </w:t>
            </w:r>
            <w:r w:rsidR="00B0508D" w:rsidRPr="00D8141D">
              <w:rPr>
                <w:rFonts w:cs="Calibri"/>
                <w:lang w:val="pt-BR"/>
              </w:rPr>
              <w:t>IBGE</w:t>
            </w:r>
            <w:r w:rsidRPr="00D8141D">
              <w:rPr>
                <w:rFonts w:cs="Calibri"/>
                <w:lang w:val="pt-BR"/>
              </w:rPr>
              <w:t xml:space="preserve">, </w:t>
            </w:r>
            <w:r w:rsidR="00840CEB" w:rsidRPr="00D8141D">
              <w:rPr>
                <w:rFonts w:cs="Calibri"/>
                <w:lang w:val="pt-BR"/>
              </w:rPr>
              <w:t xml:space="preserve">desde a Primeira Data de Integralização até a data de seu efetivo pagamento, sendo o produto da Atualização Monetária incorporado ao Valor Nominal Unitário das Debêntures, </w:t>
            </w:r>
            <w:r w:rsidRPr="00D8141D">
              <w:rPr>
                <w:rFonts w:cs="Calibri"/>
                <w:lang w:val="pt-BR"/>
              </w:rPr>
              <w:t>calculad</w:t>
            </w:r>
            <w:r w:rsidR="00840CEB" w:rsidRPr="00D8141D">
              <w:rPr>
                <w:rFonts w:cs="Calibri"/>
                <w:lang w:val="pt-BR"/>
              </w:rPr>
              <w:t>a</w:t>
            </w:r>
            <w:r w:rsidRPr="00D8141D">
              <w:rPr>
                <w:rFonts w:cs="Calibri"/>
                <w:lang w:val="pt-BR"/>
              </w:rPr>
              <w:t xml:space="preserve"> de forma </w:t>
            </w:r>
            <w:r w:rsidRPr="00D8141D">
              <w:rPr>
                <w:rFonts w:cs="Calibri"/>
                <w:i/>
                <w:lang w:val="pt-BR"/>
              </w:rPr>
              <w:t>pro rata temporis</w:t>
            </w:r>
            <w:r w:rsidRPr="00D8141D">
              <w:rPr>
                <w:rFonts w:cs="Calibri"/>
                <w:lang w:val="pt-BR"/>
              </w:rPr>
              <w:t xml:space="preserve">, </w:t>
            </w:r>
            <w:r w:rsidR="00840CEB" w:rsidRPr="00D8141D">
              <w:rPr>
                <w:rFonts w:cs="Calibri"/>
                <w:lang w:val="pt-BR"/>
              </w:rPr>
              <w:t>com base em 252 (duzentos e cinquenta e dois) Dias Úteis</w:t>
            </w:r>
            <w:r w:rsidRPr="00D8141D">
              <w:rPr>
                <w:rFonts w:cs="Calibri"/>
                <w:lang w:val="pt-BR"/>
              </w:rPr>
              <w:t>, ressalvadas as hipóteses de vencimento antecipado</w:t>
            </w:r>
            <w:r w:rsidR="008D6B95" w:rsidRPr="00D8141D">
              <w:rPr>
                <w:rFonts w:cs="Calibri"/>
                <w:lang w:val="pt-BR"/>
              </w:rPr>
              <w:t xml:space="preserve"> e a hipótese de Oferta de Resgate Antecipado </w:t>
            </w:r>
            <w:r w:rsidRPr="00D8141D">
              <w:rPr>
                <w:rFonts w:cs="Calibri"/>
                <w:lang w:val="pt-BR"/>
              </w:rPr>
              <w:t xml:space="preserve">descritas na Escritura de Emissão, e calculado de acordo a fórmula descrita na Escritura de Emissão e </w:t>
            </w:r>
            <w:r w:rsidR="00B0508D" w:rsidRPr="00D8141D">
              <w:rPr>
                <w:rFonts w:cs="Calibri"/>
                <w:lang w:val="pt-BR"/>
              </w:rPr>
              <w:t>neste Prospecto</w:t>
            </w:r>
            <w:r w:rsidRPr="00D8141D">
              <w:rPr>
                <w:rFonts w:cs="Calibri"/>
                <w:lang w:val="pt-BR"/>
              </w:rPr>
              <w:t>.</w:t>
            </w:r>
          </w:p>
        </w:tc>
      </w:tr>
      <w:tr w:rsidR="00E8286C" w:rsidRPr="0082022E" w14:paraId="4A2FF695" w14:textId="77777777" w:rsidTr="00000056">
        <w:tc>
          <w:tcPr>
            <w:tcW w:w="1774" w:type="pct"/>
            <w:shd w:val="clear" w:color="auto" w:fill="auto"/>
            <w:noWrap/>
          </w:tcPr>
          <w:p w14:paraId="6E348076"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Auditores Independentes</w:t>
            </w:r>
            <w:r w:rsidRPr="00D8141D">
              <w:rPr>
                <w:rFonts w:eastAsia="Calibri" w:cs="Calibri"/>
                <w:b/>
                <w:lang w:val="pt-BR"/>
              </w:rPr>
              <w:t>”</w:t>
            </w:r>
            <w:r w:rsidR="00E8286C" w:rsidRPr="00D8141D">
              <w:rPr>
                <w:rFonts w:eastAsia="Calibri" w:cs="Calibri"/>
                <w:b/>
                <w:lang w:val="pt-BR"/>
              </w:rPr>
              <w:t xml:space="preserve"> </w:t>
            </w:r>
          </w:p>
        </w:tc>
        <w:tc>
          <w:tcPr>
            <w:tcW w:w="3226" w:type="pct"/>
            <w:shd w:val="clear" w:color="auto" w:fill="auto"/>
            <w:noWrap/>
          </w:tcPr>
          <w:p w14:paraId="6F311CEF" w14:textId="1FADDABE" w:rsidR="00E8286C" w:rsidRPr="00D8141D" w:rsidRDefault="00976389" w:rsidP="00366E72">
            <w:pPr>
              <w:pStyle w:val="HOMEBRBodyText"/>
              <w:keepLines w:val="0"/>
              <w:widowControl w:val="0"/>
              <w:spacing w:after="140" w:line="290" w:lineRule="auto"/>
              <w:jc w:val="both"/>
              <w:rPr>
                <w:rFonts w:cs="Calibri"/>
                <w:spacing w:val="-4"/>
                <w:lang w:val="pt-BR"/>
              </w:rPr>
            </w:pPr>
            <w:r w:rsidRPr="00D8141D">
              <w:rPr>
                <w:rFonts w:cs="Calibri"/>
                <w:b/>
                <w:bCs/>
                <w:spacing w:val="-4"/>
                <w:lang w:val="pt-BR"/>
              </w:rPr>
              <w:t>Ernst &amp; Young Auditores Independentes S.S.</w:t>
            </w:r>
            <w:r w:rsidRPr="00D8141D">
              <w:rPr>
                <w:rFonts w:cs="Calibri"/>
                <w:spacing w:val="-4"/>
                <w:lang w:val="pt-BR"/>
              </w:rPr>
              <w:t>,</w:t>
            </w:r>
            <w:r w:rsidR="00011E50" w:rsidRPr="00D8141D">
              <w:rPr>
                <w:rFonts w:cs="Calibri"/>
                <w:spacing w:val="-4"/>
                <w:lang w:val="pt-BR"/>
              </w:rPr>
              <w:t xml:space="preserve"> para os exercícios sociais encerrados em 31 de </w:t>
            </w:r>
            <w:r w:rsidRPr="00D8141D">
              <w:rPr>
                <w:rFonts w:cs="Calibri"/>
                <w:spacing w:val="-4"/>
                <w:lang w:val="pt-BR"/>
              </w:rPr>
              <w:t>março</w:t>
            </w:r>
            <w:r w:rsidR="00011E50" w:rsidRPr="00D8141D">
              <w:rPr>
                <w:rFonts w:cs="Calibri"/>
                <w:spacing w:val="-4"/>
                <w:lang w:val="pt-BR"/>
              </w:rPr>
              <w:t xml:space="preserve"> de </w:t>
            </w:r>
            <w:r w:rsidR="00D15DEE" w:rsidRPr="00D8141D">
              <w:rPr>
                <w:rFonts w:cs="Calibri"/>
                <w:spacing w:val="-4"/>
                <w:lang w:val="pt-BR"/>
              </w:rPr>
              <w:t xml:space="preserve">2019 e </w:t>
            </w:r>
            <w:r w:rsidR="002B2F78" w:rsidRPr="00D8141D">
              <w:rPr>
                <w:rFonts w:cs="Calibri"/>
                <w:b/>
                <w:bCs/>
                <w:spacing w:val="-4"/>
                <w:lang w:val="pt-BR"/>
              </w:rPr>
              <w:t>Pricewaterhousecoopers</w:t>
            </w:r>
            <w:r w:rsidRPr="00D8141D">
              <w:rPr>
                <w:rFonts w:cs="Calibri"/>
                <w:b/>
                <w:bCs/>
                <w:spacing w:val="-4"/>
                <w:lang w:val="pt-BR"/>
              </w:rPr>
              <w:t xml:space="preserve"> Auditores Independentes</w:t>
            </w:r>
            <w:r w:rsidRPr="00D8141D">
              <w:rPr>
                <w:rFonts w:cs="Calibri"/>
                <w:spacing w:val="-4"/>
                <w:lang w:val="pt-BR"/>
              </w:rPr>
              <w:t xml:space="preserve"> para o exercício social encerrado em 31 de março de 2021 e </w:t>
            </w:r>
            <w:r w:rsidR="00D15DEE" w:rsidRPr="00D8141D">
              <w:rPr>
                <w:rFonts w:cs="Calibri"/>
                <w:spacing w:val="-4"/>
                <w:lang w:val="pt-BR"/>
              </w:rPr>
              <w:t>2020</w:t>
            </w:r>
            <w:r w:rsidR="00011E50" w:rsidRPr="00D8141D">
              <w:rPr>
                <w:rFonts w:cs="Calibri"/>
                <w:spacing w:val="-4"/>
                <w:lang w:val="pt-BR"/>
              </w:rPr>
              <w:t xml:space="preserve"> e para </w:t>
            </w:r>
            <w:r w:rsidRPr="00D8141D">
              <w:rPr>
                <w:rFonts w:cs="Calibri"/>
                <w:spacing w:val="-4"/>
                <w:lang w:val="pt-BR"/>
              </w:rPr>
              <w:t>o período</w:t>
            </w:r>
            <w:r w:rsidR="00011E50" w:rsidRPr="00D8141D">
              <w:rPr>
                <w:rFonts w:cs="Calibri"/>
                <w:spacing w:val="-4"/>
                <w:lang w:val="pt-BR"/>
              </w:rPr>
              <w:t xml:space="preserve"> de </w:t>
            </w:r>
            <w:r w:rsidR="008C76E3">
              <w:rPr>
                <w:rFonts w:cs="Calibri"/>
                <w:spacing w:val="-4"/>
                <w:lang w:val="pt-BR"/>
              </w:rPr>
              <w:t>nove</w:t>
            </w:r>
            <w:r w:rsidR="008C76E3" w:rsidRPr="00D8141D">
              <w:rPr>
                <w:rFonts w:cs="Calibri"/>
                <w:spacing w:val="-4"/>
                <w:lang w:val="pt-BR"/>
              </w:rPr>
              <w:t xml:space="preserve"> </w:t>
            </w:r>
            <w:r w:rsidR="00011E50" w:rsidRPr="00D8141D">
              <w:rPr>
                <w:rFonts w:cs="Calibri"/>
                <w:spacing w:val="-4"/>
                <w:lang w:val="pt-BR"/>
              </w:rPr>
              <w:t xml:space="preserve">meses </w:t>
            </w:r>
            <w:r w:rsidRPr="00D8141D">
              <w:rPr>
                <w:rFonts w:cs="Calibri"/>
                <w:spacing w:val="-4"/>
                <w:lang w:val="pt-BR"/>
              </w:rPr>
              <w:t>findo</w:t>
            </w:r>
            <w:r w:rsidR="00011E50" w:rsidRPr="00D8141D">
              <w:rPr>
                <w:rFonts w:cs="Calibri"/>
                <w:spacing w:val="-4"/>
                <w:lang w:val="pt-BR"/>
              </w:rPr>
              <w:t xml:space="preserve"> em 3</w:t>
            </w:r>
            <w:r w:rsidR="008C76E3">
              <w:rPr>
                <w:rFonts w:cs="Calibri"/>
                <w:spacing w:val="-4"/>
                <w:lang w:val="pt-BR"/>
              </w:rPr>
              <w:t>1</w:t>
            </w:r>
            <w:r w:rsidR="00011E50" w:rsidRPr="00D8141D">
              <w:rPr>
                <w:rFonts w:cs="Calibri"/>
                <w:spacing w:val="-4"/>
                <w:lang w:val="pt-BR"/>
              </w:rPr>
              <w:t xml:space="preserve"> de </w:t>
            </w:r>
            <w:r w:rsidR="008C76E3">
              <w:rPr>
                <w:rFonts w:cs="Calibri"/>
                <w:spacing w:val="-4"/>
                <w:lang w:val="pt-BR"/>
              </w:rPr>
              <w:t>dezembro</w:t>
            </w:r>
            <w:r w:rsidR="008C76E3" w:rsidRPr="00D8141D">
              <w:rPr>
                <w:rFonts w:cs="Calibri"/>
                <w:spacing w:val="-4"/>
                <w:lang w:val="pt-BR"/>
              </w:rPr>
              <w:t xml:space="preserve"> </w:t>
            </w:r>
            <w:r w:rsidR="00011E50" w:rsidRPr="00D8141D">
              <w:rPr>
                <w:rFonts w:cs="Calibri"/>
                <w:spacing w:val="-4"/>
                <w:lang w:val="pt-BR"/>
              </w:rPr>
              <w:t xml:space="preserve">de </w:t>
            </w:r>
            <w:r w:rsidR="00DB205D" w:rsidRPr="00D8141D">
              <w:rPr>
                <w:rFonts w:cs="Calibri"/>
                <w:spacing w:val="-4"/>
                <w:lang w:val="pt-BR"/>
              </w:rPr>
              <w:t>2021</w:t>
            </w:r>
            <w:r w:rsidRPr="00D8141D">
              <w:rPr>
                <w:rFonts w:cs="Calibri"/>
                <w:spacing w:val="-4"/>
                <w:lang w:val="pt-BR"/>
              </w:rPr>
              <w:t>.</w:t>
            </w:r>
          </w:p>
        </w:tc>
      </w:tr>
      <w:tr w:rsidR="00E8286C" w:rsidRPr="0082022E" w14:paraId="7A331D30" w14:textId="77777777" w:rsidTr="00000056">
        <w:tc>
          <w:tcPr>
            <w:tcW w:w="1774" w:type="pct"/>
            <w:shd w:val="clear" w:color="auto" w:fill="auto"/>
            <w:noWrap/>
          </w:tcPr>
          <w:p w14:paraId="2D13926A"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Aviso ao Mercado</w:t>
            </w:r>
            <w:r w:rsidRPr="00D8141D">
              <w:rPr>
                <w:rFonts w:eastAsia="Calibri" w:cs="Calibri"/>
                <w:b/>
                <w:lang w:val="pt-BR"/>
              </w:rPr>
              <w:t>”</w:t>
            </w:r>
          </w:p>
        </w:tc>
        <w:tc>
          <w:tcPr>
            <w:tcW w:w="3226" w:type="pct"/>
            <w:shd w:val="clear" w:color="auto" w:fill="auto"/>
            <w:noWrap/>
          </w:tcPr>
          <w:p w14:paraId="62E4AFA4" w14:textId="77777777" w:rsidR="00E8286C" w:rsidRPr="00D8141D" w:rsidRDefault="00D05A75" w:rsidP="00366E72">
            <w:pPr>
              <w:pStyle w:val="HOMEBRBodyText"/>
              <w:keepLines w:val="0"/>
              <w:widowControl w:val="0"/>
              <w:spacing w:after="140" w:line="290" w:lineRule="auto"/>
              <w:jc w:val="both"/>
              <w:rPr>
                <w:rFonts w:cs="Calibri"/>
                <w:lang w:val="pt-BR"/>
              </w:rPr>
            </w:pPr>
            <w:r w:rsidRPr="00D8141D">
              <w:rPr>
                <w:rFonts w:cs="Calibri"/>
                <w:lang w:val="pt-BR"/>
              </w:rPr>
              <w:t xml:space="preserve">Aviso ao mercado sobre a Oferta, o qual foi elaborado nos termos do artigo 53 da Instrução CVM 400, divulgado em 13 de dezembro de 2021, nos termos do artigo 54-A da Instrução CVM 400, </w:t>
            </w:r>
            <w:r w:rsidR="00C41809" w:rsidRPr="00D8141D">
              <w:rPr>
                <w:rFonts w:cs="Calibri"/>
                <w:lang w:val="pt-BR"/>
              </w:rPr>
              <w:t>e novamente divulgado em 2</w:t>
            </w:r>
            <w:r w:rsidR="008F7AB7" w:rsidRPr="00D8141D">
              <w:rPr>
                <w:rFonts w:cs="Calibri"/>
                <w:lang w:val="pt-BR"/>
              </w:rPr>
              <w:t>2</w:t>
            </w:r>
            <w:r w:rsidR="00C41809" w:rsidRPr="00D8141D">
              <w:rPr>
                <w:rFonts w:cs="Calibri"/>
                <w:lang w:val="pt-BR"/>
              </w:rPr>
              <w:t xml:space="preserve"> de dezembro, </w:t>
            </w:r>
            <w:r w:rsidRPr="00D8141D">
              <w:rPr>
                <w:rFonts w:cs="Calibri"/>
                <w:lang w:val="pt-BR"/>
              </w:rPr>
              <w:t xml:space="preserve">na página da rede mundial de computadores: </w:t>
            </w:r>
            <w:r w:rsidRPr="00D8141D">
              <w:rPr>
                <w:rFonts w:cs="Calibri"/>
                <w:b/>
                <w:lang w:val="pt-BR"/>
              </w:rPr>
              <w:t>(i)</w:t>
            </w:r>
            <w:r w:rsidRPr="00D8141D">
              <w:rPr>
                <w:rFonts w:cs="Calibri"/>
                <w:lang w:val="pt-BR"/>
              </w:rPr>
              <w:t xml:space="preserve"> da Emissora; </w:t>
            </w:r>
            <w:r w:rsidRPr="00D8141D">
              <w:rPr>
                <w:rFonts w:cs="Calibri"/>
                <w:b/>
                <w:lang w:val="pt-BR"/>
              </w:rPr>
              <w:t>(ii)</w:t>
            </w:r>
            <w:r w:rsidRPr="00D8141D">
              <w:rPr>
                <w:rFonts w:cs="Calibri"/>
                <w:lang w:val="pt-BR"/>
              </w:rPr>
              <w:t xml:space="preserve"> do Coordenador Líder; </w:t>
            </w:r>
            <w:r w:rsidRPr="00D8141D">
              <w:rPr>
                <w:rFonts w:cs="Calibri"/>
                <w:b/>
                <w:lang w:val="pt-BR"/>
              </w:rPr>
              <w:t>(iii)</w:t>
            </w:r>
            <w:r w:rsidRPr="00D8141D">
              <w:rPr>
                <w:rFonts w:cs="Calibri"/>
                <w:lang w:val="pt-BR"/>
              </w:rPr>
              <w:t xml:space="preserve"> da B3; e </w:t>
            </w:r>
            <w:r w:rsidRPr="00D8141D">
              <w:rPr>
                <w:rFonts w:cs="Calibri"/>
                <w:b/>
                <w:lang w:val="pt-BR"/>
              </w:rPr>
              <w:t>(iv)</w:t>
            </w:r>
            <w:r w:rsidRPr="00D8141D">
              <w:rPr>
                <w:rFonts w:cs="Calibri"/>
                <w:lang w:val="pt-BR"/>
              </w:rPr>
              <w:t> da CVM.</w:t>
            </w:r>
          </w:p>
        </w:tc>
      </w:tr>
      <w:tr w:rsidR="0046731E" w:rsidRPr="0082022E" w14:paraId="602EE34B" w14:textId="77777777" w:rsidTr="00000056">
        <w:tc>
          <w:tcPr>
            <w:tcW w:w="1774" w:type="pct"/>
            <w:shd w:val="clear" w:color="auto" w:fill="auto"/>
            <w:noWrap/>
          </w:tcPr>
          <w:p w14:paraId="15F3A8E2" w14:textId="77777777" w:rsidR="0046731E" w:rsidRPr="00D8141D" w:rsidRDefault="0046731E"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“Aviso aos Debenturistas”</w:t>
            </w:r>
          </w:p>
        </w:tc>
        <w:tc>
          <w:tcPr>
            <w:tcW w:w="3226" w:type="pct"/>
            <w:shd w:val="clear" w:color="auto" w:fill="auto"/>
            <w:noWrap/>
          </w:tcPr>
          <w:p w14:paraId="3FA2B60D" w14:textId="77777777" w:rsidR="0046731E" w:rsidRPr="00D8141D" w:rsidRDefault="0046731E" w:rsidP="00366E72">
            <w:pPr>
              <w:pStyle w:val="HOMEBRBodyText"/>
              <w:keepLines w:val="0"/>
              <w:widowControl w:val="0"/>
              <w:spacing w:after="140" w:line="290" w:lineRule="auto"/>
              <w:jc w:val="both"/>
              <w:rPr>
                <w:rFonts w:cs="Calibri"/>
                <w:lang w:val="pt-BR"/>
              </w:rPr>
            </w:pPr>
            <w:r w:rsidRPr="00D8141D">
              <w:rPr>
                <w:rFonts w:cs="Calibri"/>
                <w:lang w:val="pt-BR"/>
              </w:rPr>
              <w:t xml:space="preserve">Forma de comunicação obrigatória a ser realizada, na forma digital ou física, pela Emissora aos Debenturistas, nos termos da regulamentação vigente e da Escritura de Emissão, sobre todos os atos e decisões a serem tomados </w:t>
            </w:r>
            <w:r w:rsidR="00840CEB" w:rsidRPr="00D8141D">
              <w:rPr>
                <w:rFonts w:cs="Calibri"/>
                <w:lang w:val="pt-BR"/>
              </w:rPr>
              <w:t>decorrentes desta</w:t>
            </w:r>
            <w:r w:rsidRPr="00D8141D">
              <w:rPr>
                <w:rFonts w:cs="Calibri"/>
                <w:lang w:val="pt-BR"/>
              </w:rPr>
              <w:t xml:space="preserve"> </w:t>
            </w:r>
            <w:r w:rsidR="00840CEB" w:rsidRPr="00D8141D">
              <w:rPr>
                <w:rFonts w:cs="Calibri"/>
                <w:lang w:val="pt-BR"/>
              </w:rPr>
              <w:t xml:space="preserve">Emissão </w:t>
            </w:r>
            <w:r w:rsidRPr="00D8141D">
              <w:rPr>
                <w:rFonts w:cs="Calibri"/>
                <w:lang w:val="pt-BR"/>
              </w:rPr>
              <w:t>que, de qualquer forma, vierem a envolver interesses dos Debenturistas, inclusive eventual alteração dos Jornais de Publicação, a ser divulgado na página da Emissora sempre imediatamente após a ciência do ato a ser divulgado.</w:t>
            </w:r>
          </w:p>
        </w:tc>
      </w:tr>
      <w:tr w:rsidR="00F82651" w:rsidRPr="0082022E" w14:paraId="331DECBF" w14:textId="77777777" w:rsidTr="00000056">
        <w:tc>
          <w:tcPr>
            <w:tcW w:w="1774" w:type="pct"/>
            <w:shd w:val="clear" w:color="auto" w:fill="auto"/>
            <w:noWrap/>
          </w:tcPr>
          <w:p w14:paraId="01D29488" w14:textId="77777777" w:rsidR="00F82651" w:rsidRPr="00D8141D" w:rsidRDefault="00F8265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“B3”</w:t>
            </w:r>
          </w:p>
        </w:tc>
        <w:tc>
          <w:tcPr>
            <w:tcW w:w="3226" w:type="pct"/>
            <w:shd w:val="clear" w:color="auto" w:fill="auto"/>
            <w:noWrap/>
          </w:tcPr>
          <w:p w14:paraId="0698E88C" w14:textId="77777777" w:rsidR="00F82651" w:rsidRPr="00D8141D" w:rsidRDefault="00F82651" w:rsidP="00366E72">
            <w:pPr>
              <w:pStyle w:val="HOMEBRBodyText"/>
              <w:keepLines w:val="0"/>
              <w:widowControl w:val="0"/>
              <w:spacing w:after="140" w:line="290" w:lineRule="auto"/>
              <w:jc w:val="both"/>
              <w:rPr>
                <w:rFonts w:eastAsia="Calibri" w:cs="Calibri"/>
                <w:bCs/>
                <w:lang w:val="pt-BR"/>
              </w:rPr>
            </w:pPr>
            <w:r w:rsidRPr="00D8141D">
              <w:rPr>
                <w:rFonts w:eastAsia="Calibri" w:cs="Calibri"/>
                <w:bCs/>
                <w:lang w:val="pt-BR"/>
              </w:rPr>
              <w:t>B3 S.A. – Brasil, Bolsa, Balcão</w:t>
            </w:r>
            <w:r w:rsidR="00B0508D" w:rsidRPr="00D8141D">
              <w:rPr>
                <w:rFonts w:eastAsia="Calibri" w:cs="Calibri"/>
                <w:bCs/>
                <w:lang w:val="pt-BR"/>
              </w:rPr>
              <w:t xml:space="preserve"> – </w:t>
            </w:r>
            <w:r w:rsidR="00773EC7" w:rsidRPr="00D8141D">
              <w:rPr>
                <w:rFonts w:eastAsia="Calibri" w:cs="Calibri"/>
                <w:bCs/>
                <w:lang w:val="pt-BR"/>
              </w:rPr>
              <w:t>Balcão B3</w:t>
            </w:r>
            <w:r w:rsidRPr="00D8141D">
              <w:rPr>
                <w:rFonts w:eastAsia="Calibri" w:cs="Calibri"/>
                <w:bCs/>
                <w:lang w:val="pt-BR"/>
              </w:rPr>
              <w:t>.</w:t>
            </w:r>
          </w:p>
        </w:tc>
      </w:tr>
      <w:tr w:rsidR="00E8286C" w:rsidRPr="00D8141D" w14:paraId="5998AC81" w14:textId="77777777" w:rsidTr="00000056">
        <w:tc>
          <w:tcPr>
            <w:tcW w:w="1774" w:type="pct"/>
            <w:shd w:val="clear" w:color="auto" w:fill="auto"/>
            <w:noWrap/>
          </w:tcPr>
          <w:p w14:paraId="1E103A77"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E8286C" w:rsidRPr="00D8141D">
              <w:rPr>
                <w:rFonts w:eastAsia="Calibri" w:cs="Calibri"/>
                <w:b/>
                <w:lang w:val="pt-BR"/>
              </w:rPr>
              <w:t>Banco Central</w:t>
            </w:r>
            <w:r w:rsidRPr="00D8141D">
              <w:rPr>
                <w:rFonts w:eastAsia="Calibri" w:cs="Calibri"/>
                <w:b/>
                <w:lang w:val="pt-BR"/>
              </w:rPr>
              <w:t>”</w:t>
            </w:r>
            <w:r w:rsidR="00E8286C" w:rsidRPr="00D8141D">
              <w:rPr>
                <w:rFonts w:eastAsia="Calibri" w:cs="Calibri"/>
                <w:b/>
                <w:lang w:val="pt-BR"/>
              </w:rPr>
              <w:t xml:space="preserve"> ou </w:t>
            </w:r>
            <w:r w:rsidRPr="00D8141D">
              <w:rPr>
                <w:rFonts w:eastAsia="Calibri" w:cs="Calibri"/>
                <w:b/>
                <w:lang w:val="pt-BR"/>
              </w:rPr>
              <w:t>“</w:t>
            </w:r>
            <w:r w:rsidR="00E8286C" w:rsidRPr="00D8141D">
              <w:rPr>
                <w:rFonts w:eastAsia="Calibri" w:cs="Calibri"/>
                <w:b/>
                <w:lang w:val="pt-BR"/>
              </w:rPr>
              <w:t>BACEN</w:t>
            </w:r>
            <w:r w:rsidRPr="00D8141D">
              <w:rPr>
                <w:rFonts w:eastAsia="Calibri" w:cs="Calibri"/>
                <w:b/>
                <w:lang w:val="pt-BR"/>
              </w:rPr>
              <w:t>”</w:t>
            </w:r>
          </w:p>
        </w:tc>
        <w:tc>
          <w:tcPr>
            <w:tcW w:w="3226" w:type="pct"/>
            <w:shd w:val="clear" w:color="auto" w:fill="auto"/>
            <w:noWrap/>
          </w:tcPr>
          <w:p w14:paraId="6F9F9EB6" w14:textId="77777777" w:rsidR="00E8286C" w:rsidRPr="00D8141D" w:rsidRDefault="00E8286C"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Banco Central do Brasil.</w:t>
            </w:r>
          </w:p>
        </w:tc>
      </w:tr>
      <w:tr w:rsidR="00E8286C" w:rsidRPr="0082022E" w14:paraId="3BC0A6A8" w14:textId="77777777" w:rsidTr="00000056">
        <w:tc>
          <w:tcPr>
            <w:tcW w:w="1774" w:type="pct"/>
            <w:shd w:val="clear" w:color="auto" w:fill="auto"/>
            <w:noWrap/>
          </w:tcPr>
          <w:p w14:paraId="511EC72D" w14:textId="77777777" w:rsidR="00E8286C" w:rsidRPr="00D8141D" w:rsidRDefault="002A4B8C"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9D09A0" w:rsidRPr="00D8141D">
              <w:rPr>
                <w:rFonts w:eastAsia="Calibri" w:cs="Calibri"/>
                <w:b/>
                <w:lang w:val="pt-BR"/>
              </w:rPr>
              <w:t>Agente de Liquidação</w:t>
            </w:r>
            <w:r w:rsidRPr="00D8141D">
              <w:rPr>
                <w:rFonts w:eastAsia="Calibri" w:cs="Calibri"/>
                <w:b/>
                <w:lang w:val="pt-BR"/>
              </w:rPr>
              <w:t>”</w:t>
            </w:r>
          </w:p>
        </w:tc>
        <w:tc>
          <w:tcPr>
            <w:tcW w:w="3226" w:type="pct"/>
            <w:shd w:val="clear" w:color="auto" w:fill="auto"/>
            <w:noWrap/>
          </w:tcPr>
          <w:p w14:paraId="24CBDBEC" w14:textId="77777777" w:rsidR="00E8286C" w:rsidRPr="00D8141D" w:rsidRDefault="00840CEB" w:rsidP="002D7143">
            <w:pPr>
              <w:pStyle w:val="HOMEBRBodyText"/>
              <w:keepLines w:val="0"/>
              <w:widowControl w:val="0"/>
              <w:spacing w:line="290" w:lineRule="auto"/>
              <w:jc w:val="both"/>
              <w:rPr>
                <w:rFonts w:eastAsia="Calibri" w:cs="Calibri"/>
                <w:lang w:val="pt-BR"/>
              </w:rPr>
            </w:pPr>
            <w:r w:rsidRPr="00D8141D">
              <w:rPr>
                <w:rFonts w:cs="Calibri"/>
                <w:b/>
                <w:lang w:val="pt-BR"/>
              </w:rPr>
              <w:t>VÓRTX DISTRIBUIDORA DE TÍTULOS E VALORES MOBILIÁRIOS LTDA.</w:t>
            </w:r>
            <w:r w:rsidRPr="00D8141D">
              <w:rPr>
                <w:rFonts w:cs="Calibri"/>
                <w:lang w:val="pt-BR"/>
              </w:rPr>
              <w:t>, sociedade limitada, com sede na Avenida Brigadeiro Faria Lima, nº 2.277,2º andar, Conjunto 202, na Cidade de Sio Paulo, Estado de São Paulo, inscrita no CNPJ/ME sob o nº 22.610.500/0001-88.</w:t>
            </w:r>
          </w:p>
        </w:tc>
      </w:tr>
      <w:tr w:rsidR="00773EC7" w:rsidRPr="0082022E" w14:paraId="2E3F7E18" w14:textId="77777777" w:rsidTr="00000056">
        <w:tc>
          <w:tcPr>
            <w:tcW w:w="1774" w:type="pct"/>
            <w:shd w:val="clear" w:color="auto" w:fill="auto"/>
            <w:noWrap/>
          </w:tcPr>
          <w:p w14:paraId="68C63E2A"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“BNDES”</w:t>
            </w:r>
          </w:p>
        </w:tc>
        <w:tc>
          <w:tcPr>
            <w:tcW w:w="3226" w:type="pct"/>
            <w:shd w:val="clear" w:color="auto" w:fill="auto"/>
            <w:noWrap/>
          </w:tcPr>
          <w:p w14:paraId="184BC7DF" w14:textId="77777777"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Banco Nacional do Desenvolvimento Econômico e Social.</w:t>
            </w:r>
          </w:p>
        </w:tc>
      </w:tr>
      <w:tr w:rsidR="00773EC7" w:rsidRPr="00D8141D" w14:paraId="20D51ACE" w14:textId="77777777" w:rsidTr="00000056">
        <w:tc>
          <w:tcPr>
            <w:tcW w:w="1774" w:type="pct"/>
            <w:shd w:val="clear" w:color="auto" w:fill="auto"/>
            <w:noWrap/>
          </w:tcPr>
          <w:p w14:paraId="54D52E84"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“Brasil” ou “País”</w:t>
            </w:r>
          </w:p>
        </w:tc>
        <w:tc>
          <w:tcPr>
            <w:tcW w:w="3226" w:type="pct"/>
            <w:shd w:val="clear" w:color="auto" w:fill="auto"/>
            <w:noWrap/>
          </w:tcPr>
          <w:p w14:paraId="116668F4" w14:textId="77777777"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República Federativa do Brasil.</w:t>
            </w:r>
          </w:p>
        </w:tc>
      </w:tr>
      <w:tr w:rsidR="00D05A75" w:rsidRPr="0082022E" w14:paraId="56F54FED" w14:textId="77777777" w:rsidTr="00000056">
        <w:tc>
          <w:tcPr>
            <w:tcW w:w="1774" w:type="pct"/>
            <w:shd w:val="clear" w:color="auto" w:fill="auto"/>
            <w:noWrap/>
          </w:tcPr>
          <w:p w14:paraId="2A721339" w14:textId="77777777" w:rsidR="00D05A75" w:rsidRPr="00D8141D" w:rsidRDefault="00D05A75" w:rsidP="00D05A75">
            <w:pPr>
              <w:pStyle w:val="HOMEBRBodyText"/>
              <w:keepLines w:val="0"/>
              <w:widowControl w:val="0"/>
              <w:spacing w:after="140" w:line="290" w:lineRule="auto"/>
              <w:rPr>
                <w:rFonts w:eastAsia="Calibri" w:cs="Calibri"/>
                <w:b/>
                <w:lang w:val="pt-BR"/>
              </w:rPr>
            </w:pPr>
            <w:r w:rsidRPr="00D8141D">
              <w:rPr>
                <w:rFonts w:eastAsia="Calibri" w:cs="Calibri"/>
                <w:b/>
                <w:lang w:val="pt-BR"/>
              </w:rPr>
              <w:t>“Certificação”</w:t>
            </w:r>
          </w:p>
        </w:tc>
        <w:tc>
          <w:tcPr>
            <w:tcW w:w="3226" w:type="pct"/>
            <w:shd w:val="clear" w:color="auto" w:fill="auto"/>
            <w:noWrap/>
          </w:tcPr>
          <w:p w14:paraId="755848FF" w14:textId="77777777" w:rsidR="00D05A75" w:rsidRPr="00D8141D" w:rsidRDefault="00D05A75" w:rsidP="00D05A75">
            <w:pPr>
              <w:pStyle w:val="HOMEBRBodyText"/>
              <w:keepLines w:val="0"/>
              <w:widowControl w:val="0"/>
              <w:spacing w:after="140" w:line="290" w:lineRule="auto"/>
              <w:jc w:val="both"/>
              <w:rPr>
                <w:rFonts w:eastAsia="Calibri" w:cs="Calibri"/>
                <w:lang w:val="pt-BR"/>
              </w:rPr>
            </w:pPr>
            <w:r w:rsidRPr="00D8141D">
              <w:rPr>
                <w:rFonts w:eastAsia="Calibri" w:cs="Calibri"/>
                <w:lang w:val="pt-BR"/>
              </w:rPr>
              <w:t>Outras certificações em adição ao Parecer Independente</w:t>
            </w:r>
            <w:r w:rsidR="00F65F70" w:rsidRPr="00D8141D">
              <w:rPr>
                <w:rFonts w:eastAsia="Calibri" w:cs="Calibri"/>
                <w:lang w:val="pt-BR"/>
              </w:rPr>
              <w:t xml:space="preserve"> </w:t>
            </w:r>
            <w:r w:rsidRPr="00D8141D">
              <w:rPr>
                <w:rFonts w:eastAsia="Calibri" w:cs="Calibri"/>
                <w:lang w:val="pt-BR"/>
              </w:rPr>
              <w:t>e a Marcação ESG.</w:t>
            </w:r>
          </w:p>
        </w:tc>
      </w:tr>
      <w:tr w:rsidR="00773EC7" w:rsidRPr="0082022E" w14:paraId="69F2B572" w14:textId="77777777" w:rsidTr="00000056">
        <w:tc>
          <w:tcPr>
            <w:tcW w:w="1774" w:type="pct"/>
            <w:shd w:val="clear" w:color="auto" w:fill="auto"/>
            <w:noWrap/>
          </w:tcPr>
          <w:p w14:paraId="1C082984"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“CETIP21”</w:t>
            </w:r>
          </w:p>
        </w:tc>
        <w:tc>
          <w:tcPr>
            <w:tcW w:w="3226" w:type="pct"/>
            <w:shd w:val="clear" w:color="auto" w:fill="auto"/>
            <w:noWrap/>
          </w:tcPr>
          <w:p w14:paraId="002D6E72" w14:textId="77777777"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cs="Calibri"/>
                <w:lang w:val="pt-BR"/>
              </w:rPr>
              <w:t>CETIP21 – Títulos e Valores Mobiliários, administrado e o</w:t>
            </w:r>
            <w:r w:rsidRPr="00D8141D">
              <w:rPr>
                <w:rFonts w:eastAsia="Calibri" w:cs="Calibri"/>
                <w:lang w:val="pt-BR"/>
              </w:rPr>
              <w:t xml:space="preserve">peracionalizado pela </w:t>
            </w:r>
            <w:r w:rsidRPr="00D8141D">
              <w:rPr>
                <w:rFonts w:cs="Calibri"/>
                <w:lang w:val="pt-BR"/>
              </w:rPr>
              <w:t>B3</w:t>
            </w:r>
            <w:r w:rsidRPr="00D8141D">
              <w:rPr>
                <w:rFonts w:eastAsia="Calibri" w:cs="Calibri"/>
                <w:lang w:val="pt-BR"/>
              </w:rPr>
              <w:t>.</w:t>
            </w:r>
          </w:p>
        </w:tc>
      </w:tr>
      <w:tr w:rsidR="00773EC7" w:rsidRPr="00D8141D" w14:paraId="759183AC" w14:textId="77777777" w:rsidTr="00000056">
        <w:tc>
          <w:tcPr>
            <w:tcW w:w="1774" w:type="pct"/>
            <w:shd w:val="clear" w:color="auto" w:fill="auto"/>
            <w:noWrap/>
          </w:tcPr>
          <w:p w14:paraId="1F27D2CC"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“CMN”</w:t>
            </w:r>
          </w:p>
        </w:tc>
        <w:tc>
          <w:tcPr>
            <w:tcW w:w="3226" w:type="pct"/>
            <w:shd w:val="clear" w:color="auto" w:fill="auto"/>
            <w:noWrap/>
          </w:tcPr>
          <w:p w14:paraId="55CEB20D" w14:textId="77777777"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Conselho Monetário Nacional.</w:t>
            </w:r>
          </w:p>
        </w:tc>
      </w:tr>
      <w:tr w:rsidR="00773EC7" w:rsidRPr="0082022E" w14:paraId="0082BFC6" w14:textId="77777777" w:rsidTr="00000056">
        <w:tc>
          <w:tcPr>
            <w:tcW w:w="1774" w:type="pct"/>
            <w:shd w:val="clear" w:color="auto" w:fill="auto"/>
            <w:noWrap/>
          </w:tcPr>
          <w:p w14:paraId="6A754D5A"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“CNPJ/ME”</w:t>
            </w:r>
          </w:p>
        </w:tc>
        <w:tc>
          <w:tcPr>
            <w:tcW w:w="3226" w:type="pct"/>
            <w:shd w:val="clear" w:color="auto" w:fill="auto"/>
            <w:noWrap/>
          </w:tcPr>
          <w:p w14:paraId="312556E1" w14:textId="77777777"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Cadastro Nacional da Pessoa Jurídica no Ministério da Economia.</w:t>
            </w:r>
          </w:p>
        </w:tc>
      </w:tr>
      <w:tr w:rsidR="00773EC7" w:rsidRPr="0082022E" w14:paraId="59FCDA35" w14:textId="77777777" w:rsidTr="00000056">
        <w:tc>
          <w:tcPr>
            <w:tcW w:w="1774" w:type="pct"/>
            <w:shd w:val="clear" w:color="auto" w:fill="auto"/>
            <w:noWrap/>
          </w:tcPr>
          <w:p w14:paraId="3303ADBA"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“Código ANBIMA”</w:t>
            </w:r>
          </w:p>
        </w:tc>
        <w:tc>
          <w:tcPr>
            <w:tcW w:w="3226" w:type="pct"/>
            <w:shd w:val="clear" w:color="auto" w:fill="auto"/>
            <w:noWrap/>
          </w:tcPr>
          <w:p w14:paraId="2F2C8526" w14:textId="77777777"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cs="Calibri"/>
                <w:lang w:val="pt-BR"/>
              </w:rPr>
              <w:t>“</w:t>
            </w:r>
            <w:r w:rsidRPr="00D8141D">
              <w:rPr>
                <w:rFonts w:cs="Calibri"/>
                <w:i/>
                <w:lang w:val="pt-BR"/>
              </w:rPr>
              <w:t>Código ANBIMA de Regulação e Melhores Práticas para Estruturação, Coordenação e Distribuição de Ofertas Públicas de Valores Mobiliários</w:t>
            </w:r>
            <w:r w:rsidRPr="00D8141D">
              <w:rPr>
                <w:rFonts w:cs="Calibri"/>
                <w:lang w:val="pt-BR"/>
              </w:rPr>
              <w:t>”, em vigor desde 6 de maio de 2021.</w:t>
            </w:r>
          </w:p>
        </w:tc>
      </w:tr>
      <w:tr w:rsidR="00773EC7" w:rsidRPr="0082022E" w14:paraId="114BD44D" w14:textId="77777777" w:rsidTr="00000056">
        <w:tc>
          <w:tcPr>
            <w:tcW w:w="1774" w:type="pct"/>
            <w:shd w:val="clear" w:color="auto" w:fill="auto"/>
            <w:noWrap/>
          </w:tcPr>
          <w:p w14:paraId="544C0BD1"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“Código Civil”</w:t>
            </w:r>
          </w:p>
        </w:tc>
        <w:tc>
          <w:tcPr>
            <w:tcW w:w="3226" w:type="pct"/>
            <w:shd w:val="clear" w:color="auto" w:fill="auto"/>
            <w:noWrap/>
          </w:tcPr>
          <w:p w14:paraId="046E29F2" w14:textId="77777777" w:rsidR="00773EC7" w:rsidRPr="00D8141D" w:rsidRDefault="00773EC7" w:rsidP="00366E72">
            <w:pPr>
              <w:pStyle w:val="HOMEBRBodyText"/>
              <w:keepLines w:val="0"/>
              <w:widowControl w:val="0"/>
              <w:spacing w:after="140" w:line="290" w:lineRule="auto"/>
              <w:jc w:val="both"/>
              <w:rPr>
                <w:rFonts w:eastAsia="Calibri" w:cs="Calibri"/>
                <w:b/>
                <w:lang w:val="pt-BR"/>
              </w:rPr>
            </w:pPr>
            <w:r w:rsidRPr="00D8141D">
              <w:rPr>
                <w:rFonts w:cs="Calibri"/>
                <w:lang w:val="pt-BR"/>
              </w:rPr>
              <w:t>Lei nº 10.406, de 10 de janeiro de 2002, conforme alterada.</w:t>
            </w:r>
          </w:p>
        </w:tc>
      </w:tr>
      <w:tr w:rsidR="00773EC7" w:rsidRPr="0082022E" w14:paraId="6310D3A7" w14:textId="77777777" w:rsidTr="00000056">
        <w:tc>
          <w:tcPr>
            <w:tcW w:w="1774" w:type="pct"/>
            <w:shd w:val="clear" w:color="auto" w:fill="auto"/>
            <w:noWrap/>
          </w:tcPr>
          <w:p w14:paraId="251C47F8"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“Código de Processo Civil”</w:t>
            </w:r>
          </w:p>
        </w:tc>
        <w:tc>
          <w:tcPr>
            <w:tcW w:w="3226" w:type="pct"/>
            <w:shd w:val="clear" w:color="auto" w:fill="auto"/>
            <w:noWrap/>
          </w:tcPr>
          <w:p w14:paraId="4901BF33" w14:textId="77777777" w:rsidR="00773EC7" w:rsidRPr="00D8141D" w:rsidRDefault="00773EC7" w:rsidP="00366E72">
            <w:pPr>
              <w:pStyle w:val="HOMEBRBodyText"/>
              <w:keepLines w:val="0"/>
              <w:widowControl w:val="0"/>
              <w:spacing w:after="140" w:line="290" w:lineRule="auto"/>
              <w:jc w:val="both"/>
              <w:rPr>
                <w:rFonts w:cs="Calibri"/>
                <w:lang w:val="pt-BR"/>
              </w:rPr>
            </w:pPr>
            <w:r w:rsidRPr="00D8141D">
              <w:rPr>
                <w:rFonts w:cs="Calibri"/>
                <w:lang w:val="pt-BR"/>
              </w:rPr>
              <w:t>Lei nº 13.105, de 16 de março de 2015, conforme alterada.</w:t>
            </w:r>
          </w:p>
        </w:tc>
      </w:tr>
      <w:tr w:rsidR="00773EC7" w:rsidRPr="0082022E" w14:paraId="427FBD54" w14:textId="77777777" w:rsidTr="00000056">
        <w:tc>
          <w:tcPr>
            <w:tcW w:w="1774" w:type="pct"/>
            <w:shd w:val="clear" w:color="auto" w:fill="auto"/>
            <w:noWrap/>
          </w:tcPr>
          <w:p w14:paraId="17949C7D"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“Comissionamento”</w:t>
            </w:r>
          </w:p>
        </w:tc>
        <w:tc>
          <w:tcPr>
            <w:tcW w:w="3226" w:type="pct"/>
            <w:shd w:val="clear" w:color="auto" w:fill="auto"/>
            <w:noWrap/>
          </w:tcPr>
          <w:p w14:paraId="3B4433B0" w14:textId="366D0EEF"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cs="Calibri"/>
                <w:lang w:val="pt-BR"/>
              </w:rPr>
              <w:t xml:space="preserve">Remuneração devida ao Coordenador Líder pelo </w:t>
            </w:r>
            <w:r w:rsidRPr="00D8141D">
              <w:rPr>
                <w:rFonts w:eastAsia="Calibri" w:cs="Calibri"/>
                <w:lang w:val="pt-BR"/>
              </w:rPr>
              <w:t>desempenho das obrigações previstas no Contrato de Distribuição</w:t>
            </w:r>
            <w:r w:rsidR="00C02CC2" w:rsidRPr="00D8141D">
              <w:rPr>
                <w:rFonts w:eastAsia="Calibri" w:cs="Calibri"/>
                <w:lang w:val="pt-BR"/>
              </w:rPr>
              <w:t xml:space="preserve"> e no Primeiro </w:t>
            </w:r>
            <w:r w:rsidR="00625ECE" w:rsidRPr="00D8141D">
              <w:rPr>
                <w:rFonts w:eastAsia="Calibri" w:cs="Calibri"/>
                <w:lang w:val="pt-BR"/>
              </w:rPr>
              <w:t xml:space="preserve">Aditamento </w:t>
            </w:r>
            <w:r w:rsidR="00C02CC2" w:rsidRPr="00D8141D">
              <w:rPr>
                <w:rFonts w:eastAsia="Calibri" w:cs="Calibri"/>
                <w:lang w:val="pt-BR"/>
              </w:rPr>
              <w:t>ao Contrato de Distribuição</w:t>
            </w:r>
            <w:r w:rsidRPr="00D8141D">
              <w:rPr>
                <w:rFonts w:eastAsia="Calibri" w:cs="Calibri"/>
                <w:lang w:val="pt-BR"/>
              </w:rPr>
              <w:t xml:space="preserve">, conforme identificadas na seção “Informações Relativas à Emissão, à Oferta e às Debêntures – Contrato de Distribuição – Comissionamento </w:t>
            </w:r>
            <w:r w:rsidR="00560AC5" w:rsidRPr="00D8141D">
              <w:rPr>
                <w:rFonts w:eastAsia="Calibri" w:cs="Calibri"/>
                <w:lang w:val="pt-BR"/>
              </w:rPr>
              <w:t>do Coordenador Líder</w:t>
            </w:r>
            <w:r w:rsidRPr="00D8141D">
              <w:rPr>
                <w:rFonts w:eastAsia="Calibri" w:cs="Calibri"/>
                <w:lang w:val="pt-BR"/>
              </w:rPr>
              <w:t xml:space="preserve">”, na página </w:t>
            </w:r>
            <w:r w:rsidR="00D22E18" w:rsidRPr="00D8141D">
              <w:rPr>
                <w:rFonts w:eastAsia="Calibri" w:cs="Calibri"/>
                <w:lang w:val="pt-BR"/>
              </w:rPr>
              <w:fldChar w:fldCharType="begin"/>
            </w:r>
            <w:r w:rsidR="00D22E18" w:rsidRPr="00D8141D">
              <w:rPr>
                <w:rFonts w:eastAsia="Calibri" w:cs="Calibri"/>
                <w:lang w:val="pt-BR"/>
              </w:rPr>
              <w:instrText xml:space="preserve"> PAGEREF _Ref90051615 \h </w:instrText>
            </w:r>
            <w:r w:rsidR="00D22E18" w:rsidRPr="00D8141D">
              <w:rPr>
                <w:rFonts w:eastAsia="Calibri" w:cs="Calibri"/>
                <w:lang w:val="pt-BR"/>
              </w:rPr>
            </w:r>
            <w:r w:rsidR="00D22E18" w:rsidRPr="00D8141D">
              <w:rPr>
                <w:rFonts w:eastAsia="Calibri" w:cs="Calibri"/>
                <w:lang w:val="pt-BR"/>
              </w:rPr>
              <w:fldChar w:fldCharType="separate"/>
            </w:r>
            <w:r w:rsidR="001166EA">
              <w:rPr>
                <w:rFonts w:eastAsia="Calibri" w:cs="Calibri"/>
                <w:noProof/>
                <w:lang w:val="pt-BR"/>
              </w:rPr>
              <w:t>114</w:t>
            </w:r>
            <w:r w:rsidR="00D22E18" w:rsidRPr="00D8141D">
              <w:rPr>
                <w:rFonts w:eastAsia="Calibri" w:cs="Calibri"/>
                <w:lang w:val="pt-BR"/>
              </w:rPr>
              <w:fldChar w:fldCharType="end"/>
            </w:r>
            <w:r w:rsidR="00BE013B" w:rsidRPr="00D8141D">
              <w:rPr>
                <w:rFonts w:eastAsia="Calibri" w:cs="Calibri"/>
                <w:lang w:val="pt-BR"/>
              </w:rPr>
              <w:t xml:space="preserve"> </w:t>
            </w:r>
            <w:r w:rsidRPr="00D8141D">
              <w:rPr>
                <w:rFonts w:eastAsia="Calibri" w:cs="Calibri"/>
                <w:lang w:val="pt-BR"/>
              </w:rPr>
              <w:t>deste Prospecto.</w:t>
            </w:r>
          </w:p>
        </w:tc>
      </w:tr>
      <w:tr w:rsidR="00AA58A3" w:rsidRPr="0082022E" w14:paraId="11960E2A" w14:textId="77777777" w:rsidTr="00000056">
        <w:tc>
          <w:tcPr>
            <w:tcW w:w="1774" w:type="pct"/>
            <w:shd w:val="clear" w:color="auto" w:fill="auto"/>
          </w:tcPr>
          <w:p w14:paraId="398F29EA" w14:textId="77777777" w:rsidR="00AA58A3" w:rsidRPr="00D8141D" w:rsidRDefault="00AA58A3" w:rsidP="00AA58A3">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“Comissão de Coordenação e Estruturação”</w:t>
            </w:r>
          </w:p>
        </w:tc>
        <w:tc>
          <w:tcPr>
            <w:tcW w:w="3226" w:type="pct"/>
            <w:shd w:val="clear" w:color="auto" w:fill="auto"/>
          </w:tcPr>
          <w:p w14:paraId="4447CD26" w14:textId="77777777" w:rsidR="00AA58A3" w:rsidRPr="00D8141D" w:rsidRDefault="00AA58A3" w:rsidP="00AA58A3">
            <w:pPr>
              <w:pStyle w:val="HOMEBRBodyText"/>
              <w:widowControl w:val="0"/>
              <w:spacing w:after="140" w:line="290" w:lineRule="auto"/>
              <w:jc w:val="both"/>
              <w:rPr>
                <w:rFonts w:cs="Calibri"/>
                <w:lang w:val="pt-BR"/>
              </w:rPr>
            </w:pPr>
            <w:r w:rsidRPr="00D8141D">
              <w:rPr>
                <w:rFonts w:cs="Calibri"/>
                <w:color w:val="000000"/>
                <w:lang w:val="pt-BR"/>
              </w:rPr>
              <w:t xml:space="preserve">Valor devido pela </w:t>
            </w:r>
            <w:r w:rsidRPr="00D8141D">
              <w:rPr>
                <w:rFonts w:cs="Calibri"/>
                <w:lang w:val="pt-BR"/>
              </w:rPr>
              <w:t>Emissora</w:t>
            </w:r>
            <w:r w:rsidRPr="00D8141D">
              <w:rPr>
                <w:rFonts w:cs="Calibri"/>
                <w:color w:val="000000"/>
                <w:lang w:val="pt-BR"/>
              </w:rPr>
              <w:t xml:space="preserve"> ao Coordenador Líder, na última Data de Liquidação da Emissão, à título de uma comissão de 0,40% (quarenta centésimos por cento), multiplicado pelo volume financeiro total de Debêntures efetivamente emitidas e distribuídas.</w:t>
            </w:r>
          </w:p>
        </w:tc>
      </w:tr>
      <w:tr w:rsidR="00AA58A3" w:rsidRPr="0082022E" w14:paraId="14970494" w14:textId="77777777" w:rsidTr="00000056">
        <w:tc>
          <w:tcPr>
            <w:tcW w:w="1774" w:type="pct"/>
            <w:shd w:val="clear" w:color="auto" w:fill="auto"/>
          </w:tcPr>
          <w:p w14:paraId="44AA0F30" w14:textId="77777777" w:rsidR="00AA58A3" w:rsidRPr="00D8141D" w:rsidRDefault="00AA58A3" w:rsidP="00AA58A3">
            <w:pPr>
              <w:pStyle w:val="HOMEBRBodyText"/>
              <w:keepLines w:val="0"/>
              <w:widowControl w:val="0"/>
              <w:spacing w:after="140" w:line="290" w:lineRule="auto"/>
              <w:rPr>
                <w:rFonts w:eastAsia="Calibri" w:cs="Calibri"/>
                <w:b/>
                <w:lang w:val="pt-BR"/>
              </w:rPr>
            </w:pPr>
            <w:r w:rsidRPr="00D8141D">
              <w:rPr>
                <w:rFonts w:eastAsia="Calibri" w:cs="Calibri"/>
                <w:b/>
                <w:lang w:val="pt-BR"/>
              </w:rPr>
              <w:t>“Comissão de Garantia Firme”</w:t>
            </w:r>
          </w:p>
        </w:tc>
        <w:tc>
          <w:tcPr>
            <w:tcW w:w="3226" w:type="pct"/>
            <w:shd w:val="clear" w:color="auto" w:fill="auto"/>
          </w:tcPr>
          <w:p w14:paraId="4B158B8A" w14:textId="77777777" w:rsidR="00AA58A3" w:rsidRPr="00D8141D" w:rsidRDefault="00AA58A3" w:rsidP="00AA58A3">
            <w:pPr>
              <w:pStyle w:val="HOMEBRBodyText"/>
              <w:widowControl w:val="0"/>
              <w:spacing w:after="140" w:line="290" w:lineRule="auto"/>
              <w:jc w:val="both"/>
              <w:rPr>
                <w:rFonts w:cs="Calibri"/>
                <w:lang w:val="pt-BR"/>
              </w:rPr>
            </w:pPr>
            <w:r w:rsidRPr="00D8141D">
              <w:rPr>
                <w:rFonts w:cs="Calibri"/>
                <w:color w:val="000000"/>
                <w:lang w:val="pt-BR"/>
              </w:rPr>
              <w:t>Valor equivalente ao percentual de 0,10% (dez centésimos por cento) incidente sobre o volume financeiro de Debêntures objeto da Garantia Firme, pago ao Coordenador Líder na proporção da Garantia Firme, independentemente do seu exercício.</w:t>
            </w:r>
          </w:p>
        </w:tc>
      </w:tr>
      <w:tr w:rsidR="00AA58A3" w:rsidRPr="0082022E" w14:paraId="3C43DFFA" w14:textId="77777777" w:rsidTr="00000056">
        <w:tc>
          <w:tcPr>
            <w:tcW w:w="1774" w:type="pct"/>
            <w:shd w:val="clear" w:color="auto" w:fill="auto"/>
          </w:tcPr>
          <w:p w14:paraId="00975446" w14:textId="77777777" w:rsidR="00AA58A3" w:rsidRPr="00D8141D" w:rsidRDefault="00AA58A3" w:rsidP="00AA58A3">
            <w:pPr>
              <w:pStyle w:val="HOMEBRBodyText"/>
              <w:keepLines w:val="0"/>
              <w:widowControl w:val="0"/>
              <w:spacing w:after="140" w:line="290" w:lineRule="auto"/>
              <w:rPr>
                <w:rFonts w:eastAsia="Calibri" w:cs="Calibri"/>
                <w:b/>
                <w:lang w:val="pt-BR"/>
              </w:rPr>
            </w:pPr>
            <w:r w:rsidRPr="00D8141D">
              <w:rPr>
                <w:rFonts w:eastAsia="Calibri" w:cs="Calibri"/>
                <w:b/>
                <w:lang w:val="pt-BR"/>
              </w:rPr>
              <w:t>“Comissão de Sucesso”</w:t>
            </w:r>
          </w:p>
        </w:tc>
        <w:tc>
          <w:tcPr>
            <w:tcW w:w="3226" w:type="pct"/>
            <w:shd w:val="clear" w:color="auto" w:fill="auto"/>
          </w:tcPr>
          <w:p w14:paraId="48889EE0" w14:textId="77777777" w:rsidR="00AA58A3" w:rsidRPr="00D8141D" w:rsidRDefault="00AA58A3" w:rsidP="00AA58A3">
            <w:pPr>
              <w:pStyle w:val="HOMEBRBodyText"/>
              <w:widowControl w:val="0"/>
              <w:spacing w:after="140" w:line="290" w:lineRule="auto"/>
              <w:jc w:val="both"/>
              <w:rPr>
                <w:rFonts w:cs="Calibri"/>
                <w:lang w:val="pt-BR"/>
              </w:rPr>
            </w:pPr>
            <w:r w:rsidRPr="00D8141D">
              <w:rPr>
                <w:rFonts w:cs="Calibri"/>
                <w:color w:val="000000"/>
                <w:lang w:val="pt-BR"/>
              </w:rPr>
              <w:t xml:space="preserve">Valor equivalente ao percentual de 30% (trinta </w:t>
            </w:r>
            <w:r w:rsidRPr="00D8141D">
              <w:rPr>
                <w:rFonts w:cs="Calibri"/>
                <w:lang w:val="pt-BR"/>
              </w:rPr>
              <w:t>por cento</w:t>
            </w:r>
            <w:r w:rsidRPr="00D8141D">
              <w:rPr>
                <w:rFonts w:cs="Calibri"/>
                <w:color w:val="000000"/>
                <w:lang w:val="pt-BR"/>
              </w:rPr>
              <w:t xml:space="preserve">), incidente sobre o produto entre (i) o prazo médio dos referidos debêntures, (ii) a diferença entre a taxa teto de remuneração do investidor, e a taxa final de remuneração conforme definida no Procedimento de </w:t>
            </w:r>
            <w:r w:rsidRPr="00D8141D">
              <w:rPr>
                <w:rFonts w:cs="Calibri"/>
                <w:i/>
                <w:iCs/>
                <w:color w:val="000000"/>
                <w:lang w:val="pt-BR"/>
              </w:rPr>
              <w:t>Bookbuilding</w:t>
            </w:r>
            <w:r w:rsidRPr="00D8141D">
              <w:rPr>
                <w:rFonts w:cs="Calibri"/>
                <w:color w:val="000000"/>
                <w:lang w:val="pt-BR"/>
              </w:rPr>
              <w:t>, e (iii) o valor nominal da totalidade das Debêntures efetivamente subscritas e integralizadas</w:t>
            </w:r>
            <w:r w:rsidR="00DB205D" w:rsidRPr="00D8141D">
              <w:rPr>
                <w:rFonts w:cs="Calibri"/>
                <w:color w:val="000000"/>
                <w:spacing w:val="-6"/>
                <w:lang w:val="pt-BR"/>
              </w:rPr>
              <w:t>.</w:t>
            </w:r>
          </w:p>
        </w:tc>
      </w:tr>
      <w:tr w:rsidR="00AA58A3" w:rsidRPr="0082022E" w14:paraId="75174AE3" w14:textId="77777777" w:rsidTr="00000056">
        <w:tc>
          <w:tcPr>
            <w:tcW w:w="1774" w:type="pct"/>
            <w:shd w:val="clear" w:color="auto" w:fill="auto"/>
          </w:tcPr>
          <w:p w14:paraId="12F44EA4" w14:textId="77777777" w:rsidR="00AA58A3" w:rsidRPr="00D8141D" w:rsidRDefault="00AA58A3" w:rsidP="00AA58A3">
            <w:pPr>
              <w:pStyle w:val="HOMEBRBodyText"/>
              <w:keepLines w:val="0"/>
              <w:widowControl w:val="0"/>
              <w:spacing w:after="140" w:line="290" w:lineRule="auto"/>
              <w:rPr>
                <w:rFonts w:eastAsia="Calibri" w:cs="Calibri"/>
                <w:b/>
                <w:lang w:val="pt-BR"/>
              </w:rPr>
            </w:pPr>
            <w:r w:rsidRPr="00D8141D">
              <w:rPr>
                <w:rFonts w:eastAsia="Calibri" w:cs="Calibri"/>
                <w:b/>
                <w:lang w:val="pt-BR"/>
              </w:rPr>
              <w:t>“Comissão de Remuneração dos Canais de Distribuição”</w:t>
            </w:r>
          </w:p>
        </w:tc>
        <w:tc>
          <w:tcPr>
            <w:tcW w:w="3226" w:type="pct"/>
            <w:shd w:val="clear" w:color="auto" w:fill="auto"/>
          </w:tcPr>
          <w:p w14:paraId="4179B4BB" w14:textId="77777777" w:rsidR="00AA58A3" w:rsidRPr="00D8141D" w:rsidRDefault="00AA58A3" w:rsidP="00AA58A3">
            <w:pPr>
              <w:pStyle w:val="HOMEBRBodyText"/>
              <w:widowControl w:val="0"/>
              <w:spacing w:after="140" w:line="290" w:lineRule="auto"/>
              <w:jc w:val="both"/>
              <w:rPr>
                <w:rFonts w:cs="Calibri"/>
                <w:lang w:val="pt-BR"/>
              </w:rPr>
            </w:pPr>
            <w:r w:rsidRPr="00D8141D">
              <w:rPr>
                <w:rFonts w:cs="Calibri"/>
                <w:color w:val="000000"/>
                <w:lang w:val="pt-BR"/>
              </w:rPr>
              <w:t>Valor equivalente ao percentual de 0,25% a.a. (vinte e cinco centésimos por cento ao ano) sobre o volume financeiro total de Debêntures efetivamente emitidas e distribuídas, multiplicado pelo prazo médio da operação.</w:t>
            </w:r>
          </w:p>
        </w:tc>
      </w:tr>
      <w:tr w:rsidR="00537BB1" w:rsidRPr="0082022E" w14:paraId="335BACA0" w14:textId="77777777" w:rsidTr="00000056">
        <w:tc>
          <w:tcPr>
            <w:tcW w:w="1774" w:type="pct"/>
            <w:shd w:val="clear" w:color="auto" w:fill="auto"/>
            <w:noWrap/>
          </w:tcPr>
          <w:p w14:paraId="644DA34A" w14:textId="77777777" w:rsidR="00537BB1" w:rsidRPr="00D8141D" w:rsidRDefault="00537BB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“Comunicação de Oferta de Resgate Antecipado Facultativo”</w:t>
            </w:r>
          </w:p>
        </w:tc>
        <w:tc>
          <w:tcPr>
            <w:tcW w:w="3226" w:type="pct"/>
            <w:shd w:val="clear" w:color="auto" w:fill="auto"/>
            <w:noWrap/>
          </w:tcPr>
          <w:p w14:paraId="117E3FA1" w14:textId="77777777" w:rsidR="00537BB1" w:rsidRPr="00D8141D" w:rsidRDefault="00537BB1" w:rsidP="00366E72">
            <w:pPr>
              <w:pStyle w:val="HOMEBRBodyText"/>
              <w:keepLines w:val="0"/>
              <w:widowControl w:val="0"/>
              <w:spacing w:after="140" w:line="290" w:lineRule="auto"/>
              <w:jc w:val="both"/>
              <w:rPr>
                <w:rFonts w:cs="Calibri"/>
                <w:lang w:val="pt-BR"/>
              </w:rPr>
            </w:pPr>
            <w:r w:rsidRPr="00D8141D">
              <w:rPr>
                <w:rFonts w:cs="Calibri"/>
                <w:lang w:val="pt-BR"/>
              </w:rPr>
              <w:t xml:space="preserve">Comunicação individual </w:t>
            </w:r>
            <w:r w:rsidR="00933851" w:rsidRPr="00D8141D">
              <w:rPr>
                <w:rFonts w:cs="Calibri"/>
                <w:lang w:val="pt-BR"/>
              </w:rPr>
              <w:t>a ser</w:t>
            </w:r>
            <w:r w:rsidRPr="00D8141D">
              <w:rPr>
                <w:rFonts w:cs="Calibri"/>
                <w:lang w:val="pt-BR"/>
              </w:rPr>
              <w:t xml:space="preserve"> enviada aos Debenturistas, pela Emissora, com cópia para o Agente Fiduciário, ou </w:t>
            </w:r>
            <w:r w:rsidRPr="00B63002">
              <w:rPr>
                <w:lang w:val="pt-BR"/>
              </w:rPr>
              <w:t xml:space="preserve">publicação de anúncio, nos termos da Escritura de Emissão, com 30 (trinta) Dias Úteis de antecedência da data em que se pretende realizar a Oferta de Resgate Antecipado, sendo que na referida comunicação deverá constar: </w:t>
            </w:r>
            <w:r w:rsidR="00F753FD" w:rsidRPr="00B63002">
              <w:rPr>
                <w:lang w:val="pt-BR"/>
              </w:rPr>
              <w:t xml:space="preserve">(a) se a Oferta de Resgate Antecipado será relativa a totalidade ou a parte das Debêntures e, no caso de Oferta de Resgate Antecipado parcial das Debêntures, indicar as Debêntures objeto da referida oferta, observado o limite de 50% (cinquenta por cento) da totalidade das Debêntures de uma respectiva Série; (b) o valor do prêmio de resgate, à critério da Emissora, que caso existente não poderá ser negativo; (c) forma de manifestação, à Emissora, pelo Debenturista que aceitar a Oferta de Resgate Antecipado; (d) a data efetiva para o resgate das Debêntures e </w:t>
            </w:r>
            <w:r w:rsidR="00F753FD" w:rsidRPr="00B63002">
              <w:rPr>
                <w:lang w:val="pt-BR"/>
              </w:rPr>
              <w:lastRenderedPageBreak/>
              <w:t>pagamento aos Debenturistas, que deverá ser um Dia Útil; e (e) demais informações necessárias para tomada de decisão e operacionalização pelos Debenturistas</w:t>
            </w:r>
            <w:r w:rsidRPr="00B63002">
              <w:rPr>
                <w:lang w:val="pt-BR"/>
              </w:rPr>
              <w:t>.</w:t>
            </w:r>
          </w:p>
        </w:tc>
      </w:tr>
      <w:tr w:rsidR="00773EC7" w:rsidRPr="0082022E" w14:paraId="185A8A72" w14:textId="77777777" w:rsidTr="00000056">
        <w:tc>
          <w:tcPr>
            <w:tcW w:w="1774" w:type="pct"/>
            <w:shd w:val="clear" w:color="auto" w:fill="auto"/>
            <w:noWrap/>
          </w:tcPr>
          <w:p w14:paraId="5EFA453F"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“Condições Precedentes”</w:t>
            </w:r>
          </w:p>
        </w:tc>
        <w:tc>
          <w:tcPr>
            <w:tcW w:w="3226" w:type="pct"/>
            <w:shd w:val="clear" w:color="auto" w:fill="auto"/>
            <w:noWrap/>
          </w:tcPr>
          <w:p w14:paraId="423F7AE5" w14:textId="77777777" w:rsidR="00773EC7" w:rsidRPr="00D8141D" w:rsidRDefault="00773EC7" w:rsidP="008D7C7A">
            <w:pPr>
              <w:pStyle w:val="HOMEBRBodyText"/>
              <w:keepLines w:val="0"/>
              <w:widowControl w:val="0"/>
              <w:spacing w:after="140"/>
              <w:jc w:val="both"/>
              <w:rPr>
                <w:rFonts w:cs="Calibri"/>
                <w:lang w:val="pt-BR"/>
              </w:rPr>
            </w:pPr>
            <w:r w:rsidRPr="00D8141D">
              <w:rPr>
                <w:rFonts w:cs="Calibri"/>
                <w:lang w:val="pt-BR"/>
              </w:rPr>
              <w:t xml:space="preserve">Condições suspensivas descritas na Cláusula </w:t>
            </w:r>
            <w:r w:rsidR="00482D7E" w:rsidRPr="00D8141D">
              <w:rPr>
                <w:rFonts w:cs="Calibri"/>
                <w:lang w:val="pt-BR"/>
              </w:rPr>
              <w:t>3</w:t>
            </w:r>
            <w:r w:rsidRPr="00D8141D">
              <w:rPr>
                <w:rFonts w:cs="Calibri"/>
                <w:lang w:val="pt-BR"/>
              </w:rPr>
              <w:t xml:space="preserve"> do Contrato de Distribuição</w:t>
            </w:r>
            <w:r w:rsidR="00C02CC2" w:rsidRPr="00D8141D">
              <w:rPr>
                <w:rFonts w:cs="Calibri"/>
                <w:lang w:val="pt-BR"/>
              </w:rPr>
              <w:t xml:space="preserve"> e no Primeiro Aditamento ao Contrato de Distribuição</w:t>
            </w:r>
            <w:r w:rsidRPr="00D8141D">
              <w:rPr>
                <w:rFonts w:cs="Calibri"/>
                <w:lang w:val="pt-BR"/>
              </w:rPr>
              <w:t>, nos termos do artigo 125 do Código Civil.</w:t>
            </w:r>
          </w:p>
        </w:tc>
      </w:tr>
      <w:tr w:rsidR="00773EC7" w:rsidRPr="0082022E" w14:paraId="3D94010D" w14:textId="77777777" w:rsidTr="00000056">
        <w:tc>
          <w:tcPr>
            <w:tcW w:w="1774" w:type="pct"/>
            <w:shd w:val="clear" w:color="auto" w:fill="auto"/>
            <w:noWrap/>
          </w:tcPr>
          <w:p w14:paraId="647DF66D"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“Conselho de Administração”</w:t>
            </w:r>
          </w:p>
        </w:tc>
        <w:tc>
          <w:tcPr>
            <w:tcW w:w="3226" w:type="pct"/>
            <w:shd w:val="clear" w:color="auto" w:fill="auto"/>
            <w:noWrap/>
          </w:tcPr>
          <w:p w14:paraId="4F63AA95" w14:textId="77777777" w:rsidR="00773EC7" w:rsidRPr="00D8141D" w:rsidRDefault="00773EC7" w:rsidP="008D7C7A">
            <w:pPr>
              <w:pStyle w:val="HOMEBRBodyText"/>
              <w:keepLines w:val="0"/>
              <w:widowControl w:val="0"/>
              <w:spacing w:after="140"/>
              <w:jc w:val="both"/>
              <w:rPr>
                <w:rFonts w:eastAsia="Calibri" w:cs="Calibri"/>
                <w:lang w:val="pt-BR"/>
              </w:rPr>
            </w:pPr>
            <w:r w:rsidRPr="00D8141D">
              <w:rPr>
                <w:rFonts w:eastAsia="Calibri" w:cs="Calibri"/>
                <w:lang w:val="pt-BR"/>
              </w:rPr>
              <w:t xml:space="preserve">Conselho de Administração da Emissora. </w:t>
            </w:r>
          </w:p>
        </w:tc>
      </w:tr>
      <w:tr w:rsidR="00773EC7" w:rsidRPr="0082022E" w14:paraId="76EA19BF" w14:textId="77777777" w:rsidTr="00000056">
        <w:tc>
          <w:tcPr>
            <w:tcW w:w="1774" w:type="pct"/>
            <w:shd w:val="clear" w:color="auto" w:fill="auto"/>
            <w:noWrap/>
          </w:tcPr>
          <w:p w14:paraId="71F93147"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“Contrato de Distribuição”</w:t>
            </w:r>
          </w:p>
        </w:tc>
        <w:tc>
          <w:tcPr>
            <w:tcW w:w="3226" w:type="pct"/>
            <w:shd w:val="clear" w:color="auto" w:fill="auto"/>
            <w:noWrap/>
          </w:tcPr>
          <w:p w14:paraId="7FE45DA9" w14:textId="77777777" w:rsidR="00773EC7" w:rsidRPr="00D8141D" w:rsidRDefault="00773EC7" w:rsidP="008D7C7A">
            <w:pPr>
              <w:pStyle w:val="HOMEBRBodyText"/>
              <w:keepLines w:val="0"/>
              <w:widowControl w:val="0"/>
              <w:spacing w:after="140"/>
              <w:jc w:val="both"/>
              <w:rPr>
                <w:rFonts w:eastAsia="Calibri" w:cs="Calibri"/>
                <w:lang w:val="pt-BR"/>
              </w:rPr>
            </w:pPr>
            <w:r w:rsidRPr="00D8141D">
              <w:rPr>
                <w:rFonts w:cs="Calibri"/>
                <w:kern w:val="16"/>
                <w:lang w:val="pt-BR"/>
              </w:rPr>
              <w:t>“</w:t>
            </w:r>
            <w:r w:rsidRPr="00D8141D">
              <w:rPr>
                <w:rFonts w:cs="Calibri"/>
                <w:i/>
                <w:kern w:val="16"/>
                <w:lang w:val="pt-BR"/>
              </w:rPr>
              <w:t>Contrato de Coordenação, Colocação e Distribuição Pública, sob o Regime de Garantia Firme de Colocação, de Debêntures</w:t>
            </w:r>
            <w:r w:rsidR="00047A4B" w:rsidRPr="00D8141D">
              <w:rPr>
                <w:rFonts w:cs="Calibri"/>
                <w:i/>
                <w:kern w:val="16"/>
                <w:lang w:val="pt-BR"/>
              </w:rPr>
              <w:t xml:space="preserve"> Simples</w:t>
            </w:r>
            <w:r w:rsidRPr="00D8141D">
              <w:rPr>
                <w:rFonts w:cs="Calibri"/>
                <w:i/>
                <w:kern w:val="16"/>
                <w:lang w:val="pt-BR"/>
              </w:rPr>
              <w:t>, Não Conversíveis em Ações, da Espécie Quirografária, em até Duas Séries, da 4ª (quarta) Emissão da São Martinho  S.A.</w:t>
            </w:r>
            <w:r w:rsidRPr="00D8141D">
              <w:rPr>
                <w:rFonts w:cs="Calibri"/>
                <w:lang w:val="pt-BR"/>
              </w:rPr>
              <w:t>”</w:t>
            </w:r>
            <w:r w:rsidRPr="00D8141D">
              <w:rPr>
                <w:rFonts w:eastAsia="Calibri" w:cs="Calibri"/>
                <w:lang w:val="pt-BR"/>
              </w:rPr>
              <w:t xml:space="preserve">, celebrado em </w:t>
            </w:r>
            <w:r w:rsidR="00DB205D" w:rsidRPr="00D8141D">
              <w:rPr>
                <w:rFonts w:cs="Calibri"/>
                <w:lang w:val="pt-BR"/>
              </w:rPr>
              <w:t>13</w:t>
            </w:r>
            <w:r w:rsidRPr="00D8141D">
              <w:rPr>
                <w:rFonts w:eastAsia="Calibri" w:cs="Calibri"/>
                <w:lang w:val="pt-BR"/>
              </w:rPr>
              <w:t xml:space="preserve"> de </w:t>
            </w:r>
            <w:r w:rsidR="00E52581" w:rsidRPr="00D8141D">
              <w:rPr>
                <w:rFonts w:cs="Calibri"/>
                <w:lang w:val="pt-BR"/>
              </w:rPr>
              <w:t>dezembro</w:t>
            </w:r>
            <w:r w:rsidR="00E52581" w:rsidRPr="00D8141D">
              <w:rPr>
                <w:rFonts w:eastAsia="Calibri" w:cs="Calibri"/>
                <w:lang w:val="pt-BR"/>
              </w:rPr>
              <w:t xml:space="preserve"> </w:t>
            </w:r>
            <w:r w:rsidRPr="00D8141D">
              <w:rPr>
                <w:rFonts w:eastAsia="Calibri" w:cs="Calibri"/>
                <w:lang w:val="pt-BR"/>
              </w:rPr>
              <w:t xml:space="preserve">de </w:t>
            </w:r>
            <w:r w:rsidR="00E52581" w:rsidRPr="00D8141D">
              <w:rPr>
                <w:rFonts w:cs="Calibri"/>
                <w:lang w:val="pt-BR"/>
              </w:rPr>
              <w:t>2021</w:t>
            </w:r>
            <w:r w:rsidR="00E52581" w:rsidRPr="00D8141D">
              <w:rPr>
                <w:rFonts w:eastAsia="Calibri" w:cs="Calibri"/>
                <w:lang w:val="pt-BR"/>
              </w:rPr>
              <w:t xml:space="preserve">, </w:t>
            </w:r>
            <w:r w:rsidR="00C41809" w:rsidRPr="00D8141D">
              <w:rPr>
                <w:rFonts w:eastAsia="Calibri" w:cs="Calibri"/>
                <w:lang w:val="pt-BR"/>
              </w:rPr>
              <w:t xml:space="preserve">conforme alterado, </w:t>
            </w:r>
            <w:r w:rsidRPr="00D8141D">
              <w:rPr>
                <w:rFonts w:eastAsia="Calibri" w:cs="Calibri"/>
                <w:lang w:val="pt-BR"/>
              </w:rPr>
              <w:t>entre a Emissora e o Coordenador Líder.</w:t>
            </w:r>
          </w:p>
        </w:tc>
      </w:tr>
      <w:tr w:rsidR="00773EC7" w:rsidRPr="0082022E" w14:paraId="3E27B4A5" w14:textId="77777777" w:rsidTr="00000056">
        <w:tc>
          <w:tcPr>
            <w:tcW w:w="1774" w:type="pct"/>
            <w:shd w:val="clear" w:color="auto" w:fill="auto"/>
            <w:noWrap/>
          </w:tcPr>
          <w:p w14:paraId="0DEAB03F"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“Coordenador Líder” ou “XP</w:t>
            </w:r>
            <w:r w:rsidR="00F112FF" w:rsidRPr="00D8141D">
              <w:rPr>
                <w:rFonts w:eastAsia="Calibri" w:cs="Calibri"/>
                <w:b/>
                <w:lang w:val="pt-BR"/>
              </w:rPr>
              <w:t xml:space="preserve"> Investimentos</w:t>
            </w:r>
            <w:r w:rsidRPr="00D8141D">
              <w:rPr>
                <w:rFonts w:eastAsia="Calibri" w:cs="Calibri"/>
                <w:b/>
                <w:lang w:val="pt-BR"/>
              </w:rPr>
              <w:t>”</w:t>
            </w:r>
          </w:p>
        </w:tc>
        <w:tc>
          <w:tcPr>
            <w:tcW w:w="3226" w:type="pct"/>
            <w:shd w:val="clear" w:color="auto" w:fill="auto"/>
            <w:noWrap/>
          </w:tcPr>
          <w:p w14:paraId="7F781E19" w14:textId="77777777" w:rsidR="00773EC7" w:rsidRPr="00D8141D" w:rsidRDefault="00482D7E" w:rsidP="00366E72">
            <w:pPr>
              <w:pStyle w:val="HOMEBRBodyText"/>
              <w:keepLines w:val="0"/>
              <w:widowControl w:val="0"/>
              <w:spacing w:after="140" w:line="290" w:lineRule="auto"/>
              <w:jc w:val="both"/>
              <w:rPr>
                <w:rFonts w:eastAsia="Calibri" w:cs="Calibri"/>
                <w:lang w:val="pt-BR"/>
              </w:rPr>
            </w:pPr>
            <w:r w:rsidRPr="00D8141D">
              <w:rPr>
                <w:rFonts w:cs="Calibri"/>
                <w:b/>
                <w:lang w:val="pt-BR"/>
              </w:rPr>
              <w:t>XP INVESTIMENTOS CORRETORA DE CÂMBIO, TÍTULOS E VALORES MOBILIÁRIOS S.A.</w:t>
            </w:r>
            <w:r w:rsidRPr="00D8141D">
              <w:rPr>
                <w:rFonts w:cs="Calibri"/>
                <w:lang w:val="pt-BR"/>
              </w:rPr>
              <w:t>,</w:t>
            </w:r>
            <w:r w:rsidRPr="00D8141D">
              <w:rPr>
                <w:rFonts w:cs="Calibri"/>
                <w:b/>
                <w:lang w:val="pt-BR"/>
              </w:rPr>
              <w:t xml:space="preserve"> </w:t>
            </w:r>
            <w:r w:rsidRPr="00D8141D">
              <w:rPr>
                <w:rFonts w:cs="Calibri"/>
                <w:lang w:val="pt-BR"/>
              </w:rPr>
              <w:t xml:space="preserve">instituição financeira integrante do sistema de distribuição de valores mobiliários, com estabelecimento na cidade de São Paulo, Estado de São Paulo, na </w:t>
            </w:r>
            <w:r w:rsidRPr="00D8141D">
              <w:rPr>
                <w:rFonts w:cs="Calibri"/>
                <w:color w:val="000000"/>
                <w:lang w:val="pt-BR"/>
              </w:rPr>
              <w:t xml:space="preserve">Avenida </w:t>
            </w:r>
            <w:r w:rsidRPr="00D8141D">
              <w:rPr>
                <w:rFonts w:cs="Calibri"/>
                <w:lang w:val="pt-BR"/>
              </w:rPr>
              <w:t>Presidente Juscelino Kubitschek, n° 1.909, Torre Sul, 30° andar, Vila Olímpia, CEP 04543-907, inscrita no CNPJ/ME sob nº 02.332.886/0011-78, neste ato representada na forma de seu estatuto social</w:t>
            </w:r>
            <w:r w:rsidR="00773EC7" w:rsidRPr="00D8141D">
              <w:rPr>
                <w:rFonts w:cs="Calibri"/>
                <w:bCs/>
                <w:lang w:val="pt-BR"/>
              </w:rPr>
              <w:t>.</w:t>
            </w:r>
          </w:p>
        </w:tc>
      </w:tr>
      <w:tr w:rsidR="00773EC7" w:rsidRPr="0082022E" w14:paraId="515BB798" w14:textId="77777777" w:rsidTr="00000056">
        <w:tc>
          <w:tcPr>
            <w:tcW w:w="1774" w:type="pct"/>
            <w:shd w:val="clear" w:color="auto" w:fill="auto"/>
            <w:noWrap/>
          </w:tcPr>
          <w:p w14:paraId="1449F8AF"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“CSLL”</w:t>
            </w:r>
          </w:p>
        </w:tc>
        <w:tc>
          <w:tcPr>
            <w:tcW w:w="3226" w:type="pct"/>
            <w:shd w:val="clear" w:color="auto" w:fill="auto"/>
            <w:noWrap/>
          </w:tcPr>
          <w:p w14:paraId="74D603C6" w14:textId="77777777"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cs="Calibri"/>
                <w:lang w:val="pt-BR" w:eastAsia="pt-BR"/>
              </w:rPr>
              <w:t>Contribuição Social sobre o Lucro Líquido.</w:t>
            </w:r>
          </w:p>
        </w:tc>
      </w:tr>
      <w:tr w:rsidR="00773EC7" w:rsidRPr="00D8141D" w14:paraId="7CCEC5ED" w14:textId="77777777" w:rsidTr="00000056">
        <w:tc>
          <w:tcPr>
            <w:tcW w:w="1774" w:type="pct"/>
            <w:shd w:val="clear" w:color="auto" w:fill="auto"/>
            <w:noWrap/>
          </w:tcPr>
          <w:p w14:paraId="469F1504"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“CVM”</w:t>
            </w:r>
          </w:p>
        </w:tc>
        <w:tc>
          <w:tcPr>
            <w:tcW w:w="3226" w:type="pct"/>
            <w:shd w:val="clear" w:color="auto" w:fill="auto"/>
            <w:noWrap/>
          </w:tcPr>
          <w:p w14:paraId="5FF60947" w14:textId="77777777" w:rsidR="00773EC7" w:rsidRPr="00D8141D" w:rsidRDefault="00773EC7"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Comissão de Valores Mobiliários.</w:t>
            </w:r>
          </w:p>
        </w:tc>
      </w:tr>
      <w:tr w:rsidR="00F112FF" w:rsidRPr="0082022E" w14:paraId="62EF216D" w14:textId="77777777" w:rsidTr="00000056">
        <w:tc>
          <w:tcPr>
            <w:tcW w:w="1774" w:type="pct"/>
            <w:shd w:val="clear" w:color="auto" w:fill="auto"/>
            <w:noWrap/>
          </w:tcPr>
          <w:p w14:paraId="238C0CD6" w14:textId="77777777" w:rsidR="00F112FF" w:rsidRPr="00D8141D" w:rsidRDefault="00F112FF"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“Data de Apuração”</w:t>
            </w:r>
          </w:p>
        </w:tc>
        <w:tc>
          <w:tcPr>
            <w:tcW w:w="3226" w:type="pct"/>
            <w:shd w:val="clear" w:color="auto" w:fill="auto"/>
            <w:noWrap/>
          </w:tcPr>
          <w:p w14:paraId="4ED52B68" w14:textId="77777777" w:rsidR="00F112FF" w:rsidRPr="00D8141D" w:rsidRDefault="00F112FF" w:rsidP="00366E72">
            <w:pPr>
              <w:pStyle w:val="HOMEBRBodyText"/>
              <w:keepLines w:val="0"/>
              <w:widowControl w:val="0"/>
              <w:spacing w:after="140" w:line="290" w:lineRule="auto"/>
              <w:jc w:val="both"/>
              <w:rPr>
                <w:rFonts w:cs="Calibri"/>
                <w:lang w:val="pt-BR"/>
              </w:rPr>
            </w:pPr>
            <w:r w:rsidRPr="00D8141D">
              <w:rPr>
                <w:rFonts w:cs="Calibri"/>
                <w:lang w:val="pt-BR"/>
              </w:rPr>
              <w:t xml:space="preserve">O Dia Útil imediatamente anterior à data de realização do Procedimento de </w:t>
            </w:r>
            <w:r w:rsidRPr="00D8141D">
              <w:rPr>
                <w:rFonts w:cs="Calibri"/>
                <w:i/>
                <w:iCs/>
                <w:lang w:val="pt-BR"/>
              </w:rPr>
              <w:t>Bookbuilding</w:t>
            </w:r>
            <w:r w:rsidRPr="00D8141D">
              <w:rPr>
                <w:rFonts w:cs="Calibri"/>
                <w:lang w:val="pt-BR"/>
              </w:rPr>
              <w:t>.</w:t>
            </w:r>
          </w:p>
        </w:tc>
      </w:tr>
      <w:tr w:rsidR="00773EC7" w:rsidRPr="00D8141D" w14:paraId="45245F9A" w14:textId="77777777" w:rsidTr="00000056">
        <w:tc>
          <w:tcPr>
            <w:tcW w:w="1774" w:type="pct"/>
            <w:shd w:val="clear" w:color="auto" w:fill="auto"/>
            <w:noWrap/>
          </w:tcPr>
          <w:p w14:paraId="0AE23AFA"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“Data de Emissão”</w:t>
            </w:r>
          </w:p>
        </w:tc>
        <w:tc>
          <w:tcPr>
            <w:tcW w:w="3226" w:type="pct"/>
            <w:shd w:val="clear" w:color="auto" w:fill="auto"/>
            <w:noWrap/>
          </w:tcPr>
          <w:p w14:paraId="23FD3D46" w14:textId="77777777" w:rsidR="00773EC7" w:rsidRPr="00D8141D" w:rsidRDefault="0032654B"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15 de janeiro de 2022.</w:t>
            </w:r>
          </w:p>
        </w:tc>
      </w:tr>
      <w:tr w:rsidR="00773EC7" w:rsidRPr="0082022E" w14:paraId="0B000C8C" w14:textId="77777777" w:rsidTr="00000056">
        <w:tc>
          <w:tcPr>
            <w:tcW w:w="1774" w:type="pct"/>
            <w:shd w:val="clear" w:color="auto" w:fill="auto"/>
            <w:noWrap/>
          </w:tcPr>
          <w:p w14:paraId="1F746120"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“Data de Integralização”</w:t>
            </w:r>
          </w:p>
        </w:tc>
        <w:tc>
          <w:tcPr>
            <w:tcW w:w="3226" w:type="pct"/>
            <w:shd w:val="clear" w:color="auto" w:fill="auto"/>
            <w:noWrap/>
          </w:tcPr>
          <w:p w14:paraId="4EBEDBB8" w14:textId="77777777" w:rsidR="00773EC7" w:rsidRPr="00D8141D" w:rsidDel="00294040" w:rsidRDefault="00773EC7" w:rsidP="00366E72">
            <w:pPr>
              <w:pStyle w:val="HOMEBRBodyText"/>
              <w:keepLines w:val="0"/>
              <w:widowControl w:val="0"/>
              <w:spacing w:after="140" w:line="290" w:lineRule="auto"/>
              <w:jc w:val="both"/>
              <w:rPr>
                <w:rFonts w:eastAsia="Calibri" w:cs="Calibri"/>
                <w:lang w:val="pt-BR"/>
              </w:rPr>
            </w:pPr>
            <w:r w:rsidRPr="00D8141D">
              <w:rPr>
                <w:rFonts w:cs="Calibri"/>
                <w:lang w:val="pt-BR"/>
              </w:rPr>
              <w:t>Qualquer data em que ocorrerá a subscrição e a integralização das Debêntures</w:t>
            </w:r>
            <w:r w:rsidRPr="00D8141D">
              <w:rPr>
                <w:rFonts w:eastAsia="Calibri" w:cs="Calibri"/>
                <w:lang w:val="pt-BR"/>
              </w:rPr>
              <w:t>.</w:t>
            </w:r>
          </w:p>
        </w:tc>
      </w:tr>
      <w:tr w:rsidR="00773EC7" w:rsidRPr="0082022E" w14:paraId="151D5BA5" w14:textId="77777777" w:rsidTr="00000056">
        <w:tc>
          <w:tcPr>
            <w:tcW w:w="1774" w:type="pct"/>
            <w:shd w:val="clear" w:color="auto" w:fill="auto"/>
            <w:noWrap/>
          </w:tcPr>
          <w:p w14:paraId="1BEDFD26" w14:textId="77777777" w:rsidR="00773EC7" w:rsidRPr="00D8141D" w:rsidRDefault="00773EC7"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“Data de Pagamento d</w:t>
            </w:r>
            <w:r w:rsidR="00BA7853" w:rsidRPr="00D8141D">
              <w:rPr>
                <w:rFonts w:eastAsia="Calibri" w:cs="Calibri"/>
                <w:b/>
                <w:lang w:val="pt-BR"/>
              </w:rPr>
              <w:t>e Juros Remuneratórios da Primeira Série</w:t>
            </w:r>
            <w:r w:rsidRPr="00D8141D">
              <w:rPr>
                <w:rFonts w:eastAsia="Calibri" w:cs="Calibri"/>
                <w:b/>
                <w:lang w:val="pt-BR"/>
              </w:rPr>
              <w:t>”</w:t>
            </w:r>
          </w:p>
        </w:tc>
        <w:tc>
          <w:tcPr>
            <w:tcW w:w="3226" w:type="pct"/>
            <w:shd w:val="clear" w:color="auto" w:fill="auto"/>
            <w:noWrap/>
          </w:tcPr>
          <w:p w14:paraId="14156DAE" w14:textId="61D8BB8A" w:rsidR="00773EC7" w:rsidRPr="00D8141D" w:rsidRDefault="00BA7853" w:rsidP="00366E72">
            <w:pPr>
              <w:pStyle w:val="HOMEBRBodyText"/>
              <w:keepLines w:val="0"/>
              <w:widowControl w:val="0"/>
              <w:spacing w:after="140" w:line="290" w:lineRule="auto"/>
              <w:jc w:val="both"/>
              <w:rPr>
                <w:rFonts w:eastAsia="Calibri" w:cs="Calibri"/>
                <w:lang w:val="pt-BR"/>
              </w:rPr>
            </w:pPr>
            <w:r w:rsidRPr="00D8141D">
              <w:rPr>
                <w:rFonts w:cs="Calibri"/>
                <w:color w:val="000000"/>
                <w:lang w:val="pt-BR"/>
              </w:rPr>
              <w:t xml:space="preserve">Cada uma das datas de pagamento dos Juros Remuneratórios da Primeira Série, </w:t>
            </w:r>
            <w:r w:rsidR="0032654B" w:rsidRPr="00D8141D">
              <w:rPr>
                <w:rFonts w:cs="Calibri"/>
                <w:color w:val="000000"/>
                <w:lang w:val="pt-BR"/>
              </w:rPr>
              <w:t>s</w:t>
            </w:r>
            <w:r w:rsidR="0032654B" w:rsidRPr="00D8141D">
              <w:rPr>
                <w:rFonts w:cs="Calibri"/>
                <w:lang w:val="pt-BR"/>
              </w:rPr>
              <w:t xml:space="preserve">em prejuízo dos pagamentos em decorrência de vencimento antecipado das obrigações decorrentes das Debêntures, nos termos previstos na Escritura de Emissão, os Juros Remuneratórios da Primeira Série serão pagos pela Emissora aos Debenturistas semestralmente a </w:t>
            </w:r>
            <w:r w:rsidR="0032654B" w:rsidRPr="00D8141D">
              <w:rPr>
                <w:rFonts w:cs="Calibri"/>
                <w:lang w:val="pt-BR"/>
              </w:rPr>
              <w:lastRenderedPageBreak/>
              <w:t>partir da Data de Emissão, sendo, portanto, os pagamentos devidos no dia 15 dos meses julho e janeiro de cada ano, e caso referida data não seja um Dia Útil, o primeiro Dia Útil subsequente. O primeiro pagamento ocorrerá no dia 15 de julho de 2022 e o último na Data de Vencimento da Primeira Série</w:t>
            </w:r>
            <w:r w:rsidRPr="00D8141D">
              <w:rPr>
                <w:rFonts w:cs="Calibri"/>
                <w:color w:val="000000"/>
                <w:lang w:val="pt-BR"/>
              </w:rPr>
              <w:t xml:space="preserve">, conforme cronograma na página </w:t>
            </w:r>
            <w:r w:rsidR="00492F4F" w:rsidRPr="00D8141D">
              <w:rPr>
                <w:rFonts w:cs="Calibri"/>
                <w:color w:val="000000"/>
                <w:lang w:val="pt-BR"/>
              </w:rPr>
              <w:fldChar w:fldCharType="begin"/>
            </w:r>
            <w:r w:rsidR="00492F4F" w:rsidRPr="00D8141D">
              <w:rPr>
                <w:rFonts w:cs="Calibri"/>
                <w:color w:val="000000"/>
                <w:lang w:val="pt-BR"/>
              </w:rPr>
              <w:instrText xml:space="preserve"> PAGEREF _Ref90230162 \h </w:instrText>
            </w:r>
            <w:r w:rsidR="00492F4F" w:rsidRPr="00D8141D">
              <w:rPr>
                <w:rFonts w:cs="Calibri"/>
                <w:color w:val="000000"/>
                <w:lang w:val="pt-BR"/>
              </w:rPr>
            </w:r>
            <w:r w:rsidR="00492F4F" w:rsidRPr="00D8141D">
              <w:rPr>
                <w:rFonts w:cs="Calibri"/>
                <w:color w:val="000000"/>
                <w:lang w:val="pt-BR"/>
              </w:rPr>
              <w:fldChar w:fldCharType="separate"/>
            </w:r>
            <w:r w:rsidR="001166EA">
              <w:rPr>
                <w:rFonts w:cs="Calibri"/>
                <w:noProof/>
                <w:color w:val="000000"/>
                <w:lang w:val="pt-BR"/>
              </w:rPr>
              <w:t>80</w:t>
            </w:r>
            <w:r w:rsidR="00492F4F" w:rsidRPr="00D8141D">
              <w:rPr>
                <w:rFonts w:cs="Calibri"/>
                <w:color w:val="000000"/>
                <w:lang w:val="pt-BR"/>
              </w:rPr>
              <w:fldChar w:fldCharType="end"/>
            </w:r>
            <w:r w:rsidRPr="00D8141D">
              <w:rPr>
                <w:rFonts w:cs="Calibri"/>
                <w:color w:val="000000"/>
                <w:lang w:val="pt-BR"/>
              </w:rPr>
              <w:t xml:space="preserve"> deste Prospecto.</w:t>
            </w:r>
          </w:p>
        </w:tc>
      </w:tr>
      <w:tr w:rsidR="00BA7853" w:rsidRPr="0082022E" w14:paraId="1E78AF17" w14:textId="77777777" w:rsidTr="00000056">
        <w:tc>
          <w:tcPr>
            <w:tcW w:w="1774" w:type="pct"/>
            <w:shd w:val="clear" w:color="auto" w:fill="auto"/>
            <w:noWrap/>
          </w:tcPr>
          <w:p w14:paraId="22517B98"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“Data de Pagamento de Juros Remuneratórios da Segunda Série”</w:t>
            </w:r>
          </w:p>
        </w:tc>
        <w:tc>
          <w:tcPr>
            <w:tcW w:w="3226" w:type="pct"/>
            <w:shd w:val="clear" w:color="auto" w:fill="auto"/>
            <w:noWrap/>
          </w:tcPr>
          <w:p w14:paraId="2AFF47F8" w14:textId="4A59437E" w:rsidR="00BA7853" w:rsidRPr="00D8141D" w:rsidRDefault="00BA7853" w:rsidP="00366E72">
            <w:pPr>
              <w:pStyle w:val="HOMEBRBodyText"/>
              <w:keepLines w:val="0"/>
              <w:widowControl w:val="0"/>
              <w:spacing w:after="140" w:line="290" w:lineRule="auto"/>
              <w:jc w:val="both"/>
              <w:rPr>
                <w:rFonts w:cs="Calibri"/>
                <w:color w:val="000000"/>
                <w:lang w:val="pt-BR"/>
              </w:rPr>
            </w:pPr>
            <w:r w:rsidRPr="00D8141D">
              <w:rPr>
                <w:rFonts w:cs="Calibri"/>
                <w:color w:val="000000"/>
                <w:lang w:val="pt-BR"/>
              </w:rPr>
              <w:t xml:space="preserve">Cada uma das datas de pagamento dos Juros Remuneratórios da Segunda Série, </w:t>
            </w:r>
            <w:r w:rsidR="0032654B" w:rsidRPr="00B63002">
              <w:rPr>
                <w:color w:val="000000"/>
                <w:lang w:val="pt-BR"/>
              </w:rPr>
              <w:t>s</w:t>
            </w:r>
            <w:r w:rsidR="0032654B" w:rsidRPr="00B63002">
              <w:rPr>
                <w:lang w:val="pt-BR"/>
              </w:rPr>
              <w:t xml:space="preserve">em prejuízo dos pagamentos em decorrência de vencimento antecipado das obrigações decorrentes das Debêntures, nos termos previstos na Escritura de Emissão, </w:t>
            </w:r>
            <w:r w:rsidR="0032654B" w:rsidRPr="00D8141D">
              <w:rPr>
                <w:rFonts w:cs="Calibri"/>
                <w:lang w:val="pt-BR"/>
              </w:rPr>
              <w:t>os Juros Remuneratórios da Segunda Série serão pagos pela Emissora aos Debenturistas semestralmente a partir da Data de Emissão, sendo, portanto, os pagamentos devidos no dia 15 dos meses julho e janeiro de cada ano, e caso referida data não seja um Dia Útil, o primeiro Dia Útil subsequente. O primeiro pagamento ocorrerá em 15 de julho de 2022 e o último pagamento ocorrerá na Data de Vencimento da Segunda Série</w:t>
            </w:r>
            <w:r w:rsidRPr="00D8141D">
              <w:rPr>
                <w:rFonts w:cs="Calibri"/>
                <w:color w:val="000000"/>
                <w:lang w:val="pt-BR"/>
              </w:rPr>
              <w:t xml:space="preserve">, conforme cronograma na página </w:t>
            </w:r>
            <w:r w:rsidR="00492F4F" w:rsidRPr="00D8141D">
              <w:rPr>
                <w:rFonts w:cs="Calibri"/>
                <w:color w:val="000000"/>
                <w:lang w:val="pt-BR"/>
              </w:rPr>
              <w:fldChar w:fldCharType="begin"/>
            </w:r>
            <w:r w:rsidR="00492F4F" w:rsidRPr="00D8141D">
              <w:rPr>
                <w:rFonts w:cs="Calibri"/>
                <w:color w:val="000000"/>
                <w:lang w:val="pt-BR"/>
              </w:rPr>
              <w:instrText xml:space="preserve"> PAGEREF _Ref90230179 \h </w:instrText>
            </w:r>
            <w:r w:rsidR="00492F4F" w:rsidRPr="00D8141D">
              <w:rPr>
                <w:rFonts w:cs="Calibri"/>
                <w:color w:val="000000"/>
                <w:lang w:val="pt-BR"/>
              </w:rPr>
            </w:r>
            <w:r w:rsidR="00492F4F" w:rsidRPr="00D8141D">
              <w:rPr>
                <w:rFonts w:cs="Calibri"/>
                <w:color w:val="000000"/>
                <w:lang w:val="pt-BR"/>
              </w:rPr>
              <w:fldChar w:fldCharType="separate"/>
            </w:r>
            <w:r w:rsidR="001166EA">
              <w:rPr>
                <w:rFonts w:cs="Calibri"/>
                <w:noProof/>
                <w:color w:val="000000"/>
                <w:lang w:val="pt-BR"/>
              </w:rPr>
              <w:t>81</w:t>
            </w:r>
            <w:r w:rsidR="00492F4F" w:rsidRPr="00D8141D">
              <w:rPr>
                <w:rFonts w:cs="Calibri"/>
                <w:color w:val="000000"/>
                <w:lang w:val="pt-BR"/>
              </w:rPr>
              <w:fldChar w:fldCharType="end"/>
            </w:r>
            <w:r w:rsidRPr="00D8141D">
              <w:rPr>
                <w:rFonts w:cs="Calibri"/>
                <w:color w:val="000000"/>
                <w:lang w:val="pt-BR"/>
              </w:rPr>
              <w:t xml:space="preserve"> deste Prospecto.</w:t>
            </w:r>
          </w:p>
        </w:tc>
      </w:tr>
      <w:tr w:rsidR="00BA7853" w:rsidRPr="0082022E" w14:paraId="197FD818" w14:textId="77777777" w:rsidTr="00000056">
        <w:tc>
          <w:tcPr>
            <w:tcW w:w="1774" w:type="pct"/>
            <w:shd w:val="clear" w:color="auto" w:fill="auto"/>
            <w:noWrap/>
          </w:tcPr>
          <w:p w14:paraId="16E1CF76"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“Data de Vencimento”</w:t>
            </w:r>
          </w:p>
        </w:tc>
        <w:tc>
          <w:tcPr>
            <w:tcW w:w="3226" w:type="pct"/>
            <w:shd w:val="clear" w:color="auto" w:fill="auto"/>
            <w:noWrap/>
          </w:tcPr>
          <w:p w14:paraId="6FE0ADFE" w14:textId="77777777" w:rsidR="00BA7853" w:rsidRPr="00D8141D" w:rsidRDefault="00BA7853" w:rsidP="00366E72">
            <w:pPr>
              <w:pStyle w:val="HOMEBRBodyText"/>
              <w:keepLines w:val="0"/>
              <w:widowControl w:val="0"/>
              <w:spacing w:after="140" w:line="290" w:lineRule="auto"/>
              <w:jc w:val="both"/>
              <w:rPr>
                <w:rFonts w:eastAsia="Calibri" w:cs="Calibri"/>
                <w:spacing w:val="-4"/>
                <w:lang w:val="pt-BR"/>
              </w:rPr>
            </w:pPr>
            <w:r w:rsidRPr="00D8141D">
              <w:rPr>
                <w:rFonts w:cs="Calibri"/>
                <w:spacing w:val="-4"/>
                <w:lang w:val="pt-BR"/>
              </w:rPr>
              <w:t xml:space="preserve">Ressalvadas as hipóteses de vencimento antecipado das obrigações decorrentes das Debêntures e a hipótese de </w:t>
            </w:r>
            <w:r w:rsidRPr="00D8141D">
              <w:rPr>
                <w:rFonts w:cs="Calibri"/>
                <w:color w:val="000000"/>
                <w:spacing w:val="-4"/>
                <w:lang w:val="pt-BR"/>
              </w:rPr>
              <w:t>Oferta de Resgate Antecipado Facultativo</w:t>
            </w:r>
            <w:r w:rsidRPr="00D8141D">
              <w:rPr>
                <w:rFonts w:cs="Calibri"/>
                <w:spacing w:val="-4"/>
                <w:lang w:val="pt-BR"/>
              </w:rPr>
              <w:t>, nos termos previstos na Escritura de Emissão, a Data de Vencimento da Primeira Série e a Data de Vencimento da Segunda Série, quando referidas em conjunto.</w:t>
            </w:r>
          </w:p>
        </w:tc>
      </w:tr>
      <w:tr w:rsidR="00BA7853" w:rsidRPr="0082022E" w14:paraId="5CBFD5D5" w14:textId="77777777" w:rsidTr="00000056">
        <w:trPr>
          <w:trHeight w:val="689"/>
        </w:trPr>
        <w:tc>
          <w:tcPr>
            <w:tcW w:w="1774" w:type="pct"/>
            <w:shd w:val="clear" w:color="auto" w:fill="auto"/>
            <w:noWrap/>
          </w:tcPr>
          <w:p w14:paraId="5891DD12"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“Data de Vencimento da Primeira Série”</w:t>
            </w:r>
          </w:p>
        </w:tc>
        <w:tc>
          <w:tcPr>
            <w:tcW w:w="3226" w:type="pct"/>
            <w:shd w:val="clear" w:color="auto" w:fill="auto"/>
            <w:noWrap/>
          </w:tcPr>
          <w:p w14:paraId="6EDAD8E6" w14:textId="77777777" w:rsidR="00BA7853" w:rsidRPr="00D8141D" w:rsidRDefault="00761953" w:rsidP="00366E72">
            <w:pPr>
              <w:pStyle w:val="HOMEBRBodyText"/>
              <w:keepLines w:val="0"/>
              <w:widowControl w:val="0"/>
              <w:spacing w:after="140" w:line="290" w:lineRule="auto"/>
              <w:jc w:val="both"/>
              <w:rPr>
                <w:rFonts w:cs="Calibri"/>
                <w:lang w:val="pt-BR"/>
              </w:rPr>
            </w:pPr>
            <w:r w:rsidRPr="00D8141D">
              <w:rPr>
                <w:rFonts w:cs="Calibri"/>
                <w:lang w:val="pt-BR"/>
              </w:rPr>
              <w:t xml:space="preserve">15 de janeiro de 2032, </w:t>
            </w:r>
            <w:r w:rsidRPr="009E2F6B">
              <w:rPr>
                <w:lang w:val="pt-BR"/>
              </w:rPr>
              <w:t xml:space="preserve">ressalvadas as hipóteses de liquidação antecipada resultante de um </w:t>
            </w:r>
            <w:r w:rsidR="00DB205D">
              <w:t>Evento</w:t>
            </w:r>
            <w:r w:rsidRPr="009E2F6B">
              <w:rPr>
                <w:lang w:val="pt-BR"/>
              </w:rPr>
              <w:t xml:space="preserve"> de </w:t>
            </w:r>
            <w:r w:rsidR="00DB205D">
              <w:t>Vencimento Antecipado</w:t>
            </w:r>
            <w:r w:rsidRPr="009E2F6B">
              <w:rPr>
                <w:lang w:val="pt-BR"/>
              </w:rPr>
              <w:t xml:space="preserve"> e das demais hipóteses de resgate </w:t>
            </w:r>
            <w:r w:rsidR="00DB205D">
              <w:t>e/ou aquisição</w:t>
            </w:r>
            <w:r w:rsidRPr="009E2F6B">
              <w:rPr>
                <w:lang w:val="pt-BR"/>
              </w:rPr>
              <w:t xml:space="preserve"> das Debêntures </w:t>
            </w:r>
            <w:r w:rsidR="00DB205D">
              <w:t xml:space="preserve">da Primeira Série </w:t>
            </w:r>
            <w:r w:rsidRPr="009E2F6B">
              <w:rPr>
                <w:lang w:val="pt-BR"/>
              </w:rPr>
              <w:t>previstas na Escritura de Emissão</w:t>
            </w:r>
            <w:r w:rsidRPr="009E2F6B">
              <w:rPr>
                <w:rFonts w:ascii="Segoe UI" w:hAnsi="Segoe UI" w:cs="Segoe UI"/>
                <w:bCs/>
                <w:sz w:val="20"/>
                <w:szCs w:val="20"/>
                <w:lang w:val="pt-BR"/>
              </w:rPr>
              <w:t>.</w:t>
            </w:r>
          </w:p>
        </w:tc>
      </w:tr>
      <w:tr w:rsidR="00BA7853" w:rsidRPr="0082022E" w14:paraId="47447E1F" w14:textId="77777777" w:rsidTr="00000056">
        <w:tc>
          <w:tcPr>
            <w:tcW w:w="1774" w:type="pct"/>
            <w:shd w:val="clear" w:color="auto" w:fill="auto"/>
            <w:noWrap/>
          </w:tcPr>
          <w:p w14:paraId="467B23F8"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“Data de Vencimento da Segunda Série”</w:t>
            </w:r>
          </w:p>
        </w:tc>
        <w:tc>
          <w:tcPr>
            <w:tcW w:w="3226" w:type="pct"/>
            <w:shd w:val="clear" w:color="auto" w:fill="auto"/>
            <w:noWrap/>
          </w:tcPr>
          <w:p w14:paraId="7D1FC7E4" w14:textId="77777777" w:rsidR="00BA7853" w:rsidRPr="00D8141D" w:rsidRDefault="00761953" w:rsidP="00366E72">
            <w:pPr>
              <w:pStyle w:val="HOMEBRBodyText"/>
              <w:keepLines w:val="0"/>
              <w:widowControl w:val="0"/>
              <w:spacing w:after="140" w:line="290" w:lineRule="auto"/>
              <w:jc w:val="both"/>
              <w:rPr>
                <w:rFonts w:cs="Calibri"/>
                <w:lang w:val="pt-BR"/>
              </w:rPr>
            </w:pPr>
            <w:r w:rsidRPr="00D8141D">
              <w:rPr>
                <w:rFonts w:cs="Calibri"/>
                <w:lang w:val="pt-BR"/>
              </w:rPr>
              <w:t xml:space="preserve">15 de janeiro de 2037, </w:t>
            </w:r>
            <w:r w:rsidRPr="009E2F6B">
              <w:rPr>
                <w:lang w:val="pt-BR"/>
              </w:rPr>
              <w:t xml:space="preserve">ressalvadas as hipóteses de liquidação antecipada resultante de um </w:t>
            </w:r>
            <w:r w:rsidR="00DB205D">
              <w:t>Evento</w:t>
            </w:r>
            <w:r w:rsidRPr="009E2F6B">
              <w:rPr>
                <w:lang w:val="pt-BR"/>
              </w:rPr>
              <w:t xml:space="preserve"> de </w:t>
            </w:r>
            <w:r w:rsidR="00DB205D">
              <w:t>Vencimento Antecipado</w:t>
            </w:r>
            <w:r w:rsidRPr="009E2F6B">
              <w:rPr>
                <w:lang w:val="pt-BR"/>
              </w:rPr>
              <w:t xml:space="preserve"> e das demais hipóteses de resgate </w:t>
            </w:r>
            <w:r w:rsidR="00DB205D">
              <w:t>e/ou aquisição</w:t>
            </w:r>
            <w:r w:rsidRPr="009E2F6B">
              <w:rPr>
                <w:lang w:val="pt-BR"/>
              </w:rPr>
              <w:t xml:space="preserve"> das Debêntures </w:t>
            </w:r>
            <w:r w:rsidR="00DB205D">
              <w:t xml:space="preserve">da Segunda Série </w:t>
            </w:r>
            <w:r w:rsidRPr="009E2F6B">
              <w:rPr>
                <w:lang w:val="pt-BR"/>
              </w:rPr>
              <w:t>previstas na Escritura de Emissão</w:t>
            </w:r>
            <w:r w:rsidRPr="009E2F6B">
              <w:rPr>
                <w:rFonts w:ascii="Segoe UI" w:hAnsi="Segoe UI" w:cs="Segoe UI"/>
                <w:bCs/>
                <w:sz w:val="20"/>
                <w:szCs w:val="20"/>
                <w:lang w:val="pt-BR"/>
              </w:rPr>
              <w:t>.</w:t>
            </w:r>
          </w:p>
        </w:tc>
      </w:tr>
      <w:tr w:rsidR="009A2E59" w:rsidRPr="0082022E" w14:paraId="31CA098C" w14:textId="77777777" w:rsidTr="00000056">
        <w:tc>
          <w:tcPr>
            <w:tcW w:w="1774" w:type="pct"/>
            <w:shd w:val="clear" w:color="auto" w:fill="auto"/>
            <w:noWrap/>
          </w:tcPr>
          <w:p w14:paraId="29A754B0" w14:textId="77777777" w:rsidR="009A2E59" w:rsidRPr="00D8141D" w:rsidRDefault="009A2E59"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“Data de Resgate”</w:t>
            </w:r>
          </w:p>
        </w:tc>
        <w:tc>
          <w:tcPr>
            <w:tcW w:w="3226" w:type="pct"/>
            <w:shd w:val="clear" w:color="auto" w:fill="auto"/>
            <w:noWrap/>
          </w:tcPr>
          <w:p w14:paraId="1368AD38" w14:textId="77777777" w:rsidR="009A2E59" w:rsidRPr="00D8141D" w:rsidRDefault="009A2E59" w:rsidP="00366E72">
            <w:pPr>
              <w:pStyle w:val="HOMEBRBodyText"/>
              <w:keepLines w:val="0"/>
              <w:widowControl w:val="0"/>
              <w:spacing w:after="140" w:line="290" w:lineRule="auto"/>
              <w:jc w:val="both"/>
              <w:rPr>
                <w:rFonts w:cs="Calibri"/>
                <w:lang w:val="pt-BR"/>
              </w:rPr>
            </w:pPr>
            <w:r w:rsidRPr="00D8141D">
              <w:rPr>
                <w:rFonts w:cs="Calibri"/>
                <w:lang w:val="pt-BR"/>
              </w:rPr>
              <w:t xml:space="preserve">Cada período de, no mínimo, 180 (cento e oitenta) dias contados do primeiro Dia Útil após ser alcançado o prazo </w:t>
            </w:r>
            <w:r w:rsidRPr="00D8141D">
              <w:rPr>
                <w:rFonts w:cs="Calibri"/>
                <w:lang w:val="pt-BR"/>
              </w:rPr>
              <w:lastRenderedPageBreak/>
              <w:t>médio ponderado mínimo de 4 (quatro) anos entre a Data de Emissão e a Data do Resgate Obrigatório, calculado nos termos da Resolução CMN 3.947</w:t>
            </w:r>
          </w:p>
        </w:tc>
      </w:tr>
      <w:tr w:rsidR="009A2E59" w:rsidRPr="0082022E" w14:paraId="28B8629E" w14:textId="77777777" w:rsidTr="00000056">
        <w:tc>
          <w:tcPr>
            <w:tcW w:w="1774" w:type="pct"/>
            <w:shd w:val="clear" w:color="auto" w:fill="auto"/>
            <w:noWrap/>
          </w:tcPr>
          <w:p w14:paraId="2EDD0F49" w14:textId="77777777" w:rsidR="009A2E59" w:rsidRPr="00D8141D" w:rsidRDefault="009A2E59"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“Data do Resgate Obrigatório”</w:t>
            </w:r>
          </w:p>
        </w:tc>
        <w:tc>
          <w:tcPr>
            <w:tcW w:w="3226" w:type="pct"/>
            <w:shd w:val="clear" w:color="auto" w:fill="auto"/>
            <w:noWrap/>
          </w:tcPr>
          <w:p w14:paraId="71A02BAC" w14:textId="77777777" w:rsidR="009A2E59" w:rsidRPr="00D8141D" w:rsidRDefault="009A2E59" w:rsidP="00366E72">
            <w:pPr>
              <w:pStyle w:val="HOMEBRBodyText"/>
              <w:keepLines w:val="0"/>
              <w:widowControl w:val="0"/>
              <w:spacing w:after="140" w:line="290" w:lineRule="auto"/>
              <w:jc w:val="both"/>
              <w:rPr>
                <w:rFonts w:cs="Calibri"/>
                <w:lang w:val="pt-BR"/>
              </w:rPr>
            </w:pPr>
            <w:r w:rsidRPr="00D8141D">
              <w:rPr>
                <w:rFonts w:cs="Calibri"/>
                <w:lang w:val="pt-BR" w:eastAsia="pt-BR"/>
              </w:rPr>
              <w:t>A efetiva data de um Resgate Obrigatório.</w:t>
            </w:r>
          </w:p>
        </w:tc>
      </w:tr>
      <w:tr w:rsidR="00BA7853" w:rsidRPr="0082022E" w14:paraId="149F45AA" w14:textId="77777777" w:rsidTr="00000056">
        <w:tc>
          <w:tcPr>
            <w:tcW w:w="1774" w:type="pct"/>
            <w:shd w:val="clear" w:color="auto" w:fill="auto"/>
            <w:noWrap/>
          </w:tcPr>
          <w:p w14:paraId="44AC0810"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“Debêntures”</w:t>
            </w:r>
          </w:p>
        </w:tc>
        <w:tc>
          <w:tcPr>
            <w:tcW w:w="3226" w:type="pct"/>
            <w:shd w:val="clear" w:color="auto" w:fill="auto"/>
            <w:noWrap/>
          </w:tcPr>
          <w:p w14:paraId="16BE1E4A" w14:textId="77777777" w:rsidR="00F44519" w:rsidRPr="00D8141D" w:rsidRDefault="00E52581" w:rsidP="00366E72">
            <w:pPr>
              <w:pStyle w:val="HOMEBRBodyText"/>
              <w:keepLines w:val="0"/>
              <w:widowControl w:val="0"/>
              <w:spacing w:after="140" w:line="290" w:lineRule="auto"/>
              <w:jc w:val="both"/>
              <w:rPr>
                <w:rFonts w:cs="Calibri"/>
                <w:lang w:val="pt-BR"/>
              </w:rPr>
            </w:pPr>
            <w:r w:rsidRPr="00D8141D">
              <w:rPr>
                <w:rFonts w:cs="Calibri"/>
                <w:lang w:val="pt-BR"/>
              </w:rPr>
              <w:t>1.</w:t>
            </w:r>
            <w:r w:rsidR="000067F3" w:rsidRPr="00D8141D">
              <w:rPr>
                <w:rFonts w:cs="Calibri"/>
                <w:lang w:val="pt-BR"/>
              </w:rPr>
              <w:t>200</w:t>
            </w:r>
            <w:r w:rsidRPr="00D8141D">
              <w:rPr>
                <w:rFonts w:cs="Calibri"/>
                <w:lang w:val="pt-BR"/>
              </w:rPr>
              <w:t>.000 (um milhão</w:t>
            </w:r>
            <w:r w:rsidR="000067F3" w:rsidRPr="00D8141D">
              <w:rPr>
                <w:rFonts w:cs="Calibri"/>
                <w:lang w:val="pt-BR"/>
              </w:rPr>
              <w:t xml:space="preserve"> e duzentas mil</w:t>
            </w:r>
            <w:r w:rsidRPr="00D8141D">
              <w:rPr>
                <w:rFonts w:cs="Calibri"/>
                <w:lang w:val="pt-BR"/>
              </w:rPr>
              <w:t xml:space="preserve">) </w:t>
            </w:r>
            <w:r w:rsidR="00F44519" w:rsidRPr="00D8141D">
              <w:rPr>
                <w:rFonts w:cs="Calibri"/>
                <w:lang w:val="pt-BR"/>
              </w:rPr>
              <w:t xml:space="preserve">debêntures, todas nominativas, escriturais, não conversíveis em ações, da espécie quirografária, </w:t>
            </w:r>
            <w:r w:rsidR="00A35291" w:rsidRPr="00D8141D">
              <w:rPr>
                <w:rFonts w:cs="Calibri"/>
                <w:lang w:val="pt-BR"/>
              </w:rPr>
              <w:t xml:space="preserve">em duas séries, da 4ª </w:t>
            </w:r>
            <w:r w:rsidR="005C0F08" w:rsidRPr="00D8141D">
              <w:rPr>
                <w:rFonts w:cs="Calibri"/>
                <w:lang w:val="pt-BR"/>
              </w:rPr>
              <w:t>(quarta)</w:t>
            </w:r>
            <w:r w:rsidR="00AA58A3" w:rsidRPr="00D8141D">
              <w:rPr>
                <w:rFonts w:cs="Calibri"/>
                <w:lang w:val="pt-BR"/>
              </w:rPr>
              <w:t xml:space="preserve"> emissão</w:t>
            </w:r>
            <w:r w:rsidR="005C0F08" w:rsidRPr="00D8141D">
              <w:rPr>
                <w:rFonts w:cs="Calibri"/>
                <w:lang w:val="pt-BR"/>
              </w:rPr>
              <w:t xml:space="preserve"> da Emissora</w:t>
            </w:r>
            <w:r w:rsidR="00F44519" w:rsidRPr="00D8141D">
              <w:rPr>
                <w:rFonts w:cs="Calibri"/>
                <w:lang w:val="pt-BR"/>
              </w:rPr>
              <w:t xml:space="preserve">. </w:t>
            </w:r>
          </w:p>
          <w:p w14:paraId="169CB382" w14:textId="77777777" w:rsidR="00BA7853" w:rsidRPr="00D8141D" w:rsidRDefault="00BA7853" w:rsidP="00366E72">
            <w:pPr>
              <w:pStyle w:val="HOMEBRBodyText"/>
              <w:keepLines w:val="0"/>
              <w:widowControl w:val="0"/>
              <w:spacing w:after="140" w:line="290" w:lineRule="auto"/>
              <w:jc w:val="both"/>
              <w:rPr>
                <w:rFonts w:cs="Calibri"/>
                <w:lang w:val="pt-BR"/>
              </w:rPr>
            </w:pPr>
            <w:r w:rsidRPr="00D8141D">
              <w:rPr>
                <w:rFonts w:cs="Calibri"/>
                <w:lang w:val="pt-BR"/>
              </w:rPr>
              <w:t>As Debêntures da Primeira Série e as Debêntures da Segunda Série, quando referidas em conjunto.</w:t>
            </w:r>
          </w:p>
        </w:tc>
      </w:tr>
      <w:tr w:rsidR="00BA7853" w:rsidRPr="0082022E" w14:paraId="1118A34F" w14:textId="77777777" w:rsidTr="00000056">
        <w:tc>
          <w:tcPr>
            <w:tcW w:w="1774" w:type="pct"/>
            <w:shd w:val="clear" w:color="auto" w:fill="auto"/>
            <w:noWrap/>
          </w:tcPr>
          <w:p w14:paraId="3D405084"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“Debêntures Adicionais”</w:t>
            </w:r>
          </w:p>
        </w:tc>
        <w:tc>
          <w:tcPr>
            <w:tcW w:w="3226" w:type="pct"/>
            <w:shd w:val="clear" w:color="auto" w:fill="auto"/>
            <w:noWrap/>
          </w:tcPr>
          <w:p w14:paraId="675DB5E9" w14:textId="6B06B15C" w:rsidR="00BA7853" w:rsidRPr="00566CD3" w:rsidRDefault="00A142EF" w:rsidP="00366E72">
            <w:pPr>
              <w:pStyle w:val="Body"/>
              <w:jc w:val="both"/>
            </w:pPr>
            <w:r w:rsidRPr="0082022E">
              <w:rPr>
                <w:rFonts w:cs="Calibri"/>
              </w:rPr>
              <w:t xml:space="preserve">Nos termos do parágrafo 2º do artigo 14 da Instrução CVM 400, a quantidade de Debêntures inicialmente ofertada foi aumentada em 20% (vinte por cento), ou seja, em 200.000 (duzentas mil) Debêntures adicionais emitidas nas mesmas condições das Debêntures inicialmente ofertadas, totalizando 1.200.000 (um milhão e duzentas mil) debêntures, sem a necessidade de novo pedido de registro à CVM ou modificação nos termos da Oferta. A critério do Coordenador Líder e da Emissora, em conjunto, conforme verificado pelo Procedimento de </w:t>
            </w:r>
            <w:r w:rsidRPr="0082022E">
              <w:rPr>
                <w:rFonts w:cs="Calibri"/>
                <w:i/>
                <w:iCs/>
              </w:rPr>
              <w:t xml:space="preserve">Bookbuilding, </w:t>
            </w:r>
            <w:r w:rsidRPr="0082022E">
              <w:rPr>
                <w:rFonts w:cs="Calibri"/>
              </w:rPr>
              <w:t>as Debêntures Adicionais foram Debêntures da Primeira Série e Debêntures da Segunda Série. As Debêntures Adicionais emitidas passarão a ter as mesmas características da Debêntures inicialmente ofertadas</w:t>
            </w:r>
            <w:r>
              <w:rPr>
                <w:rFonts w:cs="Calibri"/>
              </w:rPr>
              <w:t>,</w:t>
            </w:r>
            <w:r w:rsidRPr="0082022E">
              <w:rPr>
                <w:rFonts w:cs="Calibri"/>
              </w:rPr>
              <w:t xml:space="preserve"> passarão a integrar o conceito de “Debêntures” e serão colocadas sob o regime de melhores esforços de colocação pelo Coordenador Líder.</w:t>
            </w:r>
            <w:r>
              <w:rPr>
                <w:rFonts w:cs="Calibri"/>
              </w:rPr>
              <w:t xml:space="preserve"> </w:t>
            </w:r>
            <w:r w:rsidRPr="00F545D2">
              <w:rPr>
                <w:rFonts w:cs="Calibri"/>
              </w:rPr>
              <w:t>Considerando que as Debêntures Adicionais serão emitidas sob regime de melhores esforços de colocação, caso não haja a integralização da totalidade das Debêntures Adicionais até a divulgação do Anúncio de Encerramento da Oferta, as Debêntures Adicionais não integralizadas serão canceladas pela Emissor</w:t>
            </w:r>
            <w:r w:rsidR="00B014F5">
              <w:rPr>
                <w:rFonts w:cs="Calibri"/>
              </w:rPr>
              <w:t>a</w:t>
            </w:r>
          </w:p>
        </w:tc>
      </w:tr>
      <w:tr w:rsidR="00BA7853" w:rsidRPr="0082022E" w14:paraId="49C967CC" w14:textId="77777777" w:rsidTr="00000056">
        <w:tc>
          <w:tcPr>
            <w:tcW w:w="1774" w:type="pct"/>
            <w:shd w:val="clear" w:color="auto" w:fill="auto"/>
            <w:noWrap/>
          </w:tcPr>
          <w:p w14:paraId="793DC43E"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“Debêntures da Primeira Série”</w:t>
            </w:r>
          </w:p>
        </w:tc>
        <w:tc>
          <w:tcPr>
            <w:tcW w:w="3226" w:type="pct"/>
            <w:shd w:val="clear" w:color="auto" w:fill="auto"/>
            <w:noWrap/>
          </w:tcPr>
          <w:p w14:paraId="519E87B7" w14:textId="77777777" w:rsidR="00BA7853" w:rsidRPr="00566CD3" w:rsidRDefault="00470ADF" w:rsidP="008D7C7A">
            <w:pPr>
              <w:pStyle w:val="Body"/>
              <w:spacing w:line="240" w:lineRule="auto"/>
              <w:jc w:val="both"/>
            </w:pPr>
            <w:r w:rsidRPr="00566CD3">
              <w:t>648.000 (seiscentas e quarenta e oito mil)</w:t>
            </w:r>
            <w:r w:rsidR="004B4FD8" w:rsidRPr="00566CD3">
              <w:t xml:space="preserve"> Debêntures objeto da Emissão </w:t>
            </w:r>
            <w:r w:rsidR="00BA7853" w:rsidRPr="00566CD3">
              <w:t xml:space="preserve">emitidas </w:t>
            </w:r>
            <w:r w:rsidR="004B4FD8" w:rsidRPr="00566CD3">
              <w:t>no âmbito da primeira série. A quantidade total de Debêntures da</w:t>
            </w:r>
            <w:r w:rsidR="00BA7853" w:rsidRPr="00566CD3">
              <w:t xml:space="preserve"> Primeira Série</w:t>
            </w:r>
            <w:r w:rsidR="004B4FD8" w:rsidRPr="00566CD3">
              <w:t xml:space="preserve"> </w:t>
            </w:r>
            <w:r w:rsidR="005C0F08" w:rsidRPr="00566CD3">
              <w:t>foi</w:t>
            </w:r>
            <w:r w:rsidR="004B4FD8" w:rsidRPr="00566CD3">
              <w:t xml:space="preserve"> determinada no Procedimento</w:t>
            </w:r>
            <w:r w:rsidR="00BA7853" w:rsidRPr="00566CD3">
              <w:t xml:space="preserve"> de </w:t>
            </w:r>
            <w:r w:rsidR="004B4FD8" w:rsidRPr="00566CD3">
              <w:rPr>
                <w:i/>
              </w:rPr>
              <w:t>Bookbuilding</w:t>
            </w:r>
            <w:r w:rsidR="00BA7853" w:rsidRPr="00566CD3">
              <w:t>.</w:t>
            </w:r>
          </w:p>
        </w:tc>
      </w:tr>
    </w:tbl>
    <w:p w14:paraId="57B15856" w14:textId="77777777" w:rsidR="00576AA2" w:rsidRDefault="00576AA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5"/>
        <w:gridCol w:w="5666"/>
      </w:tblGrid>
      <w:tr w:rsidR="00BA7853" w:rsidRPr="0082022E" w14:paraId="4AA7DF08" w14:textId="77777777" w:rsidTr="00000056">
        <w:tc>
          <w:tcPr>
            <w:tcW w:w="1774" w:type="pct"/>
            <w:shd w:val="clear" w:color="auto" w:fill="auto"/>
            <w:noWrap/>
          </w:tcPr>
          <w:p w14:paraId="4E9FE1AA" w14:textId="33B59211"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“Debêntures da Segunda Série”</w:t>
            </w:r>
          </w:p>
        </w:tc>
        <w:tc>
          <w:tcPr>
            <w:tcW w:w="3226" w:type="pct"/>
            <w:shd w:val="clear" w:color="auto" w:fill="auto"/>
            <w:noWrap/>
          </w:tcPr>
          <w:p w14:paraId="66A10774" w14:textId="77777777" w:rsidR="00BA7853" w:rsidRPr="00566CD3" w:rsidRDefault="00470ADF" w:rsidP="008D7C7A">
            <w:pPr>
              <w:pStyle w:val="Body"/>
              <w:spacing w:line="240" w:lineRule="auto"/>
              <w:jc w:val="both"/>
            </w:pPr>
            <w:r w:rsidRPr="00566CD3">
              <w:t>552.000 (quinhentas e cinquenta e duas mil)</w:t>
            </w:r>
            <w:r w:rsidR="004B4FD8" w:rsidRPr="00566CD3">
              <w:t xml:space="preserve"> Debêntures objeto da Emissão </w:t>
            </w:r>
            <w:r w:rsidR="00BA7853" w:rsidRPr="00566CD3">
              <w:t xml:space="preserve">emitidas </w:t>
            </w:r>
            <w:r w:rsidR="004B4FD8" w:rsidRPr="00566CD3">
              <w:t>no âmbito da segunda série. A quantidade total de Debêntures da</w:t>
            </w:r>
            <w:r w:rsidR="00BA7853" w:rsidRPr="00566CD3">
              <w:t xml:space="preserve"> Segunda Série</w:t>
            </w:r>
            <w:r w:rsidR="004B4FD8" w:rsidRPr="00566CD3">
              <w:t xml:space="preserve"> </w:t>
            </w:r>
            <w:r w:rsidR="005C0F08" w:rsidRPr="00566CD3">
              <w:t>foi</w:t>
            </w:r>
            <w:r w:rsidR="004B4FD8" w:rsidRPr="00566CD3">
              <w:t xml:space="preserve"> determinada no Procedimento</w:t>
            </w:r>
            <w:r w:rsidR="00BA7853" w:rsidRPr="00566CD3">
              <w:t xml:space="preserve"> de </w:t>
            </w:r>
            <w:r w:rsidR="004B4FD8" w:rsidRPr="00566CD3">
              <w:rPr>
                <w:i/>
              </w:rPr>
              <w:t>Bookbuilding</w:t>
            </w:r>
            <w:r w:rsidR="00BA7853" w:rsidRPr="00566CD3">
              <w:t>.</w:t>
            </w:r>
          </w:p>
        </w:tc>
      </w:tr>
      <w:tr w:rsidR="00F44519" w:rsidRPr="0082022E" w14:paraId="4679C797" w14:textId="77777777" w:rsidTr="00000056">
        <w:tc>
          <w:tcPr>
            <w:tcW w:w="1774" w:type="pct"/>
            <w:shd w:val="clear" w:color="auto" w:fill="auto"/>
            <w:noWrap/>
          </w:tcPr>
          <w:p w14:paraId="25241358" w14:textId="77777777" w:rsidR="00F44519" w:rsidRPr="00D8141D" w:rsidRDefault="00F44519"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“Debêntures de Infraestrutura”</w:t>
            </w:r>
          </w:p>
        </w:tc>
        <w:tc>
          <w:tcPr>
            <w:tcW w:w="3226" w:type="pct"/>
            <w:shd w:val="clear" w:color="auto" w:fill="auto"/>
            <w:noWrap/>
          </w:tcPr>
          <w:p w14:paraId="7406DDD9" w14:textId="77777777" w:rsidR="00F44519" w:rsidRPr="00566CD3" w:rsidRDefault="00F44519" w:rsidP="00366E72">
            <w:pPr>
              <w:pStyle w:val="Body"/>
              <w:jc w:val="both"/>
              <w:rPr>
                <w:spacing w:val="-6"/>
              </w:rPr>
            </w:pPr>
            <w:r w:rsidRPr="00566CD3">
              <w:rPr>
                <w:spacing w:val="-6"/>
              </w:rPr>
              <w:t>Debêntures que cumpram os seguintes requisitos: (i) remuneração por taxa de juros prefixada, vinculada a índice de preço ou à taxa referencial; (ii) não admitir a pactuação total ou parcial de taxa de juros pós</w:t>
            </w:r>
            <w:r w:rsidR="00E52581" w:rsidRPr="00566CD3">
              <w:rPr>
                <w:spacing w:val="-6"/>
              </w:rPr>
              <w:t xml:space="preserve"> </w:t>
            </w:r>
            <w:r w:rsidRPr="00566CD3">
              <w:rPr>
                <w:spacing w:val="-6"/>
              </w:rPr>
              <w:t>fixada; (iii) prazo médio ponderado superior a 4 (quatro) anos; (iv) vedação à recompra do título ou valor mobiliário pelo respectivo emissor ou parte a ele relacionada nos 2 (dois) primeiros anos após a sua emissão e à liquidação antecipada por meio de resgate ou pré-pagamento pelo respectivo emissor, salvo na forma a ser regulamentada pelo CMN; (v) inexistência de compromisso de revenda assumido pelo titular; (vi) prazo de pagamento periódico de rendimentos, se existente, com intervalos de, no mínimo, 180 (cento e oitenta) dias; (vii) comprovação de seu registro em sistema de registro devidamente autorizado pelo Banco Central ou pela CVM, nas suas respectivas áreas de competência; e (viii) procedimento simplificado que demonstre o compromisso de alocar os recursos captados com as Debêntures de Infraestrutura no pagamento futuro ou no reembolso de gastos, despesas ou dívidas relacionados a projetos de investimento, inclusive os voltados à pesquisa, ao desenvolvimento e à inovação, sendo certo que os projetos de investimento nos quais serão alocados os recursos deverão ser considerados como prioritários pelo Ministério competente.</w:t>
            </w:r>
          </w:p>
        </w:tc>
      </w:tr>
      <w:tr w:rsidR="00BA7853" w:rsidRPr="0082022E" w14:paraId="6F93C23A" w14:textId="77777777" w:rsidTr="00000056">
        <w:tc>
          <w:tcPr>
            <w:tcW w:w="1774" w:type="pct"/>
            <w:shd w:val="clear" w:color="auto" w:fill="auto"/>
            <w:noWrap/>
          </w:tcPr>
          <w:p w14:paraId="48EACC23"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“Debêntures em Circulação”</w:t>
            </w:r>
          </w:p>
        </w:tc>
        <w:tc>
          <w:tcPr>
            <w:tcW w:w="3226" w:type="pct"/>
            <w:shd w:val="clear" w:color="auto" w:fill="auto"/>
            <w:noWrap/>
          </w:tcPr>
          <w:p w14:paraId="72A64436" w14:textId="77777777" w:rsidR="00BA7853" w:rsidRPr="00D8141D" w:rsidRDefault="00BA7853" w:rsidP="00366E72">
            <w:pPr>
              <w:pStyle w:val="HOMEBRBodyText"/>
              <w:keepLines w:val="0"/>
              <w:widowControl w:val="0"/>
              <w:spacing w:after="140" w:line="290" w:lineRule="auto"/>
              <w:jc w:val="both"/>
              <w:rPr>
                <w:rFonts w:cs="Calibri"/>
                <w:lang w:val="pt-BR"/>
              </w:rPr>
            </w:pPr>
            <w:r w:rsidRPr="00D8141D">
              <w:rPr>
                <w:rFonts w:cs="Calibri"/>
                <w:lang w:val="pt-BR"/>
              </w:rPr>
              <w:t xml:space="preserve">Todas as Debêntures </w:t>
            </w:r>
            <w:r w:rsidR="00AA58A3" w:rsidRPr="00D8141D">
              <w:rPr>
                <w:rFonts w:cs="Calibri"/>
                <w:lang w:val="pt-BR"/>
              </w:rPr>
              <w:t>em circulação no mercado</w:t>
            </w:r>
            <w:r w:rsidRPr="00D8141D">
              <w:rPr>
                <w:rFonts w:cs="Calibri"/>
                <w:lang w:val="pt-BR"/>
              </w:rPr>
              <w:t xml:space="preserve">, excluídas </w:t>
            </w:r>
            <w:r w:rsidR="00AA58A3" w:rsidRPr="00D8141D">
              <w:rPr>
                <w:rFonts w:cs="Calibri"/>
                <w:lang w:val="pt-BR"/>
              </w:rPr>
              <w:t>as Debêntures que a Emissora possuir</w:t>
            </w:r>
            <w:r w:rsidRPr="00D8141D">
              <w:rPr>
                <w:rFonts w:cs="Calibri"/>
                <w:lang w:val="pt-BR"/>
              </w:rPr>
              <w:t xml:space="preserve"> em tesouraria</w:t>
            </w:r>
            <w:r w:rsidR="00AA58A3" w:rsidRPr="00D8141D">
              <w:rPr>
                <w:rFonts w:cs="Calibri"/>
                <w:lang w:val="pt-BR"/>
              </w:rPr>
              <w:t xml:space="preserve">, ou que sejam </w:t>
            </w:r>
            <w:r w:rsidRPr="00D8141D">
              <w:rPr>
                <w:rFonts w:cs="Calibri"/>
                <w:lang w:val="pt-BR"/>
              </w:rPr>
              <w:t xml:space="preserve">de </w:t>
            </w:r>
            <w:r w:rsidR="00AA58A3" w:rsidRPr="00D8141D">
              <w:rPr>
                <w:rFonts w:cs="Calibri"/>
                <w:lang w:val="pt-BR"/>
              </w:rPr>
              <w:t>propriedade</w:t>
            </w:r>
            <w:r w:rsidRPr="00D8141D">
              <w:rPr>
                <w:rFonts w:cs="Calibri"/>
                <w:lang w:val="pt-BR"/>
              </w:rPr>
              <w:t xml:space="preserve"> de </w:t>
            </w:r>
            <w:r w:rsidR="00AA58A3" w:rsidRPr="00D8141D">
              <w:rPr>
                <w:rFonts w:cs="Calibri"/>
                <w:lang w:val="pt-BR"/>
              </w:rPr>
              <w:t>seus</w:t>
            </w:r>
            <w:r w:rsidRPr="00D8141D">
              <w:rPr>
                <w:rFonts w:cs="Calibri"/>
                <w:lang w:val="pt-BR"/>
              </w:rPr>
              <w:t xml:space="preserve"> controladores </w:t>
            </w:r>
            <w:r w:rsidR="00AA58A3" w:rsidRPr="00D8141D">
              <w:rPr>
                <w:rFonts w:cs="Calibri"/>
                <w:lang w:val="pt-BR"/>
              </w:rPr>
              <w:t>ou de qualquer de suas controladas ou coligadas, bem como dos respectivos</w:t>
            </w:r>
            <w:r w:rsidRPr="00D8141D">
              <w:rPr>
                <w:rFonts w:cs="Calibri"/>
                <w:lang w:val="pt-BR"/>
              </w:rPr>
              <w:t xml:space="preserve"> diretores </w:t>
            </w:r>
            <w:r w:rsidR="00AA58A3" w:rsidRPr="00D8141D">
              <w:rPr>
                <w:rFonts w:cs="Calibri"/>
                <w:lang w:val="pt-BR"/>
              </w:rPr>
              <w:t>ou</w:t>
            </w:r>
            <w:r w:rsidRPr="00D8141D">
              <w:rPr>
                <w:rFonts w:cs="Calibri"/>
                <w:lang w:val="pt-BR"/>
              </w:rPr>
              <w:t xml:space="preserve"> conselheiros </w:t>
            </w:r>
            <w:r w:rsidR="00AA58A3" w:rsidRPr="00D8141D">
              <w:rPr>
                <w:rFonts w:cs="Calibri"/>
                <w:lang w:val="pt-BR"/>
              </w:rPr>
              <w:t xml:space="preserve">e respectivos cônjuges. </w:t>
            </w:r>
          </w:p>
        </w:tc>
      </w:tr>
      <w:tr w:rsidR="00407B1A" w:rsidRPr="0082022E" w14:paraId="19837683" w14:textId="77777777" w:rsidTr="00000056">
        <w:tc>
          <w:tcPr>
            <w:tcW w:w="1774" w:type="pct"/>
            <w:shd w:val="clear" w:color="auto" w:fill="auto"/>
            <w:noWrap/>
          </w:tcPr>
          <w:p w14:paraId="128F1998" w14:textId="77777777" w:rsidR="00407B1A" w:rsidRPr="00D8141D" w:rsidRDefault="00407B1A"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“Debêntures Verde</w:t>
            </w:r>
            <w:r w:rsidR="00801EDF" w:rsidRPr="00D8141D">
              <w:rPr>
                <w:rFonts w:eastAsia="Calibri" w:cs="Calibri"/>
                <w:b/>
                <w:lang w:val="pt-BR"/>
              </w:rPr>
              <w:t>s</w:t>
            </w:r>
            <w:r w:rsidRPr="00D8141D">
              <w:rPr>
                <w:rFonts w:eastAsia="Calibri" w:cs="Calibri"/>
                <w:b/>
                <w:lang w:val="pt-BR"/>
              </w:rPr>
              <w:t>”’</w:t>
            </w:r>
          </w:p>
        </w:tc>
        <w:tc>
          <w:tcPr>
            <w:tcW w:w="3226" w:type="pct"/>
            <w:shd w:val="clear" w:color="auto" w:fill="auto"/>
            <w:noWrap/>
          </w:tcPr>
          <w:p w14:paraId="16D58CB3" w14:textId="77777777" w:rsidR="00407B1A" w:rsidRPr="00D8141D" w:rsidRDefault="00407B1A" w:rsidP="00366E72">
            <w:pPr>
              <w:pStyle w:val="HOMEBRBodyText"/>
              <w:keepLines w:val="0"/>
              <w:widowControl w:val="0"/>
              <w:spacing w:after="140" w:line="290" w:lineRule="auto"/>
              <w:jc w:val="both"/>
              <w:rPr>
                <w:rFonts w:cs="Calibri"/>
                <w:spacing w:val="-4"/>
                <w:lang w:val="pt-BR"/>
              </w:rPr>
            </w:pPr>
            <w:r w:rsidRPr="00366E72">
              <w:rPr>
                <w:spacing w:val="-4"/>
                <w:lang w:val="pt-BR"/>
              </w:rPr>
              <w:t xml:space="preserve">As Debêntures </w:t>
            </w:r>
            <w:r w:rsidR="00411FBD">
              <w:rPr>
                <w:spacing w:val="-4"/>
                <w:lang w:val="pt-BR"/>
              </w:rPr>
              <w:t>são</w:t>
            </w:r>
            <w:r w:rsidRPr="00366E72">
              <w:rPr>
                <w:spacing w:val="-4"/>
                <w:lang w:val="pt-BR"/>
              </w:rPr>
              <w:t xml:space="preserve"> caracterizadas como “debêntures verdes”, nos termos do Decreto nº 8.874/16 (conforme abaixo definido), com base em: (i) Parecer Independente, emitido por consultoria especializada, atestando que as Debêntures cumprem com as regras emitidas pela </w:t>
            </w:r>
            <w:r w:rsidR="008B47A6" w:rsidRPr="00366E72">
              <w:rPr>
                <w:spacing w:val="-4"/>
                <w:lang w:val="pt-BR"/>
              </w:rPr>
              <w:t>ICMA</w:t>
            </w:r>
            <w:r w:rsidRPr="00366E72">
              <w:rPr>
                <w:spacing w:val="-4"/>
                <w:lang w:val="pt-BR"/>
              </w:rPr>
              <w:t xml:space="preserve"> e constantes do </w:t>
            </w:r>
            <w:r w:rsidRPr="00366E72">
              <w:rPr>
                <w:i/>
                <w:spacing w:val="-4"/>
                <w:lang w:val="pt-BR"/>
              </w:rPr>
              <w:t xml:space="preserve">Green Bond Principles (GBP) </w:t>
            </w:r>
            <w:r w:rsidRPr="00366E72">
              <w:rPr>
                <w:spacing w:val="-4"/>
                <w:lang w:val="pt-BR"/>
              </w:rPr>
              <w:t xml:space="preserve">de 2021, conforme atualizado, para caracterização da </w:t>
            </w:r>
            <w:r w:rsidRPr="00366E72">
              <w:rPr>
                <w:spacing w:val="-4"/>
                <w:lang w:val="pt-BR"/>
              </w:rPr>
              <w:lastRenderedPageBreak/>
              <w:t xml:space="preserve">emissão na categoria de </w:t>
            </w:r>
            <w:r w:rsidR="00F753FD" w:rsidRPr="00D8141D">
              <w:rPr>
                <w:rFonts w:cs="Calibri"/>
                <w:spacing w:val="-4"/>
                <w:lang w:val="pt-BR"/>
              </w:rPr>
              <w:t>“</w:t>
            </w:r>
            <w:r w:rsidR="00F753FD" w:rsidRPr="00D8141D">
              <w:rPr>
                <w:rFonts w:cs="Calibri"/>
                <w:spacing w:val="-4"/>
                <w:u w:val="single"/>
                <w:lang w:val="pt-BR"/>
              </w:rPr>
              <w:t>energia renovável</w:t>
            </w:r>
            <w:r w:rsidR="00F753FD" w:rsidRPr="00D8141D">
              <w:rPr>
                <w:rFonts w:cs="Calibri"/>
                <w:spacing w:val="-4"/>
                <w:lang w:val="pt-BR"/>
              </w:rPr>
              <w:t>”;</w:t>
            </w:r>
            <w:r w:rsidR="00F753FD" w:rsidRPr="00366E72">
              <w:rPr>
                <w:spacing w:val="-4"/>
                <w:lang w:val="pt-BR"/>
              </w:rPr>
              <w:t xml:space="preserve"> </w:t>
            </w:r>
            <w:r w:rsidRPr="00366E72">
              <w:rPr>
                <w:spacing w:val="-4"/>
                <w:lang w:val="pt-BR"/>
              </w:rPr>
              <w:t xml:space="preserve">e (ii) </w:t>
            </w:r>
            <w:r w:rsidR="008B47A6" w:rsidRPr="00366E72">
              <w:rPr>
                <w:spacing w:val="-4"/>
                <w:lang w:val="pt-BR"/>
              </w:rPr>
              <w:t>Marcação ESG</w:t>
            </w:r>
            <w:r w:rsidRPr="00366E72">
              <w:rPr>
                <w:spacing w:val="-4"/>
                <w:lang w:val="pt-BR"/>
              </w:rPr>
              <w:t xml:space="preserve">, observados os procedimentos adotados pela B3. </w:t>
            </w:r>
          </w:p>
        </w:tc>
      </w:tr>
      <w:tr w:rsidR="00BA7853" w:rsidRPr="00D8141D" w14:paraId="279D9643" w14:textId="77777777" w:rsidTr="00000056">
        <w:tc>
          <w:tcPr>
            <w:tcW w:w="1774" w:type="pct"/>
            <w:shd w:val="clear" w:color="auto" w:fill="auto"/>
            <w:noWrap/>
          </w:tcPr>
          <w:p w14:paraId="63663E01"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“Debenturistas”</w:t>
            </w:r>
          </w:p>
        </w:tc>
        <w:tc>
          <w:tcPr>
            <w:tcW w:w="3226" w:type="pct"/>
            <w:shd w:val="clear" w:color="auto" w:fill="auto"/>
            <w:noWrap/>
          </w:tcPr>
          <w:p w14:paraId="646591F7" w14:textId="77777777" w:rsidR="00BA7853" w:rsidRPr="00D8141D" w:rsidRDefault="00BA7853" w:rsidP="00366E72">
            <w:pPr>
              <w:pStyle w:val="HOMEBRBodyText"/>
              <w:keepLines w:val="0"/>
              <w:widowControl w:val="0"/>
              <w:spacing w:after="140" w:line="290" w:lineRule="auto"/>
              <w:jc w:val="both"/>
              <w:rPr>
                <w:rFonts w:cs="Calibri"/>
                <w:lang w:val="pt-BR"/>
              </w:rPr>
            </w:pPr>
            <w:r w:rsidRPr="00D8141D">
              <w:rPr>
                <w:rFonts w:cs="Calibri"/>
                <w:lang w:val="pt-BR"/>
              </w:rPr>
              <w:t>Os titulares das Debêntures.</w:t>
            </w:r>
          </w:p>
        </w:tc>
      </w:tr>
      <w:tr w:rsidR="00BA7853" w:rsidRPr="0082022E" w14:paraId="4159E015" w14:textId="77777777" w:rsidTr="00000056">
        <w:tc>
          <w:tcPr>
            <w:tcW w:w="1774" w:type="pct"/>
            <w:shd w:val="clear" w:color="auto" w:fill="auto"/>
            <w:noWrap/>
          </w:tcPr>
          <w:p w14:paraId="639A4089"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cs="Calibri"/>
                <w:b/>
                <w:lang w:val="pt-BR"/>
              </w:rPr>
              <w:t>“Decreto 8.874”</w:t>
            </w:r>
          </w:p>
        </w:tc>
        <w:tc>
          <w:tcPr>
            <w:tcW w:w="3226" w:type="pct"/>
            <w:shd w:val="clear" w:color="auto" w:fill="auto"/>
            <w:noWrap/>
          </w:tcPr>
          <w:p w14:paraId="2FAAAA74" w14:textId="77777777" w:rsidR="00BA7853" w:rsidRPr="00D8141D" w:rsidRDefault="00BA7853" w:rsidP="00366E72">
            <w:pPr>
              <w:pStyle w:val="HOMEBRBodyText"/>
              <w:keepLines w:val="0"/>
              <w:widowControl w:val="0"/>
              <w:spacing w:after="140" w:line="290" w:lineRule="auto"/>
              <w:jc w:val="both"/>
              <w:rPr>
                <w:rFonts w:cs="Calibri"/>
                <w:lang w:val="pt-BR"/>
              </w:rPr>
            </w:pPr>
            <w:r w:rsidRPr="00D8141D">
              <w:rPr>
                <w:rFonts w:cs="Calibri"/>
                <w:lang w:val="pt-BR"/>
              </w:rPr>
              <w:t>Decreto nº 8.874, de 11 de outubro de 2016</w:t>
            </w:r>
            <w:r w:rsidR="00D31081" w:rsidRPr="00D8141D">
              <w:rPr>
                <w:rFonts w:cs="Calibri"/>
                <w:lang w:val="pt-BR"/>
              </w:rPr>
              <w:t>, publicado no DOU em 13 de outubro de 2016</w:t>
            </w:r>
            <w:r w:rsidR="00407B1A" w:rsidRPr="00D8141D">
              <w:rPr>
                <w:rFonts w:cs="Calibri"/>
                <w:lang w:val="pt-BR"/>
              </w:rPr>
              <w:t xml:space="preserve"> e </w:t>
            </w:r>
            <w:r w:rsidR="00407B1A" w:rsidRPr="00B63002">
              <w:rPr>
                <w:lang w:val="pt-BR"/>
              </w:rPr>
              <w:t>alterado pelo decreto nº 10.387, de 5 de junho de 2020 (“</w:t>
            </w:r>
            <w:r w:rsidR="00407B1A" w:rsidRPr="00B63002">
              <w:rPr>
                <w:u w:val="single"/>
                <w:lang w:val="pt-BR"/>
              </w:rPr>
              <w:t>Decreto nº 10.387/20</w:t>
            </w:r>
            <w:r w:rsidR="00407B1A" w:rsidRPr="00B63002">
              <w:rPr>
                <w:lang w:val="pt-BR"/>
              </w:rPr>
              <w:t>”).</w:t>
            </w:r>
          </w:p>
        </w:tc>
      </w:tr>
      <w:tr w:rsidR="00BA7853" w:rsidRPr="0082022E" w14:paraId="614B4899" w14:textId="77777777" w:rsidTr="00000056">
        <w:tc>
          <w:tcPr>
            <w:tcW w:w="1774" w:type="pct"/>
            <w:shd w:val="clear" w:color="auto" w:fill="auto"/>
            <w:noWrap/>
          </w:tcPr>
          <w:p w14:paraId="2FF66B75"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cs="Calibri"/>
                <w:b/>
                <w:lang w:val="pt-BR"/>
              </w:rPr>
              <w:t>“Dia(s) Útil(eis)”</w:t>
            </w:r>
          </w:p>
        </w:tc>
        <w:tc>
          <w:tcPr>
            <w:tcW w:w="3226" w:type="pct"/>
            <w:shd w:val="clear" w:color="auto" w:fill="auto"/>
            <w:noWrap/>
          </w:tcPr>
          <w:p w14:paraId="1B853B93" w14:textId="77777777" w:rsidR="00BA7853" w:rsidRPr="00D8141D" w:rsidRDefault="00D31081" w:rsidP="00366E72">
            <w:pPr>
              <w:pStyle w:val="HOMEBRBodyText"/>
              <w:keepLines w:val="0"/>
              <w:widowControl w:val="0"/>
              <w:spacing w:after="140" w:line="290" w:lineRule="auto"/>
              <w:jc w:val="both"/>
              <w:rPr>
                <w:rFonts w:cs="Calibri"/>
                <w:lang w:val="pt-BR"/>
              </w:rPr>
            </w:pPr>
            <w:r w:rsidRPr="00D8141D">
              <w:rPr>
                <w:rFonts w:cs="Calibri"/>
                <w:lang w:val="pt-BR"/>
              </w:rPr>
              <w:t xml:space="preserve">(i) com relação a qualquer obrigação pecuniária realizada por meio da B3, inclusive para fins de cálculo, qualquer dia que não seja sábado, domingo ou feriado declarado nacional; (ii) com relação a qualquer obrigação pecuniária que não seja realizada por meio da B3, qualquer dia no qual haja expediente nos bancos comerciais na Cidade de São Paulo, Estado de São Paulo, e na Cidade de Pradópolis, e que não seja sábado ou domingo; e (iii) com relação a qualquer obrigação não pecuniária prevista na Escritura de Emissão, qualquer dia que não seja sábado ou domingo ou feriado na Cidade de São Paulo, Estado de São Paulo e na Cidade de </w:t>
            </w:r>
            <w:r w:rsidR="00AA58A3" w:rsidRPr="00D8141D">
              <w:rPr>
                <w:rFonts w:cs="Calibri"/>
                <w:lang w:val="pt-BR"/>
              </w:rPr>
              <w:t>Pradópolis</w:t>
            </w:r>
            <w:r w:rsidR="00BA7853" w:rsidRPr="00D8141D">
              <w:rPr>
                <w:rFonts w:cs="Calibri"/>
                <w:lang w:val="pt-BR"/>
              </w:rPr>
              <w:t>.</w:t>
            </w:r>
          </w:p>
        </w:tc>
      </w:tr>
      <w:tr w:rsidR="00BA7853" w:rsidRPr="00D8141D" w14:paraId="4E084821" w14:textId="77777777" w:rsidTr="00000056">
        <w:tc>
          <w:tcPr>
            <w:tcW w:w="1774" w:type="pct"/>
            <w:shd w:val="clear" w:color="auto" w:fill="auto"/>
            <w:noWrap/>
          </w:tcPr>
          <w:p w14:paraId="202CF964"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“Diretoria”</w:t>
            </w:r>
          </w:p>
        </w:tc>
        <w:tc>
          <w:tcPr>
            <w:tcW w:w="3226" w:type="pct"/>
            <w:shd w:val="clear" w:color="auto" w:fill="auto"/>
            <w:noWrap/>
          </w:tcPr>
          <w:p w14:paraId="786822B4" w14:textId="77777777" w:rsidR="00BA7853" w:rsidRPr="00D8141D" w:rsidRDefault="00BA7853" w:rsidP="00366E72">
            <w:pPr>
              <w:pStyle w:val="HOMEBRBodyText"/>
              <w:keepLines w:val="0"/>
              <w:widowControl w:val="0"/>
              <w:spacing w:after="140" w:line="290" w:lineRule="auto"/>
              <w:jc w:val="both"/>
              <w:rPr>
                <w:rFonts w:cs="Calibri"/>
                <w:lang w:val="pt-BR"/>
              </w:rPr>
            </w:pPr>
            <w:r w:rsidRPr="00D8141D">
              <w:rPr>
                <w:rFonts w:eastAsia="Calibri" w:cs="Calibri"/>
                <w:lang w:val="pt-BR"/>
              </w:rPr>
              <w:t>A Diretoria da Emissora.</w:t>
            </w:r>
          </w:p>
        </w:tc>
      </w:tr>
      <w:tr w:rsidR="00BA7853" w:rsidRPr="0082022E" w14:paraId="47DE8254" w14:textId="77777777" w:rsidTr="00000056">
        <w:tc>
          <w:tcPr>
            <w:tcW w:w="1774" w:type="pct"/>
            <w:shd w:val="clear" w:color="auto" w:fill="auto"/>
            <w:noWrap/>
          </w:tcPr>
          <w:p w14:paraId="2EC3F3D4"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“DOESP”</w:t>
            </w:r>
          </w:p>
        </w:tc>
        <w:tc>
          <w:tcPr>
            <w:tcW w:w="3226" w:type="pct"/>
            <w:shd w:val="clear" w:color="auto" w:fill="auto"/>
            <w:noWrap/>
          </w:tcPr>
          <w:p w14:paraId="2E6DDDB0" w14:textId="77777777" w:rsidR="00BA7853" w:rsidRPr="00D8141D" w:rsidRDefault="00BA7853"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Diário Oficial do Estado de São Paulo.</w:t>
            </w:r>
          </w:p>
        </w:tc>
      </w:tr>
      <w:tr w:rsidR="00BA7853" w:rsidRPr="00D8141D" w14:paraId="1DEC6046" w14:textId="77777777" w:rsidTr="00000056">
        <w:tc>
          <w:tcPr>
            <w:tcW w:w="1774" w:type="pct"/>
            <w:shd w:val="clear" w:color="auto" w:fill="auto"/>
            <w:noWrap/>
          </w:tcPr>
          <w:p w14:paraId="3E3A9EBE"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“DOU”</w:t>
            </w:r>
          </w:p>
        </w:tc>
        <w:tc>
          <w:tcPr>
            <w:tcW w:w="3226" w:type="pct"/>
            <w:shd w:val="clear" w:color="auto" w:fill="auto"/>
            <w:noWrap/>
          </w:tcPr>
          <w:p w14:paraId="69E8AAC6" w14:textId="77777777" w:rsidR="00BA7853" w:rsidRPr="00D8141D" w:rsidRDefault="00BA7853"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Diário Oficial da União.</w:t>
            </w:r>
          </w:p>
        </w:tc>
      </w:tr>
      <w:tr w:rsidR="00000056" w:rsidRPr="0082022E" w14:paraId="1DB5FCC1" w14:textId="77777777" w:rsidTr="00000056">
        <w:tc>
          <w:tcPr>
            <w:tcW w:w="1774" w:type="pct"/>
            <w:shd w:val="clear" w:color="auto" w:fill="auto"/>
            <w:noWrap/>
          </w:tcPr>
          <w:p w14:paraId="103617F4"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“Emissão”</w:t>
            </w:r>
          </w:p>
        </w:tc>
        <w:tc>
          <w:tcPr>
            <w:tcW w:w="3226" w:type="pct"/>
            <w:shd w:val="clear" w:color="auto" w:fill="auto"/>
            <w:noWrap/>
          </w:tcPr>
          <w:p w14:paraId="064199CD" w14:textId="77777777" w:rsidR="00000056" w:rsidRPr="00D8141D" w:rsidRDefault="00000056" w:rsidP="00366E72">
            <w:pPr>
              <w:pStyle w:val="HOMEBRBodyText"/>
              <w:keepLines w:val="0"/>
              <w:widowControl w:val="0"/>
              <w:spacing w:after="140" w:line="290" w:lineRule="auto"/>
              <w:jc w:val="both"/>
              <w:rPr>
                <w:rFonts w:eastAsia="Calibri" w:cs="Calibri"/>
                <w:spacing w:val="-4"/>
                <w:lang w:val="pt-BR"/>
              </w:rPr>
            </w:pPr>
            <w:r w:rsidRPr="00D8141D">
              <w:rPr>
                <w:rFonts w:eastAsia="Calibri" w:cs="Calibri"/>
                <w:lang w:val="pt-BR"/>
              </w:rPr>
              <w:t xml:space="preserve">A presente </w:t>
            </w:r>
            <w:r w:rsidRPr="00D8141D">
              <w:rPr>
                <w:rFonts w:cs="Calibri"/>
                <w:lang w:val="pt-BR"/>
              </w:rPr>
              <w:t>emissão de Debêntures da Emissora, que representa a 4ª (quarta) emissão da Emissora.</w:t>
            </w:r>
          </w:p>
        </w:tc>
      </w:tr>
      <w:tr w:rsidR="00000056" w:rsidRPr="0082022E" w14:paraId="0F108CFF" w14:textId="77777777" w:rsidTr="00000056">
        <w:tc>
          <w:tcPr>
            <w:tcW w:w="1774" w:type="pct"/>
            <w:shd w:val="clear" w:color="auto" w:fill="auto"/>
            <w:noWrap/>
          </w:tcPr>
          <w:p w14:paraId="69AE4330"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“Emissora” ou “São Martinho”</w:t>
            </w:r>
          </w:p>
        </w:tc>
        <w:tc>
          <w:tcPr>
            <w:tcW w:w="3226" w:type="pct"/>
            <w:shd w:val="clear" w:color="auto" w:fill="auto"/>
            <w:noWrap/>
          </w:tcPr>
          <w:p w14:paraId="5D5488CA" w14:textId="77777777" w:rsidR="00000056" w:rsidRPr="00D8141D" w:rsidRDefault="00000056" w:rsidP="008D7C7A">
            <w:pPr>
              <w:pStyle w:val="HOMEBRBodyText"/>
              <w:keepLines w:val="0"/>
              <w:widowControl w:val="0"/>
              <w:spacing w:after="140"/>
              <w:jc w:val="both"/>
              <w:rPr>
                <w:rFonts w:eastAsia="Calibri" w:cs="Calibri"/>
                <w:lang w:val="pt-BR"/>
              </w:rPr>
            </w:pPr>
            <w:r w:rsidRPr="00D8141D">
              <w:rPr>
                <w:rFonts w:cs="Calibri"/>
                <w:b/>
                <w:bCs/>
                <w:color w:val="000000"/>
                <w:lang w:val="pt-BR"/>
              </w:rPr>
              <w:t>SÃO MARTINHO S.A.</w:t>
            </w:r>
            <w:r w:rsidRPr="00D8141D">
              <w:rPr>
                <w:rFonts w:cs="Calibri"/>
                <w:lang w:val="pt-BR"/>
              </w:rPr>
              <w:t>, sociedade por ações com registro de companhia aberta perante a CVM, com sede na Cidade de Pradópolis, Estado de São Paulo, na Fazenda São Martinho, s/n, inscrita no CNPJ/ME sob o n° 51.466.860/0001-56, neste ato representada na forma de seu estatuto social.</w:t>
            </w:r>
          </w:p>
        </w:tc>
      </w:tr>
      <w:tr w:rsidR="00D05A75" w:rsidRPr="0082022E" w14:paraId="29138754" w14:textId="77777777" w:rsidTr="00000056">
        <w:tc>
          <w:tcPr>
            <w:tcW w:w="1774" w:type="pct"/>
            <w:shd w:val="clear" w:color="auto" w:fill="auto"/>
            <w:noWrap/>
          </w:tcPr>
          <w:p w14:paraId="08FDBD6D" w14:textId="77777777" w:rsidR="00D05A75" w:rsidRPr="00D8141D" w:rsidRDefault="00D05A75" w:rsidP="00D05A75">
            <w:pPr>
              <w:pStyle w:val="HOMEBRBodyText"/>
              <w:keepLines w:val="0"/>
              <w:widowControl w:val="0"/>
              <w:spacing w:after="140" w:line="290" w:lineRule="auto"/>
              <w:rPr>
                <w:rFonts w:eastAsia="Calibri" w:cs="Calibri"/>
                <w:b/>
                <w:lang w:val="pt-BR"/>
              </w:rPr>
            </w:pPr>
            <w:r w:rsidRPr="00D8141D">
              <w:rPr>
                <w:rFonts w:eastAsia="Calibri" w:cs="Calibri"/>
                <w:b/>
                <w:lang w:val="pt-BR"/>
              </w:rPr>
              <w:t>“Encargos Moratórios”</w:t>
            </w:r>
          </w:p>
        </w:tc>
        <w:tc>
          <w:tcPr>
            <w:tcW w:w="3226" w:type="pct"/>
            <w:shd w:val="clear" w:color="auto" w:fill="auto"/>
            <w:noWrap/>
          </w:tcPr>
          <w:p w14:paraId="0958A736" w14:textId="77777777" w:rsidR="00D05A75" w:rsidRPr="00D8141D" w:rsidRDefault="00D05A75" w:rsidP="00D05A75">
            <w:pPr>
              <w:pStyle w:val="HOMEBRBodyText"/>
              <w:keepLines w:val="0"/>
              <w:widowControl w:val="0"/>
              <w:spacing w:after="140" w:line="290" w:lineRule="auto"/>
              <w:jc w:val="both"/>
              <w:rPr>
                <w:rFonts w:eastAsia="Calibri" w:cs="Calibri"/>
                <w:spacing w:val="4"/>
                <w:lang w:val="pt-BR"/>
              </w:rPr>
            </w:pPr>
            <w:r w:rsidRPr="00BD6FAD">
              <w:rPr>
                <w:spacing w:val="4"/>
                <w:lang w:val="pt-BR"/>
              </w:rPr>
              <w:t xml:space="preserve">Ocorrendo a impontualidade no pagamento pela Emissora de qualquer valor devido aos Debenturistas, os débitos em atraso ficarão sujeitos a, independentemente de aviso, notificação ou interpelação judicial ou extrajudicial: </w:t>
            </w:r>
            <w:r w:rsidRPr="00BD6FAD">
              <w:rPr>
                <w:b/>
                <w:spacing w:val="4"/>
                <w:lang w:val="pt-BR"/>
              </w:rPr>
              <w:t>(i)</w:t>
            </w:r>
            <w:r w:rsidRPr="00BD6FAD">
              <w:rPr>
                <w:spacing w:val="4"/>
                <w:lang w:val="pt-BR"/>
              </w:rPr>
              <w:t xml:space="preserve"> multa convencional, irredutível e de natureza não compensatória de 2% (dois por cento); e </w:t>
            </w:r>
            <w:r w:rsidRPr="00BD6FAD">
              <w:rPr>
                <w:b/>
                <w:spacing w:val="4"/>
                <w:lang w:val="pt-BR"/>
              </w:rPr>
              <w:t>(ii)</w:t>
            </w:r>
            <w:r w:rsidRPr="00BD6FAD">
              <w:rPr>
                <w:spacing w:val="4"/>
                <w:lang w:val="pt-BR"/>
              </w:rPr>
              <w:t xml:space="preserve"> juros moratórios à razão de 1% (um por cento) ao mês, desde a </w:t>
            </w:r>
            <w:r w:rsidRPr="00BD6FAD">
              <w:rPr>
                <w:spacing w:val="4"/>
                <w:lang w:val="pt-BR"/>
              </w:rPr>
              <w:lastRenderedPageBreak/>
              <w:t>data da inadimplência até a data do efetivo pagamento; ambos calculados sobre o montante devido e não pago.</w:t>
            </w:r>
          </w:p>
        </w:tc>
      </w:tr>
      <w:tr w:rsidR="00000056" w:rsidRPr="0082022E" w14:paraId="442958C8" w14:textId="77777777" w:rsidTr="00000056">
        <w:tc>
          <w:tcPr>
            <w:tcW w:w="1774" w:type="pct"/>
            <w:shd w:val="clear" w:color="auto" w:fill="auto"/>
            <w:noWrap/>
          </w:tcPr>
          <w:p w14:paraId="6D3B6AA5"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“Escritura de Emissão”</w:t>
            </w:r>
          </w:p>
        </w:tc>
        <w:tc>
          <w:tcPr>
            <w:tcW w:w="3226" w:type="pct"/>
            <w:shd w:val="clear" w:color="auto" w:fill="auto"/>
            <w:noWrap/>
          </w:tcPr>
          <w:p w14:paraId="1B772093"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cs="Calibri"/>
                <w:lang w:val="pt-BR"/>
              </w:rPr>
              <w:t>“</w:t>
            </w:r>
            <w:r w:rsidRPr="00D8141D">
              <w:rPr>
                <w:rFonts w:cs="Calibri"/>
                <w:i/>
                <w:lang w:val="pt-BR"/>
              </w:rPr>
              <w:t>Instrumento Particular de Escritura da 4ª (Quarta) Emissão de Debêntures, Não Conversíveis em Ações, da Espécie Quirografária, em até Duas Séries, para Distribuição Pública, da São Martinho S.A.</w:t>
            </w:r>
            <w:r w:rsidRPr="00D8141D">
              <w:rPr>
                <w:rFonts w:cs="Calibri"/>
                <w:lang w:val="pt-BR"/>
              </w:rPr>
              <w:t xml:space="preserve">”, celebrado em </w:t>
            </w:r>
            <w:r w:rsidR="00DB205D" w:rsidRPr="00D8141D">
              <w:rPr>
                <w:rFonts w:cs="Calibri"/>
                <w:lang w:val="pt-BR"/>
              </w:rPr>
              <w:t>13</w:t>
            </w:r>
            <w:r w:rsidRPr="00D8141D">
              <w:rPr>
                <w:rFonts w:cs="Calibri"/>
                <w:lang w:val="pt-BR"/>
              </w:rPr>
              <w:t xml:space="preserve"> de dezembro de 2021 entre a Emissora e o Agente Fiduciário</w:t>
            </w:r>
            <w:r w:rsidRPr="00D8141D">
              <w:rPr>
                <w:rFonts w:eastAsia="Calibri" w:cs="Calibri"/>
                <w:lang w:val="pt-BR"/>
              </w:rPr>
              <w:t xml:space="preserve">, </w:t>
            </w:r>
            <w:r w:rsidR="00470ADF" w:rsidRPr="00D8141D">
              <w:rPr>
                <w:rFonts w:eastAsia="Calibri" w:cs="Calibri"/>
                <w:lang w:val="pt-BR"/>
              </w:rPr>
              <w:t>registrada</w:t>
            </w:r>
            <w:r w:rsidRPr="00D8141D">
              <w:rPr>
                <w:rFonts w:eastAsia="Calibri" w:cs="Calibri"/>
                <w:lang w:val="pt-BR"/>
              </w:rPr>
              <w:t xml:space="preserve"> na JUCESP</w:t>
            </w:r>
            <w:r w:rsidR="001F6E15" w:rsidRPr="00D8141D">
              <w:rPr>
                <w:rFonts w:eastAsia="Calibri" w:cs="Calibri"/>
                <w:lang w:val="pt-BR"/>
              </w:rPr>
              <w:t xml:space="preserve"> em </w:t>
            </w:r>
            <w:r w:rsidR="009852D1" w:rsidRPr="00D8141D">
              <w:rPr>
                <w:rFonts w:eastAsia="Calibri" w:cs="Calibri"/>
                <w:lang w:val="pt-BR"/>
              </w:rPr>
              <w:t>20</w:t>
            </w:r>
            <w:r w:rsidR="001F6E15" w:rsidRPr="00D8141D">
              <w:rPr>
                <w:rFonts w:eastAsia="Calibri" w:cs="Calibri"/>
                <w:lang w:val="pt-BR"/>
              </w:rPr>
              <w:t xml:space="preserve"> de dezembro de 2021 sob o nº </w:t>
            </w:r>
            <w:r w:rsidR="009852D1" w:rsidRPr="00D8141D">
              <w:rPr>
                <w:rFonts w:eastAsia="Calibri" w:cs="Calibri"/>
                <w:lang w:val="pt-BR"/>
              </w:rPr>
              <w:t>ED004311-4/000</w:t>
            </w:r>
            <w:r w:rsidR="00594141" w:rsidRPr="00D8141D">
              <w:rPr>
                <w:rFonts w:eastAsia="Calibri" w:cs="Calibri"/>
                <w:lang w:val="pt-BR"/>
              </w:rPr>
              <w:t>, conforme alterado</w:t>
            </w:r>
            <w:r w:rsidRPr="00D8141D">
              <w:rPr>
                <w:rFonts w:eastAsia="Calibri" w:cs="Calibri"/>
                <w:lang w:val="pt-BR"/>
              </w:rPr>
              <w:t>.</w:t>
            </w:r>
            <w:r w:rsidRPr="00D8141D">
              <w:rPr>
                <w:rFonts w:cs="Calibri"/>
                <w:lang w:val="pt-BR"/>
              </w:rPr>
              <w:t xml:space="preserve"> A Escritura de Emissão encontra-se anexa ao presente Prospecto na forma do Anexo B.</w:t>
            </w:r>
          </w:p>
        </w:tc>
      </w:tr>
      <w:tr w:rsidR="00000056" w:rsidRPr="0082022E" w14:paraId="11160452" w14:textId="77777777" w:rsidTr="00000056">
        <w:tc>
          <w:tcPr>
            <w:tcW w:w="1774" w:type="pct"/>
            <w:shd w:val="clear" w:color="auto" w:fill="auto"/>
            <w:noWrap/>
          </w:tcPr>
          <w:p w14:paraId="013FBF09"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“Escriturador”</w:t>
            </w:r>
          </w:p>
        </w:tc>
        <w:tc>
          <w:tcPr>
            <w:tcW w:w="3226" w:type="pct"/>
            <w:shd w:val="clear" w:color="auto" w:fill="auto"/>
            <w:noWrap/>
          </w:tcPr>
          <w:p w14:paraId="05906F99"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cs="Calibri"/>
                <w:b/>
                <w:lang w:val="pt-BR"/>
              </w:rPr>
              <w:t>SIMPLIFIC PAVARINI DISTRIBUIDORA DE TÍTULOS E VALORES MOBILIÁRIOS LTDA.</w:t>
            </w:r>
            <w:r w:rsidRPr="00D8141D">
              <w:rPr>
                <w:rFonts w:cs="Calibri"/>
                <w:lang w:val="pt-BR"/>
              </w:rPr>
              <w:t>, instituição financeira atuando por sua filial na cidade de São Paulo, Estado de São Paulo, na Rua Joaquim Floriano 466, bloco B, conj. 1401, Itaim Bibi CEP 04534-002, inscrita no CNPJ/ME sob o nº 15.227.994/0004-01</w:t>
            </w:r>
            <w:r w:rsidRPr="00B63002">
              <w:rPr>
                <w:lang w:val="pt-BR"/>
              </w:rPr>
              <w:t>.</w:t>
            </w:r>
          </w:p>
        </w:tc>
      </w:tr>
      <w:tr w:rsidR="00000056" w:rsidRPr="0082022E" w14:paraId="12A7F97D" w14:textId="77777777" w:rsidTr="00000056">
        <w:tc>
          <w:tcPr>
            <w:tcW w:w="1774" w:type="pct"/>
            <w:shd w:val="clear" w:color="auto" w:fill="auto"/>
            <w:noWrap/>
          </w:tcPr>
          <w:p w14:paraId="14B0848F"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“Estatuto Social”</w:t>
            </w:r>
          </w:p>
        </w:tc>
        <w:tc>
          <w:tcPr>
            <w:tcW w:w="3226" w:type="pct"/>
            <w:shd w:val="clear" w:color="auto" w:fill="auto"/>
            <w:noWrap/>
          </w:tcPr>
          <w:p w14:paraId="52DA1016"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 xml:space="preserve">Estatuto social da Emissora, aprovado na assembleia geral extraordinária </w:t>
            </w:r>
            <w:r w:rsidR="00DB205D" w:rsidRPr="00D8141D">
              <w:rPr>
                <w:rFonts w:eastAsia="Calibri" w:cs="Calibri"/>
                <w:lang w:val="pt-BR"/>
              </w:rPr>
              <w:t xml:space="preserve">e ordinária </w:t>
            </w:r>
            <w:r w:rsidRPr="00D8141D">
              <w:rPr>
                <w:rFonts w:eastAsia="Calibri" w:cs="Calibri"/>
                <w:lang w:val="pt-BR"/>
              </w:rPr>
              <w:t xml:space="preserve">dos acionistas da Emissora realizada em </w:t>
            </w:r>
            <w:r w:rsidR="00DB205D" w:rsidRPr="00D8141D">
              <w:rPr>
                <w:rFonts w:eastAsia="Calibri" w:cs="Calibri"/>
              </w:rPr>
              <w:t>30</w:t>
            </w:r>
            <w:r w:rsidRPr="00D8141D">
              <w:rPr>
                <w:rFonts w:eastAsia="Calibri" w:cs="Calibri"/>
                <w:lang w:val="pt-BR"/>
              </w:rPr>
              <w:t xml:space="preserve"> de </w:t>
            </w:r>
            <w:r w:rsidR="00DB205D" w:rsidRPr="00D8141D">
              <w:rPr>
                <w:rFonts w:eastAsia="Calibri" w:cs="Calibri"/>
              </w:rPr>
              <w:t>julho</w:t>
            </w:r>
            <w:r w:rsidRPr="00D8141D">
              <w:rPr>
                <w:rFonts w:eastAsia="Calibri" w:cs="Calibri"/>
                <w:lang w:val="pt-BR"/>
              </w:rPr>
              <w:t xml:space="preserve"> de 2021.</w:t>
            </w:r>
          </w:p>
        </w:tc>
      </w:tr>
      <w:tr w:rsidR="00000056" w:rsidRPr="0082022E" w14:paraId="226C511F" w14:textId="77777777" w:rsidTr="00000056">
        <w:tc>
          <w:tcPr>
            <w:tcW w:w="1774" w:type="pct"/>
            <w:shd w:val="clear" w:color="auto" w:fill="auto"/>
            <w:noWrap/>
          </w:tcPr>
          <w:p w14:paraId="511ADFC4"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“Evento Tributário”</w:t>
            </w:r>
          </w:p>
        </w:tc>
        <w:tc>
          <w:tcPr>
            <w:tcW w:w="3226" w:type="pct"/>
            <w:shd w:val="clear" w:color="auto" w:fill="auto"/>
            <w:noWrap/>
          </w:tcPr>
          <w:p w14:paraId="0F073441" w14:textId="6DB7F130" w:rsidR="00000056" w:rsidRPr="00D8141D" w:rsidRDefault="00000056" w:rsidP="00366E72">
            <w:pPr>
              <w:pStyle w:val="HOMEBRBodyText"/>
              <w:keepLines w:val="0"/>
              <w:widowControl w:val="0"/>
              <w:spacing w:after="140" w:line="290" w:lineRule="auto"/>
              <w:jc w:val="both"/>
              <w:rPr>
                <w:rFonts w:cs="Calibri"/>
                <w:lang w:val="pt-BR"/>
              </w:rPr>
            </w:pPr>
            <w:r w:rsidRPr="00D8141D">
              <w:rPr>
                <w:rFonts w:eastAsia="Calibri" w:cs="Calibri"/>
                <w:spacing w:val="-6"/>
                <w:lang w:val="pt-BR"/>
              </w:rPr>
              <w:t xml:space="preserve">A qualquer momento durante a vigência da Emissão e até a data da liquidação integral das Debêntures, os seguintes eventos: (i) as Debêntures deixem de gozar do tratamento tributário previsto na Lei nº 12.431; ou (ii) haja qualquer retenção de tributos sobre os rendimentos das Debêntures, por qualquer motivo, inclusive em razão de revogação ou alteração da Lei nº 12.431 ou edição de lei determinando a incidência de imposto de renda retido na fonte ou quaisquer outros tributos sobre os rendimentos das Debêntures. Para mais informações, consulte a Seção “Fatores de Risco Relacionados à Oferta e às Debêntures – As Debêntures podem deixar de satisfazer determinadas características que as enquadrem como debêntures com incentivo fiscal.”, na página </w:t>
            </w:r>
            <w:r w:rsidRPr="00D8141D">
              <w:rPr>
                <w:rFonts w:eastAsia="Calibri" w:cs="Calibri"/>
                <w:spacing w:val="-6"/>
                <w:lang w:val="pt-BR"/>
              </w:rPr>
              <w:fldChar w:fldCharType="begin"/>
            </w:r>
            <w:r w:rsidRPr="00D8141D">
              <w:rPr>
                <w:rFonts w:eastAsia="Calibri" w:cs="Calibri"/>
                <w:spacing w:val="-6"/>
                <w:lang w:val="pt-BR"/>
              </w:rPr>
              <w:instrText xml:space="preserve"> PAGEREF _Ref90052092 \h </w:instrText>
            </w:r>
            <w:r w:rsidRPr="00D8141D">
              <w:rPr>
                <w:rFonts w:eastAsia="Calibri" w:cs="Calibri"/>
                <w:spacing w:val="-6"/>
                <w:lang w:val="pt-BR"/>
              </w:rPr>
            </w:r>
            <w:r w:rsidRPr="00D8141D">
              <w:rPr>
                <w:rFonts w:eastAsia="Calibri" w:cs="Calibri"/>
                <w:spacing w:val="-6"/>
                <w:lang w:val="pt-BR"/>
              </w:rPr>
              <w:fldChar w:fldCharType="separate"/>
            </w:r>
            <w:r w:rsidR="001166EA">
              <w:rPr>
                <w:rFonts w:eastAsia="Calibri" w:cs="Calibri"/>
                <w:noProof/>
                <w:spacing w:val="-6"/>
                <w:lang w:val="pt-BR"/>
              </w:rPr>
              <w:t>128</w:t>
            </w:r>
            <w:r w:rsidRPr="00D8141D">
              <w:rPr>
                <w:rFonts w:eastAsia="Calibri" w:cs="Calibri"/>
                <w:spacing w:val="-6"/>
                <w:lang w:val="pt-BR"/>
              </w:rPr>
              <w:fldChar w:fldCharType="end"/>
            </w:r>
            <w:r w:rsidRPr="00D8141D">
              <w:rPr>
                <w:rFonts w:eastAsia="Calibri" w:cs="Calibri"/>
                <w:spacing w:val="-6"/>
                <w:lang w:val="pt-BR"/>
              </w:rPr>
              <w:t xml:space="preserve"> deste Prospecto</w:t>
            </w:r>
            <w:r w:rsidR="003568F5" w:rsidRPr="00391B20">
              <w:rPr>
                <w:rFonts w:eastAsia="Calibri" w:cs="Calibri"/>
                <w:spacing w:val="-6"/>
                <w:lang w:val="pt-BR"/>
              </w:rPr>
              <w:t>.</w:t>
            </w:r>
          </w:p>
        </w:tc>
      </w:tr>
      <w:tr w:rsidR="00000056" w:rsidRPr="0082022E" w14:paraId="2BED424E" w14:textId="77777777" w:rsidTr="00000056">
        <w:tc>
          <w:tcPr>
            <w:tcW w:w="1774" w:type="pct"/>
            <w:shd w:val="clear" w:color="auto" w:fill="auto"/>
            <w:noWrap/>
          </w:tcPr>
          <w:p w14:paraId="3070CBE2"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“Evento de Vencimento Antecipado”</w:t>
            </w:r>
          </w:p>
        </w:tc>
        <w:tc>
          <w:tcPr>
            <w:tcW w:w="3226" w:type="pct"/>
            <w:shd w:val="clear" w:color="auto" w:fill="auto"/>
            <w:noWrap/>
          </w:tcPr>
          <w:p w14:paraId="724A6AB9" w14:textId="32372A08"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 xml:space="preserve">Hipóteses descritas na seção “Informações Relativas à Emissão, à Oferta e às Debêntures – Vencimento Antecipado”, na página </w:t>
            </w:r>
            <w:r w:rsidRPr="00D8141D">
              <w:rPr>
                <w:rFonts w:eastAsia="Calibri" w:cs="Calibri"/>
                <w:noProof/>
                <w:lang w:val="pt-BR"/>
              </w:rPr>
              <w:fldChar w:fldCharType="begin"/>
            </w:r>
            <w:r w:rsidRPr="00D8141D">
              <w:rPr>
                <w:rFonts w:eastAsia="Calibri" w:cs="Calibri"/>
                <w:lang w:val="pt-BR"/>
              </w:rPr>
              <w:instrText xml:space="preserve"> PAGEREF _Ref434935280 \h </w:instrText>
            </w:r>
            <w:r w:rsidRPr="00D8141D">
              <w:rPr>
                <w:rFonts w:eastAsia="Calibri" w:cs="Calibri"/>
                <w:noProof/>
                <w:lang w:val="pt-BR"/>
              </w:rPr>
            </w:r>
            <w:r w:rsidRPr="00D8141D">
              <w:rPr>
                <w:rFonts w:eastAsia="Calibri" w:cs="Calibri"/>
                <w:noProof/>
                <w:lang w:val="pt-BR"/>
              </w:rPr>
              <w:fldChar w:fldCharType="separate"/>
            </w:r>
            <w:r w:rsidR="001166EA">
              <w:rPr>
                <w:rFonts w:eastAsia="Calibri" w:cs="Calibri"/>
                <w:noProof/>
                <w:lang w:val="pt-BR"/>
              </w:rPr>
              <w:t>92</w:t>
            </w:r>
            <w:r w:rsidRPr="00D8141D">
              <w:rPr>
                <w:rFonts w:eastAsia="Calibri" w:cs="Calibri"/>
                <w:noProof/>
                <w:lang w:val="pt-BR"/>
              </w:rPr>
              <w:fldChar w:fldCharType="end"/>
            </w:r>
            <w:r w:rsidRPr="00D8141D">
              <w:rPr>
                <w:rFonts w:eastAsia="Calibri" w:cs="Calibri"/>
                <w:lang w:val="pt-BR"/>
              </w:rPr>
              <w:t xml:space="preserve"> deste Prospecto, sendo cada uma, um Evento de Vencimento Antecipado. </w:t>
            </w:r>
          </w:p>
        </w:tc>
      </w:tr>
      <w:tr w:rsidR="00000056" w:rsidRPr="0082022E" w14:paraId="0977A933" w14:textId="77777777" w:rsidTr="00000056">
        <w:tc>
          <w:tcPr>
            <w:tcW w:w="1774" w:type="pct"/>
            <w:shd w:val="clear" w:color="auto" w:fill="auto"/>
          </w:tcPr>
          <w:p w14:paraId="481570FE"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“Eventos de Vencimento Antecipado Automático”</w:t>
            </w:r>
          </w:p>
        </w:tc>
        <w:tc>
          <w:tcPr>
            <w:tcW w:w="3226" w:type="pct"/>
            <w:shd w:val="clear" w:color="auto" w:fill="auto"/>
          </w:tcPr>
          <w:p w14:paraId="799CA520" w14:textId="77777777" w:rsidR="00000056" w:rsidRPr="00D8141D" w:rsidRDefault="00000056" w:rsidP="00366E72">
            <w:pPr>
              <w:pStyle w:val="HOMEBRBodyText"/>
              <w:keepLines w:val="0"/>
              <w:widowControl w:val="0"/>
              <w:spacing w:after="140" w:line="290" w:lineRule="auto"/>
              <w:jc w:val="both"/>
              <w:rPr>
                <w:rFonts w:eastAsia="Calibri" w:cs="Calibri"/>
                <w:spacing w:val="-6"/>
                <w:lang w:val="pt-BR"/>
              </w:rPr>
            </w:pPr>
            <w:r w:rsidRPr="00D8141D">
              <w:rPr>
                <w:rFonts w:eastAsia="Calibri" w:cs="Calibri"/>
                <w:lang w:val="pt-BR"/>
              </w:rPr>
              <w:t>Hipóteses descritas na Cláusula 8.1.1 da Escritura de Emissão, sendo cada uma, um Evento de Vencimento Antecipado Automático.</w:t>
            </w:r>
          </w:p>
        </w:tc>
      </w:tr>
      <w:tr w:rsidR="00000056" w:rsidRPr="0082022E" w14:paraId="31F1E082" w14:textId="77777777" w:rsidTr="00000056">
        <w:tc>
          <w:tcPr>
            <w:tcW w:w="1774" w:type="pct"/>
            <w:shd w:val="clear" w:color="auto" w:fill="auto"/>
            <w:noWrap/>
          </w:tcPr>
          <w:p w14:paraId="4EA2C4A5" w14:textId="25242831"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“Eventos de Vencimento Antecipado Não Automático”</w:t>
            </w:r>
          </w:p>
        </w:tc>
        <w:tc>
          <w:tcPr>
            <w:tcW w:w="3226" w:type="pct"/>
            <w:shd w:val="clear" w:color="auto" w:fill="auto"/>
            <w:noWrap/>
          </w:tcPr>
          <w:p w14:paraId="555ED3D8"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Hipóteses descritas na Cláusula 8.2.1 da Escritura de Emissão, sendo cada uma, um Evento de Vencimento Antecipado Não Automático.</w:t>
            </w:r>
          </w:p>
        </w:tc>
      </w:tr>
      <w:tr w:rsidR="00000056" w:rsidRPr="0082022E" w14:paraId="3D3E5363" w14:textId="77777777" w:rsidTr="00000056">
        <w:tc>
          <w:tcPr>
            <w:tcW w:w="1774" w:type="pct"/>
            <w:shd w:val="clear" w:color="auto" w:fill="auto"/>
            <w:noWrap/>
          </w:tcPr>
          <w:p w14:paraId="273EA94E"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“Formador de Mercado”</w:t>
            </w:r>
          </w:p>
        </w:tc>
        <w:tc>
          <w:tcPr>
            <w:tcW w:w="3226" w:type="pct"/>
            <w:shd w:val="clear" w:color="auto" w:fill="auto"/>
            <w:noWrap/>
          </w:tcPr>
          <w:p w14:paraId="29F1D327"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cs="Calibri"/>
                <w:lang w:val="pt-BR"/>
              </w:rPr>
              <w:t>Em conformidade com o disposto no Código ANBIMA, o Coordenador Líder recomendou à Companhia a contratação de instituição para desenvolver atividades de formador de mercado, nos termos da Instrução da CVM nº 384, de 17 de março de 2003, no entanto, não houve contratação de formador de mercado</w:t>
            </w:r>
            <w:r w:rsidRPr="00D8141D">
              <w:rPr>
                <w:rFonts w:eastAsia="Calibri" w:cs="Calibri"/>
                <w:lang w:val="pt-BR"/>
              </w:rPr>
              <w:t>.</w:t>
            </w:r>
          </w:p>
        </w:tc>
      </w:tr>
      <w:tr w:rsidR="00000056" w:rsidRPr="0082022E" w14:paraId="3B39096F" w14:textId="77777777" w:rsidTr="00000056">
        <w:tc>
          <w:tcPr>
            <w:tcW w:w="1774" w:type="pct"/>
            <w:shd w:val="clear" w:color="auto" w:fill="auto"/>
          </w:tcPr>
          <w:p w14:paraId="1B11DD1A" w14:textId="77777777" w:rsidR="00000056" w:rsidRPr="00D8141D" w:rsidRDefault="00000056" w:rsidP="00AA58A3">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“Formulário de Referência” </w:t>
            </w:r>
          </w:p>
        </w:tc>
        <w:tc>
          <w:tcPr>
            <w:tcW w:w="3226" w:type="pct"/>
            <w:shd w:val="clear" w:color="auto" w:fill="auto"/>
          </w:tcPr>
          <w:p w14:paraId="175BE3A6" w14:textId="02EAA0BA" w:rsidR="00000056" w:rsidRPr="00D8141D" w:rsidRDefault="00000056" w:rsidP="008D7C7A">
            <w:pPr>
              <w:pStyle w:val="HOMEBRBodyText"/>
              <w:keepLines w:val="0"/>
              <w:widowControl w:val="0"/>
              <w:spacing w:after="140"/>
              <w:jc w:val="both"/>
              <w:rPr>
                <w:rFonts w:eastAsia="Calibri" w:cs="Calibri"/>
                <w:lang w:val="pt-BR"/>
              </w:rPr>
            </w:pPr>
            <w:r w:rsidRPr="00D8141D">
              <w:rPr>
                <w:rFonts w:eastAsia="Calibri" w:cs="Calibri"/>
                <w:lang w:val="pt-BR"/>
              </w:rPr>
              <w:t>Última versão do Formulário de Referência da Emissora, elaborado nos termos da Instrução CVM 480</w:t>
            </w:r>
            <w:r w:rsidRPr="00D8141D">
              <w:rPr>
                <w:rFonts w:eastAsia="Tahoma" w:cs="Calibri"/>
                <w:color w:val="000000"/>
                <w:lang w:val="pt-BR"/>
              </w:rPr>
              <w:t xml:space="preserve"> </w:t>
            </w:r>
            <w:r w:rsidRPr="00D8141D">
              <w:rPr>
                <w:rFonts w:eastAsia="Calibri" w:cs="Calibri"/>
                <w:lang w:val="pt-BR"/>
              </w:rPr>
              <w:t xml:space="preserve">e incorporado por referência a este Prospecto, podendo ser encontrado nos endereços indicados na seção “Documentos e Informações Incorporados a este Prospecto por Referência” na página </w:t>
            </w:r>
            <w:r w:rsidRPr="00D8141D">
              <w:rPr>
                <w:rFonts w:eastAsia="Calibri" w:cs="Calibri"/>
                <w:noProof/>
                <w:lang w:val="pt-BR"/>
              </w:rPr>
              <w:fldChar w:fldCharType="begin"/>
            </w:r>
            <w:r w:rsidRPr="00D8141D">
              <w:rPr>
                <w:rFonts w:eastAsia="Calibri" w:cs="Calibri"/>
                <w:lang w:val="pt-BR"/>
              </w:rPr>
              <w:instrText xml:space="preserve"> PAGEREF _Ref90052251 \h </w:instrText>
            </w:r>
            <w:r w:rsidRPr="00D8141D">
              <w:rPr>
                <w:rFonts w:eastAsia="Calibri" w:cs="Calibri"/>
                <w:noProof/>
                <w:lang w:val="pt-BR"/>
              </w:rPr>
            </w:r>
            <w:r w:rsidRPr="00D8141D">
              <w:rPr>
                <w:rFonts w:eastAsia="Calibri" w:cs="Calibri"/>
                <w:noProof/>
                <w:lang w:val="pt-BR"/>
              </w:rPr>
              <w:fldChar w:fldCharType="separate"/>
            </w:r>
            <w:r w:rsidR="001166EA">
              <w:rPr>
                <w:rFonts w:eastAsia="Calibri" w:cs="Calibri"/>
                <w:noProof/>
                <w:lang w:val="pt-BR"/>
              </w:rPr>
              <w:t>33</w:t>
            </w:r>
            <w:r w:rsidRPr="00D8141D">
              <w:rPr>
                <w:rFonts w:eastAsia="Calibri" w:cs="Calibri"/>
                <w:noProof/>
                <w:lang w:val="pt-BR"/>
              </w:rPr>
              <w:fldChar w:fldCharType="end"/>
            </w:r>
            <w:r w:rsidRPr="00D8141D">
              <w:rPr>
                <w:rFonts w:eastAsia="Calibri" w:cs="Calibri"/>
                <w:lang w:val="pt-BR"/>
              </w:rPr>
              <w:t xml:space="preserve"> deste Prospecto.</w:t>
            </w:r>
          </w:p>
        </w:tc>
      </w:tr>
      <w:tr w:rsidR="00000056" w:rsidRPr="0082022E" w14:paraId="16310DDC" w14:textId="77777777" w:rsidTr="00000056">
        <w:tc>
          <w:tcPr>
            <w:tcW w:w="1774" w:type="pct"/>
            <w:shd w:val="clear" w:color="auto" w:fill="auto"/>
            <w:noWrap/>
          </w:tcPr>
          <w:p w14:paraId="162BAEA9"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“Garantia Firme”</w:t>
            </w:r>
          </w:p>
        </w:tc>
        <w:tc>
          <w:tcPr>
            <w:tcW w:w="3226" w:type="pct"/>
            <w:shd w:val="clear" w:color="auto" w:fill="auto"/>
            <w:noWrap/>
          </w:tcPr>
          <w:p w14:paraId="24D839E0" w14:textId="6AD2B630" w:rsidR="00000056" w:rsidRPr="00D8141D" w:rsidRDefault="00000056" w:rsidP="008D7C7A">
            <w:pPr>
              <w:pStyle w:val="HOMEBRBodyText"/>
              <w:keepLines w:val="0"/>
              <w:widowControl w:val="0"/>
              <w:spacing w:after="140"/>
              <w:jc w:val="both"/>
              <w:rPr>
                <w:rFonts w:eastAsia="Calibri" w:cs="Calibri"/>
                <w:lang w:val="pt-BR"/>
              </w:rPr>
            </w:pPr>
            <w:r w:rsidRPr="00D8141D">
              <w:rPr>
                <w:rFonts w:eastAsia="Calibri" w:cs="Calibri"/>
                <w:lang w:val="pt-BR"/>
              </w:rPr>
              <w:t>Regime de colocação das Debêntures (sem considerar as Debêntures Adicionais, que</w:t>
            </w:r>
            <w:r w:rsidR="000C16EA" w:rsidRPr="00D8141D">
              <w:rPr>
                <w:rFonts w:eastAsia="Calibri" w:cs="Calibri"/>
                <w:lang w:val="pt-BR"/>
              </w:rPr>
              <w:t xml:space="preserve"> </w:t>
            </w:r>
            <w:r w:rsidR="00032A25">
              <w:rPr>
                <w:rFonts w:eastAsia="Calibri" w:cs="Calibri"/>
                <w:lang w:val="pt-BR"/>
              </w:rPr>
              <w:t>serão</w:t>
            </w:r>
            <w:r w:rsidRPr="00D8141D">
              <w:rPr>
                <w:rFonts w:eastAsia="Calibri" w:cs="Calibri"/>
                <w:lang w:val="pt-BR"/>
              </w:rPr>
              <w:t xml:space="preserve"> distribuídas em regime de melhores esforços), no qual o Coordenador Líder e/ou instituições financeiras por ele designadas no âmbito da Oferta estariam obrigados a subscrever e integralizar as Debêntures não colocadas no âmbito da Oferta, de forma individual e não solidária.</w:t>
            </w:r>
          </w:p>
        </w:tc>
      </w:tr>
      <w:tr w:rsidR="00000056" w:rsidRPr="0082022E" w14:paraId="1F9A1300" w14:textId="77777777" w:rsidTr="00000056">
        <w:tc>
          <w:tcPr>
            <w:tcW w:w="1774" w:type="pct"/>
            <w:shd w:val="clear" w:color="auto" w:fill="auto"/>
            <w:noWrap/>
          </w:tcPr>
          <w:p w14:paraId="72ED6F56"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“Governo Federal”</w:t>
            </w:r>
          </w:p>
        </w:tc>
        <w:tc>
          <w:tcPr>
            <w:tcW w:w="3226" w:type="pct"/>
            <w:shd w:val="clear" w:color="auto" w:fill="auto"/>
            <w:noWrap/>
          </w:tcPr>
          <w:p w14:paraId="19D51BD9"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Governo da República Federativa do Brasil.</w:t>
            </w:r>
          </w:p>
        </w:tc>
      </w:tr>
      <w:tr w:rsidR="00000056" w:rsidRPr="0082022E" w14:paraId="0682F7DA" w14:textId="77777777" w:rsidTr="00000056">
        <w:tc>
          <w:tcPr>
            <w:tcW w:w="1774" w:type="pct"/>
            <w:shd w:val="clear" w:color="auto" w:fill="auto"/>
            <w:noWrap/>
          </w:tcPr>
          <w:p w14:paraId="74D79F31"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“Grupo Econômico”</w:t>
            </w:r>
          </w:p>
        </w:tc>
        <w:tc>
          <w:tcPr>
            <w:tcW w:w="3226" w:type="pct"/>
            <w:shd w:val="clear" w:color="auto" w:fill="auto"/>
            <w:noWrap/>
          </w:tcPr>
          <w:p w14:paraId="0F0323D9"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Todas as sociedades, direta ou indiretamente, controladas ou coligadas da Emissora.</w:t>
            </w:r>
          </w:p>
        </w:tc>
      </w:tr>
      <w:tr w:rsidR="00000056" w:rsidRPr="0082022E" w14:paraId="2BCA5743" w14:textId="77777777" w:rsidTr="00000056">
        <w:tc>
          <w:tcPr>
            <w:tcW w:w="1774" w:type="pct"/>
            <w:shd w:val="clear" w:color="auto" w:fill="auto"/>
            <w:noWrap/>
          </w:tcPr>
          <w:p w14:paraId="696B2CA0"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“IBGE”</w:t>
            </w:r>
          </w:p>
        </w:tc>
        <w:tc>
          <w:tcPr>
            <w:tcW w:w="3226" w:type="pct"/>
            <w:shd w:val="clear" w:color="auto" w:fill="auto"/>
            <w:noWrap/>
          </w:tcPr>
          <w:p w14:paraId="4F9BEC70"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Instituto Brasileiro de Geografia e Estatística.</w:t>
            </w:r>
          </w:p>
        </w:tc>
      </w:tr>
      <w:tr w:rsidR="00000056" w:rsidRPr="00D8141D" w14:paraId="48552891" w14:textId="77777777" w:rsidTr="00000056">
        <w:tc>
          <w:tcPr>
            <w:tcW w:w="1774" w:type="pct"/>
            <w:shd w:val="clear" w:color="auto" w:fill="auto"/>
            <w:noWrap/>
          </w:tcPr>
          <w:p w14:paraId="0C825F43"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“ICMA”</w:t>
            </w:r>
          </w:p>
        </w:tc>
        <w:tc>
          <w:tcPr>
            <w:tcW w:w="3226" w:type="pct"/>
            <w:shd w:val="clear" w:color="auto" w:fill="auto"/>
            <w:noWrap/>
          </w:tcPr>
          <w:p w14:paraId="008D507B"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International Capital Market Association.</w:t>
            </w:r>
          </w:p>
        </w:tc>
      </w:tr>
      <w:tr w:rsidR="00000056" w:rsidRPr="0082022E" w14:paraId="6E61F0A8" w14:textId="77777777" w:rsidTr="00000056">
        <w:tc>
          <w:tcPr>
            <w:tcW w:w="1774" w:type="pct"/>
            <w:shd w:val="clear" w:color="auto" w:fill="auto"/>
            <w:noWrap/>
          </w:tcPr>
          <w:p w14:paraId="06023120"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“IGP-M”</w:t>
            </w:r>
          </w:p>
        </w:tc>
        <w:tc>
          <w:tcPr>
            <w:tcW w:w="3226" w:type="pct"/>
            <w:shd w:val="clear" w:color="auto" w:fill="auto"/>
            <w:noWrap/>
          </w:tcPr>
          <w:p w14:paraId="1D234D87"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cs="Calibri"/>
                <w:noProof/>
                <w:lang w:val="pt-BR"/>
              </w:rPr>
              <w:t>Índice Geral de Preços do Mercado, calculado pela Fundação Getúlio Vargas.</w:t>
            </w:r>
          </w:p>
        </w:tc>
      </w:tr>
      <w:tr w:rsidR="00000056" w:rsidRPr="0082022E" w14:paraId="1BF3E1F0" w14:textId="77777777" w:rsidTr="00000056">
        <w:tc>
          <w:tcPr>
            <w:tcW w:w="1774" w:type="pct"/>
            <w:shd w:val="clear" w:color="auto" w:fill="auto"/>
            <w:noWrap/>
          </w:tcPr>
          <w:p w14:paraId="3E5A5B36"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“Informações Trimestrais” ou “ITR”</w:t>
            </w:r>
          </w:p>
        </w:tc>
        <w:tc>
          <w:tcPr>
            <w:tcW w:w="3226" w:type="pct"/>
            <w:shd w:val="clear" w:color="auto" w:fill="auto"/>
            <w:noWrap/>
          </w:tcPr>
          <w:p w14:paraId="2B69FBF6" w14:textId="5F605744"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eastAsia="Tahoma" w:cs="Calibri"/>
                <w:color w:val="000000"/>
                <w:lang w:val="pt-BR"/>
              </w:rPr>
              <w:t xml:space="preserve">Informações Trimestrais consolidadas da Emissora, relativas ao período de </w:t>
            </w:r>
            <w:r w:rsidR="008C76E3">
              <w:rPr>
                <w:rFonts w:eastAsia="Tahoma" w:cs="Calibri"/>
                <w:color w:val="000000"/>
                <w:lang w:val="pt-BR"/>
              </w:rPr>
              <w:t>nove</w:t>
            </w:r>
            <w:r w:rsidR="008C76E3" w:rsidRPr="00D8141D">
              <w:rPr>
                <w:rFonts w:eastAsia="Tahoma" w:cs="Calibri"/>
                <w:color w:val="000000"/>
                <w:lang w:val="pt-BR"/>
              </w:rPr>
              <w:t xml:space="preserve"> </w:t>
            </w:r>
            <w:r w:rsidRPr="00D8141D">
              <w:rPr>
                <w:rFonts w:eastAsia="Tahoma" w:cs="Calibri"/>
                <w:color w:val="000000"/>
                <w:lang w:val="pt-BR"/>
              </w:rPr>
              <w:t>meses findo em 3</w:t>
            </w:r>
            <w:r w:rsidR="008C76E3">
              <w:rPr>
                <w:rFonts w:eastAsia="Tahoma" w:cs="Calibri"/>
                <w:color w:val="000000"/>
                <w:lang w:val="pt-BR"/>
              </w:rPr>
              <w:t>1</w:t>
            </w:r>
            <w:r w:rsidRPr="00D8141D">
              <w:rPr>
                <w:rFonts w:eastAsia="Tahoma" w:cs="Calibri"/>
                <w:color w:val="000000"/>
                <w:lang w:val="pt-BR"/>
              </w:rPr>
              <w:t xml:space="preserve"> de </w:t>
            </w:r>
            <w:r w:rsidR="008C76E3">
              <w:rPr>
                <w:rFonts w:eastAsia="Tahoma" w:cs="Calibri"/>
                <w:color w:val="000000"/>
                <w:lang w:val="pt-BR"/>
              </w:rPr>
              <w:t>dezembro</w:t>
            </w:r>
            <w:r w:rsidR="008C76E3" w:rsidRPr="00D8141D">
              <w:rPr>
                <w:rFonts w:eastAsia="Tahoma" w:cs="Calibri"/>
                <w:color w:val="000000"/>
                <w:lang w:val="pt-BR"/>
              </w:rPr>
              <w:t xml:space="preserve"> </w:t>
            </w:r>
            <w:r w:rsidRPr="00D8141D">
              <w:rPr>
                <w:rFonts w:eastAsia="Tahoma" w:cs="Calibri"/>
                <w:color w:val="000000"/>
                <w:lang w:val="pt-BR"/>
              </w:rPr>
              <w:t>de 2021,</w:t>
            </w:r>
            <w:r w:rsidRPr="00D8141D">
              <w:rPr>
                <w:rFonts w:eastAsia="Calibri" w:cs="Calibri"/>
                <w:lang w:val="pt-BR"/>
              </w:rPr>
              <w:t xml:space="preserve"> </w:t>
            </w:r>
            <w:r w:rsidRPr="00D8141D">
              <w:rPr>
                <w:rFonts w:eastAsia="Arial" w:cs="Calibri"/>
                <w:color w:val="000000"/>
                <w:lang w:val="pt-BR"/>
              </w:rPr>
              <w:t xml:space="preserve">que inclui as informações contábeis consolidadas </w:t>
            </w:r>
            <w:r w:rsidRPr="00D8141D">
              <w:rPr>
                <w:rFonts w:eastAsia="Arial" w:cs="Calibri"/>
                <w:color w:val="000000"/>
                <w:lang w:val="pt-BR"/>
              </w:rPr>
              <w:lastRenderedPageBreak/>
              <w:t xml:space="preserve">comparativas apresentadas como valores correspondentes referente ao período de </w:t>
            </w:r>
            <w:r w:rsidR="00F300AF">
              <w:rPr>
                <w:rFonts w:eastAsia="Arial" w:cs="Calibri"/>
                <w:color w:val="000000"/>
                <w:lang w:val="pt-BR"/>
              </w:rPr>
              <w:t>nove</w:t>
            </w:r>
            <w:r w:rsidR="00F300AF" w:rsidRPr="00D8141D">
              <w:rPr>
                <w:rFonts w:eastAsia="Arial" w:cs="Calibri"/>
                <w:color w:val="000000"/>
                <w:lang w:val="pt-BR"/>
              </w:rPr>
              <w:t xml:space="preserve"> </w:t>
            </w:r>
            <w:r w:rsidRPr="00D8141D">
              <w:rPr>
                <w:rFonts w:eastAsia="Arial" w:cs="Calibri"/>
                <w:color w:val="000000"/>
                <w:lang w:val="pt-BR"/>
              </w:rPr>
              <w:t>meses encerrado em 3</w:t>
            </w:r>
            <w:r w:rsidR="008C76E3">
              <w:rPr>
                <w:rFonts w:eastAsia="Arial" w:cs="Calibri"/>
                <w:color w:val="000000"/>
                <w:lang w:val="pt-BR"/>
              </w:rPr>
              <w:t>1</w:t>
            </w:r>
            <w:r w:rsidRPr="00D8141D">
              <w:rPr>
                <w:rFonts w:eastAsia="Arial" w:cs="Calibri"/>
                <w:color w:val="000000"/>
                <w:lang w:val="pt-BR"/>
              </w:rPr>
              <w:t xml:space="preserve"> de </w:t>
            </w:r>
            <w:r w:rsidR="008C76E3">
              <w:rPr>
                <w:rFonts w:eastAsia="Arial" w:cs="Calibri"/>
                <w:color w:val="000000"/>
                <w:spacing w:val="-3"/>
                <w:lang w:val="pt-BR"/>
              </w:rPr>
              <w:t>dezembro</w:t>
            </w:r>
            <w:r w:rsidR="008C76E3" w:rsidRPr="00D8141D">
              <w:rPr>
                <w:rFonts w:eastAsia="Arial" w:cs="Calibri"/>
                <w:color w:val="000000"/>
                <w:lang w:val="pt-BR"/>
              </w:rPr>
              <w:t xml:space="preserve"> </w:t>
            </w:r>
            <w:r w:rsidRPr="00D8141D">
              <w:rPr>
                <w:rFonts w:eastAsia="Arial" w:cs="Calibri"/>
                <w:color w:val="000000"/>
                <w:lang w:val="pt-BR"/>
              </w:rPr>
              <w:t xml:space="preserve">de </w:t>
            </w:r>
            <w:r w:rsidRPr="00D8141D">
              <w:rPr>
                <w:rFonts w:eastAsia="Arial" w:cs="Calibri"/>
                <w:color w:val="000000"/>
                <w:spacing w:val="-3"/>
                <w:lang w:val="pt-BR"/>
              </w:rPr>
              <w:t>2020</w:t>
            </w:r>
            <w:r w:rsidRPr="00D8141D">
              <w:rPr>
                <w:rFonts w:eastAsia="Arial" w:cs="Calibri"/>
                <w:b/>
                <w:color w:val="000000"/>
                <w:lang w:val="pt-BR"/>
              </w:rPr>
              <w:t>,</w:t>
            </w:r>
            <w:r w:rsidRPr="00D8141D">
              <w:rPr>
                <w:rFonts w:eastAsia="Calibri" w:cs="Calibri"/>
                <w:lang w:val="pt-BR"/>
              </w:rPr>
              <w:t xml:space="preserve"> elaboradas </w:t>
            </w:r>
            <w:r w:rsidRPr="00D8141D">
              <w:rPr>
                <w:rFonts w:eastAsia="Arial" w:cs="Calibri"/>
                <w:color w:val="000000"/>
                <w:lang w:val="pt-BR"/>
              </w:rPr>
              <w:t xml:space="preserve">de acordo com as práticas contábeis adotadas no Brasil e com as normas internacionais de relatório financeiro (IFRS) não auditadas, de acordo com normas brasileiras e internacionais de revisão de informações intermediárias (ITRs) elaboradas de acordo com o Pronunciamento Técnico CPC 21(R1) - Demonstração Intermediária e com a norma internacional IAS 34 </w:t>
            </w:r>
            <w:r w:rsidRPr="00D8141D">
              <w:rPr>
                <w:rFonts w:eastAsia="Arial" w:cs="Calibri"/>
                <w:i/>
                <w:color w:val="000000"/>
                <w:lang w:val="pt-BR"/>
              </w:rPr>
              <w:t>- Interim Financial Reporting</w:t>
            </w:r>
            <w:r w:rsidRPr="00D8141D">
              <w:rPr>
                <w:rFonts w:eastAsia="Arial" w:cs="Calibri"/>
                <w:color w:val="000000"/>
                <w:lang w:val="pt-BR"/>
              </w:rPr>
              <w:t xml:space="preserve">, emitida pelo </w:t>
            </w:r>
            <w:r w:rsidRPr="00D8141D">
              <w:rPr>
                <w:rFonts w:eastAsia="Arial" w:cs="Calibri"/>
                <w:i/>
                <w:color w:val="000000"/>
                <w:lang w:val="pt-BR"/>
              </w:rPr>
              <w:t>International Accounting Standards Board</w:t>
            </w:r>
            <w:r w:rsidRPr="00D8141D">
              <w:rPr>
                <w:rFonts w:eastAsia="Arial" w:cs="Calibri"/>
                <w:color w:val="000000"/>
                <w:lang w:val="pt-BR"/>
              </w:rPr>
              <w:t xml:space="preserve"> - IASB</w:t>
            </w:r>
            <w:r w:rsidRPr="00D8141D">
              <w:rPr>
                <w:rFonts w:eastAsia="Tahoma" w:cs="Calibri"/>
                <w:color w:val="000000"/>
                <w:lang w:val="pt-BR"/>
              </w:rPr>
              <w:t xml:space="preserve"> </w:t>
            </w:r>
            <w:r w:rsidRPr="00D8141D">
              <w:rPr>
                <w:rFonts w:eastAsia="Calibri" w:cs="Calibri"/>
                <w:lang w:val="pt-BR"/>
              </w:rPr>
              <w:t xml:space="preserve">e incorporadas por referência a este Prospecto, podendo ser encontrado nos endereços indicados na seção “Documentos e Informações Incorporados a este Prospecto por Referência” na página </w:t>
            </w:r>
            <w:r w:rsidRPr="00D8141D">
              <w:rPr>
                <w:rFonts w:eastAsia="Calibri" w:cs="Calibri"/>
                <w:noProof/>
                <w:lang w:val="pt-BR"/>
              </w:rPr>
              <w:fldChar w:fldCharType="begin"/>
            </w:r>
            <w:r w:rsidRPr="00D8141D">
              <w:rPr>
                <w:rFonts w:eastAsia="Calibri" w:cs="Calibri"/>
                <w:lang w:val="pt-BR"/>
              </w:rPr>
              <w:instrText xml:space="preserve"> PAGEREF _Ref90071930 \h </w:instrText>
            </w:r>
            <w:r w:rsidRPr="00D8141D">
              <w:rPr>
                <w:rFonts w:eastAsia="Calibri" w:cs="Calibri"/>
                <w:noProof/>
                <w:lang w:val="pt-BR"/>
              </w:rPr>
            </w:r>
            <w:r w:rsidRPr="00D8141D">
              <w:rPr>
                <w:rFonts w:eastAsia="Calibri" w:cs="Calibri"/>
                <w:noProof/>
                <w:lang w:val="pt-BR"/>
              </w:rPr>
              <w:fldChar w:fldCharType="separate"/>
            </w:r>
            <w:r w:rsidR="001166EA">
              <w:rPr>
                <w:rFonts w:eastAsia="Calibri" w:cs="Calibri"/>
                <w:noProof/>
                <w:lang w:val="pt-BR"/>
              </w:rPr>
              <w:t>33</w:t>
            </w:r>
            <w:r w:rsidRPr="00D8141D">
              <w:rPr>
                <w:rFonts w:eastAsia="Calibri" w:cs="Calibri"/>
                <w:noProof/>
                <w:lang w:val="pt-BR"/>
              </w:rPr>
              <w:fldChar w:fldCharType="end"/>
            </w:r>
            <w:r w:rsidRPr="00D8141D">
              <w:rPr>
                <w:rFonts w:eastAsia="Calibri" w:cs="Calibri"/>
                <w:noProof/>
                <w:lang w:val="pt-BR"/>
              </w:rPr>
              <w:t xml:space="preserve"> </w:t>
            </w:r>
            <w:r w:rsidRPr="00D8141D">
              <w:rPr>
                <w:rFonts w:eastAsia="Calibri" w:cs="Calibri"/>
                <w:lang w:val="pt-BR"/>
              </w:rPr>
              <w:t>deste Prospecto</w:t>
            </w:r>
            <w:r w:rsidRPr="00D8141D">
              <w:rPr>
                <w:rFonts w:eastAsia="Tahoma" w:cs="Calibri"/>
                <w:color w:val="000000"/>
                <w:lang w:val="pt-BR"/>
              </w:rPr>
              <w:t>.</w:t>
            </w:r>
          </w:p>
        </w:tc>
      </w:tr>
      <w:tr w:rsidR="00000056" w:rsidRPr="0082022E" w14:paraId="6B7B4713" w14:textId="77777777" w:rsidTr="00000056">
        <w:tc>
          <w:tcPr>
            <w:tcW w:w="1774" w:type="pct"/>
            <w:shd w:val="clear" w:color="auto" w:fill="auto"/>
            <w:noWrap/>
          </w:tcPr>
          <w:p w14:paraId="762F784B" w14:textId="77777777" w:rsidR="00000056" w:rsidRPr="00D8141D" w:rsidRDefault="00000056"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“Instituições Participantes da Oferta”</w:t>
            </w:r>
          </w:p>
        </w:tc>
        <w:tc>
          <w:tcPr>
            <w:tcW w:w="3226" w:type="pct"/>
            <w:shd w:val="clear" w:color="auto" w:fill="auto"/>
            <w:noWrap/>
          </w:tcPr>
          <w:p w14:paraId="1626D9B9" w14:textId="77777777" w:rsidR="00000056" w:rsidRPr="00D8141D" w:rsidRDefault="00000056" w:rsidP="00366E72">
            <w:pPr>
              <w:pStyle w:val="HOMEBRBodyText"/>
              <w:keepLines w:val="0"/>
              <w:widowControl w:val="0"/>
              <w:spacing w:after="140" w:line="290" w:lineRule="auto"/>
              <w:jc w:val="both"/>
              <w:rPr>
                <w:rFonts w:eastAsia="Calibri" w:cs="Calibri"/>
                <w:lang w:val="pt-BR"/>
              </w:rPr>
            </w:pPr>
            <w:r w:rsidRPr="00D8141D">
              <w:rPr>
                <w:rFonts w:cs="Calibri"/>
                <w:noProof/>
                <w:lang w:val="pt-BR"/>
              </w:rPr>
              <w:t>O Coordenador Líder e os Participantes Especiais, considerados em conjunto.</w:t>
            </w:r>
          </w:p>
        </w:tc>
      </w:tr>
      <w:tr w:rsidR="00BF6CD1" w:rsidRPr="0082022E" w14:paraId="7F9F8A6E" w14:textId="77777777" w:rsidTr="00C033C4">
        <w:tc>
          <w:tcPr>
            <w:tcW w:w="1774" w:type="pct"/>
            <w:shd w:val="clear" w:color="auto" w:fill="auto"/>
            <w:noWrap/>
          </w:tcPr>
          <w:p w14:paraId="73629EEF"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“Instrução CVM 384”</w:t>
            </w:r>
          </w:p>
        </w:tc>
        <w:tc>
          <w:tcPr>
            <w:tcW w:w="3226" w:type="pct"/>
            <w:shd w:val="clear" w:color="auto" w:fill="auto"/>
            <w:noWrap/>
          </w:tcPr>
          <w:p w14:paraId="29781A8E" w14:textId="77777777" w:rsidR="00BF6CD1" w:rsidRPr="00D8141D" w:rsidRDefault="00BF6CD1"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Instrução da CVM n nº 384, de 17 de março de 2003</w:t>
            </w:r>
            <w:r w:rsidRPr="00D8141D">
              <w:rPr>
                <w:rFonts w:cs="Calibri"/>
                <w:lang w:val="pt-BR"/>
              </w:rPr>
              <w:t>, conforme alterada.</w:t>
            </w:r>
          </w:p>
        </w:tc>
      </w:tr>
      <w:tr w:rsidR="00BA7853" w:rsidRPr="0082022E" w14:paraId="128F6C24" w14:textId="77777777" w:rsidTr="00C033C4">
        <w:tc>
          <w:tcPr>
            <w:tcW w:w="1774" w:type="pct"/>
            <w:shd w:val="clear" w:color="auto" w:fill="auto"/>
            <w:noWrap/>
          </w:tcPr>
          <w:p w14:paraId="268E9DCA" w14:textId="77777777" w:rsidR="00BA7853" w:rsidRPr="00D8141D" w:rsidRDefault="00BA7853" w:rsidP="00366E72">
            <w:pPr>
              <w:pStyle w:val="HOMEBRBodyText"/>
              <w:keepLines w:val="0"/>
              <w:widowControl w:val="0"/>
              <w:spacing w:after="140" w:line="290" w:lineRule="auto"/>
              <w:rPr>
                <w:rFonts w:cs="Calibri"/>
                <w:b/>
                <w:lang w:val="pt-BR"/>
              </w:rPr>
            </w:pPr>
            <w:r w:rsidRPr="00D8141D">
              <w:rPr>
                <w:rFonts w:eastAsia="Calibri" w:cs="Calibri"/>
                <w:b/>
                <w:lang w:val="pt-BR"/>
              </w:rPr>
              <w:t xml:space="preserve">“Instrução CVM 400” </w:t>
            </w:r>
          </w:p>
        </w:tc>
        <w:tc>
          <w:tcPr>
            <w:tcW w:w="3226" w:type="pct"/>
            <w:shd w:val="clear" w:color="auto" w:fill="auto"/>
            <w:noWrap/>
          </w:tcPr>
          <w:p w14:paraId="484823BA" w14:textId="77777777" w:rsidR="00BA7853" w:rsidRPr="00D8141D" w:rsidRDefault="00BA7853" w:rsidP="00366E72">
            <w:pPr>
              <w:pStyle w:val="HOMEBRBodyText"/>
              <w:keepLines w:val="0"/>
              <w:widowControl w:val="0"/>
              <w:spacing w:after="140" w:line="290" w:lineRule="auto"/>
              <w:jc w:val="both"/>
              <w:rPr>
                <w:rFonts w:cs="Calibri"/>
                <w:lang w:val="pt-BR"/>
              </w:rPr>
            </w:pPr>
            <w:r w:rsidRPr="00D8141D">
              <w:rPr>
                <w:rFonts w:eastAsia="Calibri" w:cs="Calibri"/>
                <w:lang w:val="pt-BR"/>
              </w:rPr>
              <w:t>Instrução da CVM nº 400, de 29 de dezembro de 2003</w:t>
            </w:r>
            <w:r w:rsidRPr="00D8141D">
              <w:rPr>
                <w:rFonts w:cs="Calibri"/>
                <w:lang w:val="pt-BR"/>
              </w:rPr>
              <w:t>, conforme alterada.</w:t>
            </w:r>
          </w:p>
        </w:tc>
      </w:tr>
      <w:tr w:rsidR="00BA7853" w:rsidRPr="0082022E" w14:paraId="19599A19" w14:textId="77777777" w:rsidTr="00C033C4">
        <w:tc>
          <w:tcPr>
            <w:tcW w:w="1774" w:type="pct"/>
            <w:shd w:val="clear" w:color="auto" w:fill="auto"/>
            <w:noWrap/>
          </w:tcPr>
          <w:p w14:paraId="23346531" w14:textId="77777777" w:rsidR="00BA7853" w:rsidRPr="00D8141D" w:rsidRDefault="00BA7853"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“Instrução CVM 480” </w:t>
            </w:r>
          </w:p>
        </w:tc>
        <w:tc>
          <w:tcPr>
            <w:tcW w:w="3226" w:type="pct"/>
            <w:shd w:val="clear" w:color="auto" w:fill="auto"/>
            <w:noWrap/>
          </w:tcPr>
          <w:p w14:paraId="2C1AC08D" w14:textId="77777777" w:rsidR="00BA7853" w:rsidRPr="00D8141D" w:rsidRDefault="00BA7853"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Instrução da CVM nº 480, de 7 de dezembro de 2009</w:t>
            </w:r>
            <w:r w:rsidRPr="00D8141D">
              <w:rPr>
                <w:rFonts w:cs="Calibri"/>
                <w:lang w:val="pt-BR"/>
              </w:rPr>
              <w:t>, conforme alterada.</w:t>
            </w:r>
          </w:p>
        </w:tc>
      </w:tr>
      <w:tr w:rsidR="00BF6CD1" w:rsidRPr="0082022E" w14:paraId="321889B2" w14:textId="77777777" w:rsidTr="00C033C4">
        <w:tc>
          <w:tcPr>
            <w:tcW w:w="1774" w:type="pct"/>
            <w:shd w:val="clear" w:color="auto" w:fill="auto"/>
            <w:noWrap/>
          </w:tcPr>
          <w:p w14:paraId="1D795F64" w14:textId="77777777" w:rsidR="00BF6CD1" w:rsidRPr="00D8141D" w:rsidRDefault="00BF6CD1" w:rsidP="00366E72">
            <w:pPr>
              <w:pStyle w:val="HOMEBRBodyText"/>
              <w:keepLines w:val="0"/>
              <w:widowControl w:val="0"/>
              <w:spacing w:after="140" w:line="290" w:lineRule="auto"/>
              <w:rPr>
                <w:rFonts w:cs="Calibri"/>
                <w:b/>
                <w:lang w:val="pt-BR"/>
              </w:rPr>
            </w:pPr>
            <w:r w:rsidRPr="00D8141D">
              <w:rPr>
                <w:rFonts w:cs="Calibri"/>
                <w:b/>
                <w:lang w:val="pt-BR"/>
              </w:rPr>
              <w:t>“Instrução CVM 555”</w:t>
            </w:r>
          </w:p>
        </w:tc>
        <w:tc>
          <w:tcPr>
            <w:tcW w:w="3226" w:type="pct"/>
            <w:shd w:val="clear" w:color="auto" w:fill="auto"/>
            <w:noWrap/>
          </w:tcPr>
          <w:p w14:paraId="544D3C8B" w14:textId="77777777" w:rsidR="00BF6CD1" w:rsidRPr="00D8141D" w:rsidRDefault="00BF6CD1" w:rsidP="00366E72">
            <w:pPr>
              <w:pStyle w:val="HOMEBRBodyText"/>
              <w:keepLines w:val="0"/>
              <w:widowControl w:val="0"/>
              <w:spacing w:after="140" w:line="290" w:lineRule="auto"/>
              <w:jc w:val="both"/>
              <w:rPr>
                <w:rFonts w:cs="Calibri"/>
                <w:lang w:val="pt-BR"/>
              </w:rPr>
            </w:pPr>
            <w:r w:rsidRPr="00D8141D">
              <w:rPr>
                <w:rFonts w:cs="Calibri"/>
                <w:lang w:val="pt-BR"/>
              </w:rPr>
              <w:t>Instrução da CVM nº 555, de 17 de dezembro de 2014, conforme alterada.</w:t>
            </w:r>
          </w:p>
        </w:tc>
      </w:tr>
      <w:tr w:rsidR="00BF6CD1" w:rsidRPr="0082022E" w14:paraId="713908FE" w14:textId="77777777" w:rsidTr="00C033C4">
        <w:tc>
          <w:tcPr>
            <w:tcW w:w="1774" w:type="pct"/>
            <w:shd w:val="clear" w:color="auto" w:fill="auto"/>
            <w:noWrap/>
          </w:tcPr>
          <w:p w14:paraId="72674C66"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“Investidores Institucionais”</w:t>
            </w:r>
          </w:p>
        </w:tc>
        <w:tc>
          <w:tcPr>
            <w:tcW w:w="3226" w:type="pct"/>
            <w:shd w:val="clear" w:color="auto" w:fill="auto"/>
            <w:noWrap/>
          </w:tcPr>
          <w:p w14:paraId="7FEAE3FB" w14:textId="77777777" w:rsidR="00BF6CD1" w:rsidRPr="00D8141D" w:rsidRDefault="00BF6CD1" w:rsidP="00576AA2">
            <w:pPr>
              <w:pStyle w:val="HOMEBRBodyText"/>
              <w:keepLines w:val="0"/>
              <w:widowControl w:val="0"/>
              <w:spacing w:after="140" w:line="260" w:lineRule="exact"/>
              <w:jc w:val="both"/>
              <w:rPr>
                <w:rFonts w:eastAsia="Calibri" w:cs="Calibri"/>
                <w:lang w:val="pt-BR"/>
              </w:rPr>
            </w:pPr>
            <w:r w:rsidRPr="00D8141D">
              <w:rPr>
                <w:rFonts w:cs="Calibri"/>
                <w:lang w:val="pt-BR"/>
              </w:rPr>
              <w:t>Investidores que sejam fundos de investimento, clubes de investimento, carteiras administradas, fundos de pensão, entidades administradoras de recursos de terceiros registradas na CVM, entidades autorizadas a funcionar pelo BACEN</w:t>
            </w:r>
            <w:r w:rsidR="009C53F8" w:rsidRPr="00D8141D">
              <w:rPr>
                <w:rFonts w:cs="Calibri"/>
                <w:lang w:val="pt-BR"/>
              </w:rPr>
              <w:t xml:space="preserve">, </w:t>
            </w:r>
            <w:r w:rsidRPr="00D8141D">
              <w:rPr>
                <w:rFonts w:cs="Calibri"/>
                <w:lang w:val="pt-BR"/>
              </w:rPr>
              <w:t>seguradoras, entidades de previdência complementar e de capitalização</w:t>
            </w:r>
            <w:r w:rsidR="00EC54AC" w:rsidRPr="00D8141D">
              <w:rPr>
                <w:rFonts w:cs="Calibri"/>
                <w:lang w:val="pt-BR"/>
              </w:rPr>
              <w:t>,</w:t>
            </w:r>
            <w:r w:rsidRPr="00D8141D">
              <w:rPr>
                <w:rFonts w:cs="Calibri"/>
                <w:lang w:val="pt-BR"/>
              </w:rPr>
              <w:t xml:space="preserve"> bem como pessoas físicas ou jurídicas que sejam consideradas</w:t>
            </w:r>
            <w:r w:rsidR="004B4FD8" w:rsidRPr="00D8141D">
              <w:rPr>
                <w:rFonts w:cs="Calibri"/>
                <w:lang w:val="pt-BR"/>
              </w:rPr>
              <w:t xml:space="preserve"> como investidores profissionais ou</w:t>
            </w:r>
            <w:r w:rsidRPr="00D8141D">
              <w:rPr>
                <w:rFonts w:cs="Calibri"/>
                <w:lang w:val="pt-BR"/>
              </w:rPr>
              <w:t xml:space="preserve"> investidores qualificados, conforme definido no </w:t>
            </w:r>
            <w:r w:rsidR="009C53F8" w:rsidRPr="00D8141D">
              <w:rPr>
                <w:rFonts w:cs="Calibri"/>
                <w:lang w:val="pt-BR"/>
              </w:rPr>
              <w:t>conforme definido nos artigos 11 e 12 da Resolução da CVM nº 30, de 11 e maio de 2021</w:t>
            </w:r>
            <w:r w:rsidR="00403C1B" w:rsidRPr="00D8141D">
              <w:rPr>
                <w:rFonts w:cs="Calibri"/>
                <w:lang w:val="pt-BR"/>
              </w:rPr>
              <w:t>, assim como, investidores pessoas físicas ou jurídicas que formaliz</w:t>
            </w:r>
            <w:r w:rsidR="009852D1" w:rsidRPr="00D8141D">
              <w:rPr>
                <w:rFonts w:cs="Calibri"/>
                <w:lang w:val="pt-BR"/>
              </w:rPr>
              <w:t>aram</w:t>
            </w:r>
            <w:r w:rsidR="00403C1B" w:rsidRPr="00D8141D">
              <w:rPr>
                <w:rFonts w:cs="Calibri"/>
                <w:lang w:val="pt-BR"/>
              </w:rPr>
              <w:t xml:space="preserve"> Pedido de Reserva em valor igual ou superior a R$1.000.000,00 (um milhão de reais).</w:t>
            </w:r>
          </w:p>
        </w:tc>
      </w:tr>
    </w:tbl>
    <w:p w14:paraId="24BAD828" w14:textId="77777777" w:rsidR="005275FC" w:rsidRDefault="005275F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5"/>
        <w:gridCol w:w="5666"/>
      </w:tblGrid>
      <w:tr w:rsidR="00BF6CD1" w:rsidRPr="0082022E" w14:paraId="0ECAA47A" w14:textId="77777777" w:rsidTr="00C033C4">
        <w:tc>
          <w:tcPr>
            <w:tcW w:w="1774" w:type="pct"/>
            <w:shd w:val="clear" w:color="auto" w:fill="auto"/>
            <w:noWrap/>
          </w:tcPr>
          <w:p w14:paraId="341AFF5F" w14:textId="0DB99CA3"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“Investidores Não Institucionais”</w:t>
            </w:r>
          </w:p>
        </w:tc>
        <w:tc>
          <w:tcPr>
            <w:tcW w:w="3226" w:type="pct"/>
            <w:shd w:val="clear" w:color="auto" w:fill="auto"/>
            <w:noWrap/>
          </w:tcPr>
          <w:p w14:paraId="0AC3A62C" w14:textId="77777777" w:rsidR="00BF6CD1" w:rsidRPr="00D8141D" w:rsidRDefault="00BF6CD1" w:rsidP="00366E72">
            <w:pPr>
              <w:pStyle w:val="HOMEBRBodyText"/>
              <w:keepLines w:val="0"/>
              <w:widowControl w:val="0"/>
              <w:spacing w:after="140" w:line="290" w:lineRule="auto"/>
              <w:jc w:val="both"/>
              <w:rPr>
                <w:rFonts w:eastAsia="Calibri" w:cs="Calibri"/>
                <w:lang w:val="pt-BR"/>
              </w:rPr>
            </w:pPr>
            <w:r w:rsidRPr="00D8141D">
              <w:rPr>
                <w:rFonts w:cs="Calibri"/>
                <w:lang w:val="pt-BR"/>
              </w:rPr>
              <w:t>Investidores, pessoas físicas ou jurídicas, que não estejam compreendidos na definição de Investidores Institucionais.</w:t>
            </w:r>
          </w:p>
        </w:tc>
      </w:tr>
      <w:tr w:rsidR="00BF6CD1" w:rsidRPr="0082022E" w14:paraId="511A78B6" w14:textId="77777777" w:rsidTr="00C033C4">
        <w:tc>
          <w:tcPr>
            <w:tcW w:w="1774" w:type="pct"/>
            <w:shd w:val="clear" w:color="auto" w:fill="auto"/>
            <w:noWrap/>
          </w:tcPr>
          <w:p w14:paraId="0F14A288"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“Investidores”</w:t>
            </w:r>
          </w:p>
        </w:tc>
        <w:tc>
          <w:tcPr>
            <w:tcW w:w="3226" w:type="pct"/>
            <w:shd w:val="clear" w:color="auto" w:fill="auto"/>
            <w:noWrap/>
          </w:tcPr>
          <w:p w14:paraId="25ABF674" w14:textId="77777777" w:rsidR="00BF6CD1" w:rsidRPr="00D8141D" w:rsidRDefault="00BF6CD1" w:rsidP="00366E72">
            <w:pPr>
              <w:pStyle w:val="HOMEBRBodyText"/>
              <w:keepLines w:val="0"/>
              <w:widowControl w:val="0"/>
              <w:spacing w:after="140" w:line="290" w:lineRule="auto"/>
              <w:jc w:val="both"/>
              <w:rPr>
                <w:rFonts w:cs="Calibri"/>
                <w:lang w:val="pt-BR"/>
              </w:rPr>
            </w:pPr>
            <w:r w:rsidRPr="00D8141D">
              <w:rPr>
                <w:rFonts w:cs="Calibri"/>
                <w:lang w:val="pt-BR"/>
              </w:rPr>
              <w:t>Os Investidores Não Institucionais e os Investidores Institucionais, em conjunto.</w:t>
            </w:r>
          </w:p>
        </w:tc>
      </w:tr>
      <w:tr w:rsidR="00BF6CD1" w:rsidRPr="0082022E" w14:paraId="29843B8D" w14:textId="77777777" w:rsidTr="00C033C4">
        <w:tc>
          <w:tcPr>
            <w:tcW w:w="1774" w:type="pct"/>
            <w:shd w:val="clear" w:color="auto" w:fill="auto"/>
            <w:noWrap/>
          </w:tcPr>
          <w:p w14:paraId="7F95BD46"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“IOF/Câmbio”</w:t>
            </w:r>
          </w:p>
        </w:tc>
        <w:tc>
          <w:tcPr>
            <w:tcW w:w="3226" w:type="pct"/>
            <w:shd w:val="clear" w:color="auto" w:fill="auto"/>
            <w:noWrap/>
          </w:tcPr>
          <w:p w14:paraId="2E8B1A7F" w14:textId="77777777" w:rsidR="00BF6CD1" w:rsidRPr="00D8141D" w:rsidRDefault="00BF6CD1" w:rsidP="00366E72">
            <w:pPr>
              <w:pStyle w:val="HOMEBRBodyText"/>
              <w:keepLines w:val="0"/>
              <w:widowControl w:val="0"/>
              <w:spacing w:after="140" w:line="290" w:lineRule="auto"/>
              <w:jc w:val="both"/>
              <w:rPr>
                <w:rFonts w:cs="Calibri"/>
                <w:lang w:val="pt-BR"/>
              </w:rPr>
            </w:pPr>
            <w:r w:rsidRPr="00D8141D">
              <w:rPr>
                <w:rFonts w:eastAsia="Times New Roman" w:cs="Calibri"/>
                <w:lang w:val="pt-BR" w:eastAsia="pt-BR"/>
              </w:rPr>
              <w:t>Imposto sobre Operações de Câmbio.</w:t>
            </w:r>
          </w:p>
        </w:tc>
      </w:tr>
      <w:tr w:rsidR="00BF6CD1" w:rsidRPr="0082022E" w14:paraId="433E0D62" w14:textId="77777777" w:rsidTr="00C033C4">
        <w:tc>
          <w:tcPr>
            <w:tcW w:w="1774" w:type="pct"/>
            <w:shd w:val="clear" w:color="auto" w:fill="auto"/>
            <w:noWrap/>
          </w:tcPr>
          <w:p w14:paraId="50ED59A7"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“IOF/Títulos”</w:t>
            </w:r>
          </w:p>
        </w:tc>
        <w:tc>
          <w:tcPr>
            <w:tcW w:w="3226" w:type="pct"/>
            <w:shd w:val="clear" w:color="auto" w:fill="auto"/>
            <w:noWrap/>
          </w:tcPr>
          <w:p w14:paraId="3C9535CF" w14:textId="77777777" w:rsidR="00BF6CD1" w:rsidRPr="00D8141D" w:rsidRDefault="00BF6CD1" w:rsidP="00366E72">
            <w:pPr>
              <w:pStyle w:val="HOMEBRBodyText"/>
              <w:keepLines w:val="0"/>
              <w:widowControl w:val="0"/>
              <w:spacing w:after="140" w:line="290" w:lineRule="auto"/>
              <w:jc w:val="both"/>
              <w:rPr>
                <w:rFonts w:cs="Calibri"/>
                <w:lang w:val="pt-BR"/>
              </w:rPr>
            </w:pPr>
            <w:r w:rsidRPr="00D8141D">
              <w:rPr>
                <w:rFonts w:eastAsia="Times New Roman" w:cs="Calibri"/>
                <w:lang w:val="pt-BR" w:eastAsia="pt-BR"/>
              </w:rPr>
              <w:t>Imposto sobre Operações que Envolvam Títulos e Valores Mobiliários.</w:t>
            </w:r>
          </w:p>
        </w:tc>
      </w:tr>
      <w:tr w:rsidR="00BF6CD1" w:rsidRPr="0082022E" w14:paraId="5A6FA94E" w14:textId="77777777" w:rsidTr="00C033C4">
        <w:tc>
          <w:tcPr>
            <w:tcW w:w="1774" w:type="pct"/>
            <w:shd w:val="clear" w:color="auto" w:fill="auto"/>
            <w:noWrap/>
          </w:tcPr>
          <w:p w14:paraId="3E943182"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“IPCA”</w:t>
            </w:r>
          </w:p>
        </w:tc>
        <w:tc>
          <w:tcPr>
            <w:tcW w:w="3226" w:type="pct"/>
            <w:shd w:val="clear" w:color="auto" w:fill="auto"/>
            <w:noWrap/>
          </w:tcPr>
          <w:p w14:paraId="563C17F3" w14:textId="77777777" w:rsidR="00BF6CD1" w:rsidRPr="00D8141D" w:rsidRDefault="00BF6CD1" w:rsidP="00366E72">
            <w:pPr>
              <w:pStyle w:val="HOMEBRBodyText"/>
              <w:keepLines w:val="0"/>
              <w:widowControl w:val="0"/>
              <w:spacing w:after="140" w:line="290" w:lineRule="auto"/>
              <w:jc w:val="both"/>
              <w:rPr>
                <w:rFonts w:cs="Calibri"/>
                <w:lang w:val="pt-BR"/>
              </w:rPr>
            </w:pPr>
            <w:r w:rsidRPr="00D8141D">
              <w:rPr>
                <w:rFonts w:cs="Calibri"/>
                <w:lang w:val="pt-BR"/>
              </w:rPr>
              <w:t xml:space="preserve">Índice de Preços ao Consumidor Amplo, calculado e divulgado pelo </w:t>
            </w:r>
            <w:r w:rsidRPr="00D8141D">
              <w:rPr>
                <w:rFonts w:eastAsia="Calibri" w:cs="Calibri"/>
                <w:lang w:val="pt-BR"/>
              </w:rPr>
              <w:t>IBGE.</w:t>
            </w:r>
          </w:p>
        </w:tc>
      </w:tr>
      <w:tr w:rsidR="00BF6CD1" w:rsidRPr="0082022E" w14:paraId="1CEF62C4" w14:textId="77777777" w:rsidTr="00C033C4">
        <w:tc>
          <w:tcPr>
            <w:tcW w:w="1774" w:type="pct"/>
            <w:shd w:val="clear" w:color="auto" w:fill="auto"/>
            <w:noWrap/>
          </w:tcPr>
          <w:p w14:paraId="08BF01FC"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“IRPJ”</w:t>
            </w:r>
          </w:p>
        </w:tc>
        <w:tc>
          <w:tcPr>
            <w:tcW w:w="3226" w:type="pct"/>
            <w:shd w:val="clear" w:color="auto" w:fill="auto"/>
            <w:noWrap/>
          </w:tcPr>
          <w:p w14:paraId="22BBE290" w14:textId="77777777" w:rsidR="00BF6CD1" w:rsidRPr="00D8141D" w:rsidRDefault="00BF6CD1" w:rsidP="00366E72">
            <w:pPr>
              <w:pStyle w:val="HOMEBRBodyText"/>
              <w:keepLines w:val="0"/>
              <w:widowControl w:val="0"/>
              <w:spacing w:after="140" w:line="290" w:lineRule="auto"/>
              <w:jc w:val="both"/>
              <w:rPr>
                <w:rFonts w:cs="Calibri"/>
                <w:lang w:val="pt-BR"/>
              </w:rPr>
            </w:pPr>
            <w:r w:rsidRPr="00D8141D">
              <w:rPr>
                <w:rFonts w:cs="Calibri"/>
                <w:lang w:val="pt-BR" w:eastAsia="pt-BR"/>
              </w:rPr>
              <w:t>Imposto de Renda da Pessoa Jurídica.</w:t>
            </w:r>
          </w:p>
        </w:tc>
      </w:tr>
      <w:tr w:rsidR="00BF6CD1" w:rsidRPr="0082022E" w14:paraId="279E072F" w14:textId="77777777" w:rsidTr="00C033C4">
        <w:tc>
          <w:tcPr>
            <w:tcW w:w="1774" w:type="pct"/>
            <w:shd w:val="clear" w:color="auto" w:fill="auto"/>
            <w:noWrap/>
          </w:tcPr>
          <w:p w14:paraId="26ACB260"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“IR Fonte”</w:t>
            </w:r>
          </w:p>
        </w:tc>
        <w:tc>
          <w:tcPr>
            <w:tcW w:w="3226" w:type="pct"/>
            <w:shd w:val="clear" w:color="auto" w:fill="auto"/>
            <w:noWrap/>
          </w:tcPr>
          <w:p w14:paraId="4A43D70E" w14:textId="77777777" w:rsidR="00BF6CD1" w:rsidRPr="00D8141D" w:rsidRDefault="00BF6CD1" w:rsidP="00366E72">
            <w:pPr>
              <w:pStyle w:val="HOMEBRBodyText"/>
              <w:keepLines w:val="0"/>
              <w:widowControl w:val="0"/>
              <w:spacing w:after="140" w:line="290" w:lineRule="auto"/>
              <w:jc w:val="both"/>
              <w:rPr>
                <w:rFonts w:cs="Calibri"/>
                <w:lang w:val="pt-BR"/>
              </w:rPr>
            </w:pPr>
            <w:r w:rsidRPr="00D8141D">
              <w:rPr>
                <w:rFonts w:eastAsia="Times New Roman" w:cs="Calibri"/>
                <w:lang w:val="pt-BR" w:eastAsia="pt-BR"/>
              </w:rPr>
              <w:t xml:space="preserve">Imposto de Renda </w:t>
            </w:r>
            <w:r w:rsidR="00AA58A3" w:rsidRPr="00D8141D">
              <w:rPr>
                <w:rFonts w:eastAsia="Times New Roman" w:cs="Calibri"/>
                <w:lang w:val="pt-BR" w:eastAsia="pt-BR"/>
              </w:rPr>
              <w:t xml:space="preserve">Retido </w:t>
            </w:r>
            <w:r w:rsidRPr="00D8141D">
              <w:rPr>
                <w:rFonts w:eastAsia="Times New Roman" w:cs="Calibri"/>
                <w:lang w:val="pt-BR" w:eastAsia="pt-BR"/>
              </w:rPr>
              <w:t>na Fonte.</w:t>
            </w:r>
          </w:p>
        </w:tc>
      </w:tr>
      <w:tr w:rsidR="009D7EAD" w:rsidRPr="0082022E" w14:paraId="04A7770F" w14:textId="77777777" w:rsidTr="00C033C4">
        <w:tc>
          <w:tcPr>
            <w:tcW w:w="1774" w:type="pct"/>
            <w:shd w:val="clear" w:color="auto" w:fill="auto"/>
            <w:noWrap/>
          </w:tcPr>
          <w:p w14:paraId="74865A68" w14:textId="77777777" w:rsidR="009D7EAD" w:rsidRPr="00D8141D" w:rsidRDefault="009D7EAD"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“Jornais de Publicação”</w:t>
            </w:r>
          </w:p>
        </w:tc>
        <w:tc>
          <w:tcPr>
            <w:tcW w:w="3226" w:type="pct"/>
            <w:shd w:val="clear" w:color="auto" w:fill="auto"/>
            <w:noWrap/>
          </w:tcPr>
          <w:p w14:paraId="61473ACB" w14:textId="77777777" w:rsidR="009D7EAD" w:rsidRPr="00D8141D" w:rsidRDefault="009D7EAD" w:rsidP="00366E72">
            <w:pPr>
              <w:pStyle w:val="HOMEBRBodyText"/>
              <w:keepLines w:val="0"/>
              <w:widowControl w:val="0"/>
              <w:spacing w:after="140" w:line="290" w:lineRule="auto"/>
              <w:jc w:val="both"/>
              <w:rPr>
                <w:rFonts w:eastAsia="Times New Roman" w:cs="Calibri"/>
                <w:lang w:val="pt-BR" w:eastAsia="pt-BR"/>
              </w:rPr>
            </w:pPr>
            <w:r w:rsidRPr="00D8141D">
              <w:rPr>
                <w:rFonts w:eastAsia="Times New Roman" w:cs="Calibri"/>
                <w:lang w:val="pt-BR" w:eastAsia="pt-BR"/>
              </w:rPr>
              <w:t>O DOESP e o Jornal “Valor Econômico”, considerados em conjunto.</w:t>
            </w:r>
          </w:p>
        </w:tc>
      </w:tr>
      <w:tr w:rsidR="00BF6CD1" w:rsidRPr="0082022E" w14:paraId="4BB4B6B1" w14:textId="77777777" w:rsidTr="00C033C4">
        <w:tc>
          <w:tcPr>
            <w:tcW w:w="1774" w:type="pct"/>
            <w:shd w:val="clear" w:color="auto" w:fill="auto"/>
            <w:noWrap/>
          </w:tcPr>
          <w:p w14:paraId="278F30D9"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“JUCESP”</w:t>
            </w:r>
          </w:p>
        </w:tc>
        <w:tc>
          <w:tcPr>
            <w:tcW w:w="3226" w:type="pct"/>
            <w:shd w:val="clear" w:color="auto" w:fill="auto"/>
            <w:noWrap/>
          </w:tcPr>
          <w:p w14:paraId="3B51C9BA" w14:textId="77777777" w:rsidR="00BF6CD1" w:rsidRPr="00D8141D" w:rsidRDefault="00BF6CD1"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Junta Comercial do Estado de São Paulo.</w:t>
            </w:r>
          </w:p>
        </w:tc>
      </w:tr>
      <w:tr w:rsidR="00BF6CD1" w:rsidRPr="0082022E" w14:paraId="0E4DB6EB" w14:textId="77777777" w:rsidTr="00C033C4">
        <w:tc>
          <w:tcPr>
            <w:tcW w:w="1774" w:type="pct"/>
            <w:shd w:val="clear" w:color="auto" w:fill="auto"/>
            <w:noWrap/>
          </w:tcPr>
          <w:p w14:paraId="6ED18122"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“Jurisdição de Tributação Favorecida”</w:t>
            </w:r>
          </w:p>
        </w:tc>
        <w:tc>
          <w:tcPr>
            <w:tcW w:w="3226" w:type="pct"/>
            <w:shd w:val="clear" w:color="auto" w:fill="auto"/>
            <w:noWrap/>
          </w:tcPr>
          <w:p w14:paraId="7653F793" w14:textId="77777777" w:rsidR="00BF6CD1" w:rsidRPr="00D8141D" w:rsidRDefault="00BF6CD1" w:rsidP="00366E72">
            <w:pPr>
              <w:pStyle w:val="HOMEBRBodyText"/>
              <w:keepLines w:val="0"/>
              <w:widowControl w:val="0"/>
              <w:spacing w:after="140" w:line="290" w:lineRule="auto"/>
              <w:jc w:val="both"/>
              <w:rPr>
                <w:rFonts w:eastAsia="Calibri" w:cs="Calibri"/>
                <w:lang w:val="pt-BR"/>
              </w:rPr>
            </w:pPr>
            <w:r w:rsidRPr="00D8141D">
              <w:rPr>
                <w:rFonts w:cs="Calibri"/>
                <w:lang w:val="pt-BR" w:eastAsia="pt-BR"/>
              </w:rPr>
              <w:t>País ou jurisdição que não tribute a renda, ou que a tribute a alíquota máxima inferior a 20% (vinte por cento).</w:t>
            </w:r>
          </w:p>
        </w:tc>
      </w:tr>
      <w:tr w:rsidR="009D7EAD" w:rsidRPr="0082022E" w14:paraId="7341AAE2" w14:textId="77777777" w:rsidTr="00C033C4">
        <w:tc>
          <w:tcPr>
            <w:tcW w:w="1774" w:type="pct"/>
            <w:shd w:val="clear" w:color="auto" w:fill="auto"/>
            <w:noWrap/>
          </w:tcPr>
          <w:p w14:paraId="566F1A3B" w14:textId="77777777" w:rsidR="009D7EAD" w:rsidRPr="00D8141D" w:rsidRDefault="009D7EAD"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“Juros Remuneratórios”</w:t>
            </w:r>
          </w:p>
        </w:tc>
        <w:tc>
          <w:tcPr>
            <w:tcW w:w="3226" w:type="pct"/>
            <w:shd w:val="clear" w:color="auto" w:fill="auto"/>
            <w:noWrap/>
          </w:tcPr>
          <w:p w14:paraId="7F4E207F" w14:textId="77777777" w:rsidR="009D7EAD" w:rsidRPr="00D8141D" w:rsidRDefault="009D7EAD" w:rsidP="00366E72">
            <w:pPr>
              <w:pStyle w:val="HOMEBRBodyText"/>
              <w:keepLines w:val="0"/>
              <w:widowControl w:val="0"/>
              <w:spacing w:after="140" w:line="290" w:lineRule="auto"/>
              <w:jc w:val="both"/>
              <w:rPr>
                <w:rFonts w:cs="Calibri"/>
                <w:lang w:val="pt-BR" w:eastAsia="pt-BR"/>
              </w:rPr>
            </w:pPr>
            <w:r w:rsidRPr="00D8141D">
              <w:rPr>
                <w:rFonts w:cs="Calibri"/>
                <w:lang w:val="pt-BR" w:eastAsia="pt-BR"/>
              </w:rPr>
              <w:t>Os Juros Remuneratórios das Debêntures da Primeira Série e os Juros Remuneratórios da Segunda Série, quando referidos em conjunto.</w:t>
            </w:r>
          </w:p>
        </w:tc>
      </w:tr>
      <w:tr w:rsidR="009D7EAD" w:rsidRPr="0082022E" w14:paraId="141A6DF5" w14:textId="77777777" w:rsidTr="00C033C4">
        <w:tc>
          <w:tcPr>
            <w:tcW w:w="1774" w:type="pct"/>
            <w:shd w:val="clear" w:color="auto" w:fill="auto"/>
            <w:noWrap/>
          </w:tcPr>
          <w:p w14:paraId="39459EF5" w14:textId="77777777" w:rsidR="009D7EAD" w:rsidRPr="00D8141D" w:rsidRDefault="009D7EAD" w:rsidP="00366E72">
            <w:pPr>
              <w:pStyle w:val="HOMEBRBodyText"/>
              <w:keepLines w:val="0"/>
              <w:widowControl w:val="0"/>
              <w:spacing w:after="140" w:line="290" w:lineRule="auto"/>
              <w:rPr>
                <w:rFonts w:eastAsia="Calibri" w:cs="Calibri"/>
                <w:b/>
                <w:lang w:val="pt-BR"/>
              </w:rPr>
            </w:pPr>
            <w:bookmarkStart w:id="11" w:name="_Hlk92975858"/>
            <w:r w:rsidRPr="00D8141D">
              <w:rPr>
                <w:rFonts w:eastAsia="Calibri" w:cs="Calibri"/>
                <w:b/>
                <w:lang w:val="pt-BR"/>
              </w:rPr>
              <w:t>“Juros Remuneratórios da Primeira Série”</w:t>
            </w:r>
          </w:p>
        </w:tc>
        <w:tc>
          <w:tcPr>
            <w:tcW w:w="3226" w:type="pct"/>
            <w:shd w:val="clear" w:color="auto" w:fill="auto"/>
            <w:noWrap/>
          </w:tcPr>
          <w:p w14:paraId="3EEFE469" w14:textId="77777777" w:rsidR="009D7EAD" w:rsidRPr="00D8141D" w:rsidRDefault="009C53F8" w:rsidP="00366E72">
            <w:pPr>
              <w:pStyle w:val="HOMEBRBodyText"/>
              <w:keepLines w:val="0"/>
              <w:widowControl w:val="0"/>
              <w:spacing w:after="140" w:line="290" w:lineRule="auto"/>
              <w:jc w:val="both"/>
              <w:rPr>
                <w:rFonts w:cs="Calibri"/>
                <w:lang w:val="pt-BR" w:eastAsia="pt-BR"/>
              </w:rPr>
            </w:pPr>
            <w:r w:rsidRPr="00B63002">
              <w:rPr>
                <w:lang w:val="pt-BR"/>
              </w:rPr>
              <w:t xml:space="preserve">Sobre o Valor Nominal </w:t>
            </w:r>
            <w:r w:rsidR="009D09A0">
              <w:rPr>
                <w:lang w:val="pt-BR"/>
              </w:rPr>
              <w:t xml:space="preserve">Unitário </w:t>
            </w:r>
            <w:r w:rsidRPr="00B63002">
              <w:rPr>
                <w:lang w:val="pt-BR"/>
              </w:rPr>
              <w:t>Atualizado das Debêntures</w:t>
            </w:r>
            <w:r w:rsidRPr="00D8141D">
              <w:rPr>
                <w:rFonts w:cs="Calibri"/>
                <w:bCs/>
                <w:iCs/>
                <w:lang w:val="pt-BR"/>
              </w:rPr>
              <w:t xml:space="preserve"> da Primeira Série</w:t>
            </w:r>
            <w:r w:rsidR="004B4FD8" w:rsidRPr="0020727A">
              <w:rPr>
                <w:lang w:val="pt-BR"/>
              </w:rPr>
              <w:t>,</w:t>
            </w:r>
            <w:r w:rsidRPr="00B63002">
              <w:rPr>
                <w:lang w:val="pt-BR"/>
              </w:rPr>
              <w:t xml:space="preserve"> incidirão juros remuneratórios correspondentes a </w:t>
            </w:r>
            <w:r w:rsidR="000C16EA" w:rsidRPr="00D8141D">
              <w:rPr>
                <w:rFonts w:cs="Calibri"/>
                <w:bCs/>
                <w:iCs/>
                <w:lang w:val="pt-BR"/>
              </w:rPr>
              <w:t>5,9741% (cinco inteiros e nove mil setecentos e quarenta e um décimos de milésimos por cento)</w:t>
            </w:r>
            <w:r w:rsidR="009852D1" w:rsidRPr="00D8141D">
              <w:rPr>
                <w:rFonts w:cs="Calibri"/>
                <w:bCs/>
                <w:iCs/>
                <w:lang w:val="pt-BR"/>
              </w:rPr>
              <w:t xml:space="preserve"> </w:t>
            </w:r>
            <w:r w:rsidRPr="00D8141D">
              <w:rPr>
                <w:rFonts w:cs="Calibri"/>
                <w:bCs/>
                <w:iCs/>
                <w:lang w:val="pt-BR"/>
              </w:rPr>
              <w:t>ao ano, base 252 Dias Úteis</w:t>
            </w:r>
            <w:r w:rsidR="009D7EAD" w:rsidRPr="00D8141D">
              <w:rPr>
                <w:rFonts w:cs="Calibri"/>
                <w:bCs/>
                <w:iCs/>
                <w:lang w:val="pt-BR"/>
              </w:rPr>
              <w:t>.</w:t>
            </w:r>
          </w:p>
        </w:tc>
      </w:tr>
      <w:tr w:rsidR="009D7EAD" w:rsidRPr="0082022E" w14:paraId="36FEC845" w14:textId="77777777" w:rsidTr="00C033C4">
        <w:tc>
          <w:tcPr>
            <w:tcW w:w="1774" w:type="pct"/>
            <w:shd w:val="clear" w:color="auto" w:fill="auto"/>
            <w:noWrap/>
          </w:tcPr>
          <w:p w14:paraId="54F9135D" w14:textId="77777777" w:rsidR="009D7EAD" w:rsidRPr="00D8141D" w:rsidRDefault="009D7EAD"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“Juros Remuneratórios da Segunda Série”</w:t>
            </w:r>
          </w:p>
        </w:tc>
        <w:tc>
          <w:tcPr>
            <w:tcW w:w="3226" w:type="pct"/>
            <w:shd w:val="clear" w:color="auto" w:fill="auto"/>
            <w:noWrap/>
          </w:tcPr>
          <w:p w14:paraId="7268BBF0" w14:textId="77777777" w:rsidR="009D7EAD" w:rsidRPr="00B63002" w:rsidRDefault="009C53F8" w:rsidP="00366E72">
            <w:pPr>
              <w:pStyle w:val="HOMEBRBodyText"/>
              <w:keepLines w:val="0"/>
              <w:widowControl w:val="0"/>
              <w:spacing w:after="140" w:line="290" w:lineRule="auto"/>
              <w:jc w:val="both"/>
              <w:rPr>
                <w:lang w:val="pt-BR"/>
              </w:rPr>
            </w:pPr>
            <w:r w:rsidRPr="00D8141D">
              <w:rPr>
                <w:rFonts w:cs="Calibri"/>
                <w:lang w:val="pt-BR"/>
              </w:rPr>
              <w:t>S</w:t>
            </w:r>
            <w:r w:rsidRPr="00D8141D">
              <w:rPr>
                <w:rFonts w:cs="Calibri"/>
                <w:bCs/>
                <w:iCs/>
                <w:lang w:val="pt-BR"/>
              </w:rPr>
              <w:t xml:space="preserve">obre o Valor Nominal </w:t>
            </w:r>
            <w:r w:rsidR="009D09A0">
              <w:rPr>
                <w:lang w:val="pt-BR"/>
              </w:rPr>
              <w:t xml:space="preserve">Unitário </w:t>
            </w:r>
            <w:r w:rsidRPr="00D8141D">
              <w:rPr>
                <w:rFonts w:cs="Calibri"/>
                <w:bCs/>
                <w:iCs/>
                <w:lang w:val="pt-BR"/>
              </w:rPr>
              <w:t>Atualizado das Debêntures da Segunda Série</w:t>
            </w:r>
            <w:r w:rsidR="004B4FD8" w:rsidRPr="00D8141D">
              <w:rPr>
                <w:rFonts w:cs="Calibri"/>
                <w:bCs/>
                <w:iCs/>
                <w:lang w:val="pt-BR"/>
              </w:rPr>
              <w:t>,</w:t>
            </w:r>
            <w:r w:rsidRPr="00D8141D">
              <w:rPr>
                <w:rFonts w:cs="Calibri"/>
                <w:bCs/>
                <w:iCs/>
                <w:lang w:val="pt-BR"/>
              </w:rPr>
              <w:t xml:space="preserve"> incidirão juros remuneratórios correspondentes a </w:t>
            </w:r>
            <w:r w:rsidR="00806F32" w:rsidRPr="00D8141D">
              <w:rPr>
                <w:rFonts w:cs="Calibri"/>
                <w:bCs/>
                <w:iCs/>
                <w:lang w:val="pt-BR"/>
              </w:rPr>
              <w:t>6,1076% (seis inteiros e mil e setenta e seis décimos de milésimos por cento)</w:t>
            </w:r>
            <w:r w:rsidRPr="00D8141D">
              <w:rPr>
                <w:rFonts w:cs="Calibri"/>
                <w:bCs/>
                <w:iCs/>
                <w:lang w:val="pt-BR"/>
              </w:rPr>
              <w:t>, base 252 Dias Útei</w:t>
            </w:r>
            <w:r w:rsidR="00E05BFF" w:rsidRPr="00D8141D">
              <w:rPr>
                <w:rFonts w:cs="Calibri"/>
                <w:bCs/>
                <w:iCs/>
                <w:lang w:val="pt-BR"/>
              </w:rPr>
              <w:t xml:space="preserve">s. </w:t>
            </w:r>
          </w:p>
        </w:tc>
      </w:tr>
      <w:bookmarkEnd w:id="11"/>
      <w:tr w:rsidR="00BF6CD1" w:rsidRPr="0082022E" w14:paraId="620253EE" w14:textId="77777777" w:rsidTr="00C033C4">
        <w:tc>
          <w:tcPr>
            <w:tcW w:w="1774" w:type="pct"/>
            <w:shd w:val="clear" w:color="auto" w:fill="auto"/>
            <w:noWrap/>
          </w:tcPr>
          <w:p w14:paraId="6755D010"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“Lei 12.431”</w:t>
            </w:r>
          </w:p>
        </w:tc>
        <w:tc>
          <w:tcPr>
            <w:tcW w:w="3226" w:type="pct"/>
            <w:shd w:val="clear" w:color="auto" w:fill="auto"/>
            <w:noWrap/>
          </w:tcPr>
          <w:p w14:paraId="621BDD36" w14:textId="77777777" w:rsidR="00BF6CD1" w:rsidRPr="00D8141D" w:rsidRDefault="00BF6CD1" w:rsidP="00366E72">
            <w:pPr>
              <w:pStyle w:val="HOMEBRBodyText"/>
              <w:keepLines w:val="0"/>
              <w:widowControl w:val="0"/>
              <w:spacing w:after="140" w:line="290" w:lineRule="auto"/>
              <w:jc w:val="both"/>
              <w:rPr>
                <w:rFonts w:eastAsia="Calibri" w:cs="Calibri"/>
                <w:lang w:val="pt-BR"/>
              </w:rPr>
            </w:pPr>
            <w:r w:rsidRPr="00D8141D">
              <w:rPr>
                <w:rFonts w:cs="Calibri"/>
                <w:lang w:val="pt-BR"/>
              </w:rPr>
              <w:t>Lei nº 12.431, de 24 de junho de 2011, conforme alterada.</w:t>
            </w:r>
          </w:p>
        </w:tc>
      </w:tr>
      <w:tr w:rsidR="00BF6CD1" w:rsidRPr="0082022E" w14:paraId="09AD4CD4" w14:textId="77777777" w:rsidTr="00C033C4">
        <w:tc>
          <w:tcPr>
            <w:tcW w:w="1774" w:type="pct"/>
            <w:shd w:val="clear" w:color="auto" w:fill="auto"/>
            <w:noWrap/>
          </w:tcPr>
          <w:p w14:paraId="0E5AC035"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“Lei das Sociedades por Ações” </w:t>
            </w:r>
          </w:p>
        </w:tc>
        <w:tc>
          <w:tcPr>
            <w:tcW w:w="3226" w:type="pct"/>
            <w:shd w:val="clear" w:color="auto" w:fill="auto"/>
            <w:noWrap/>
          </w:tcPr>
          <w:p w14:paraId="4A8C7690" w14:textId="77777777" w:rsidR="00BF6CD1" w:rsidRPr="00D8141D" w:rsidRDefault="00BF6CD1" w:rsidP="00366E72">
            <w:pPr>
              <w:pStyle w:val="HOMEBRBodyText"/>
              <w:keepLines w:val="0"/>
              <w:widowControl w:val="0"/>
              <w:spacing w:after="140" w:line="290" w:lineRule="auto"/>
              <w:jc w:val="both"/>
              <w:rPr>
                <w:rFonts w:cs="Calibri"/>
                <w:lang w:val="pt-BR" w:bidi="hi-IN"/>
              </w:rPr>
            </w:pPr>
            <w:r w:rsidRPr="00D8141D">
              <w:rPr>
                <w:rFonts w:eastAsia="Calibri" w:cs="Calibri"/>
                <w:lang w:val="pt-BR"/>
              </w:rPr>
              <w:t>Lei nº 6.404, de 15 de dezembro de 1976, conforme alterada.</w:t>
            </w:r>
          </w:p>
        </w:tc>
      </w:tr>
      <w:tr w:rsidR="00BF6CD1" w:rsidRPr="0082022E" w14:paraId="1FE20230" w14:textId="77777777" w:rsidTr="00C033C4">
        <w:tc>
          <w:tcPr>
            <w:tcW w:w="1774" w:type="pct"/>
            <w:shd w:val="clear" w:color="auto" w:fill="auto"/>
            <w:noWrap/>
          </w:tcPr>
          <w:p w14:paraId="586924AD"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“Lei do Mercado de </w:t>
            </w:r>
            <w:r w:rsidR="0075082E" w:rsidRPr="00D8141D">
              <w:rPr>
                <w:rFonts w:eastAsia="Calibri" w:cs="Calibri"/>
                <w:b/>
                <w:lang w:val="pt-BR"/>
              </w:rPr>
              <w:t>Capitais</w:t>
            </w:r>
            <w:r w:rsidRPr="00D8141D">
              <w:rPr>
                <w:rFonts w:eastAsia="Calibri" w:cs="Calibri"/>
                <w:b/>
                <w:lang w:val="pt-BR"/>
              </w:rPr>
              <w:t>”</w:t>
            </w:r>
          </w:p>
        </w:tc>
        <w:tc>
          <w:tcPr>
            <w:tcW w:w="3226" w:type="pct"/>
            <w:shd w:val="clear" w:color="auto" w:fill="auto"/>
            <w:noWrap/>
          </w:tcPr>
          <w:p w14:paraId="54B0DB83" w14:textId="77777777" w:rsidR="00BF6CD1" w:rsidRPr="00D8141D" w:rsidRDefault="00BF6CD1"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Lei nº 6.385, de 7 de dezembro de 1976, conforme alterada.</w:t>
            </w:r>
          </w:p>
        </w:tc>
      </w:tr>
      <w:tr w:rsidR="00D05A75" w:rsidRPr="0082022E" w14:paraId="639CE971" w14:textId="77777777" w:rsidTr="00795CBB">
        <w:tc>
          <w:tcPr>
            <w:tcW w:w="1774" w:type="pct"/>
            <w:shd w:val="clear" w:color="auto" w:fill="auto"/>
            <w:noWrap/>
          </w:tcPr>
          <w:p w14:paraId="3C7ABDDC" w14:textId="1FDB4639" w:rsidR="00D05A75" w:rsidRPr="00D8141D" w:rsidRDefault="00D05A75" w:rsidP="00D05A75">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“Limite Máximo de Pedido de Reserva”</w:t>
            </w:r>
          </w:p>
        </w:tc>
        <w:tc>
          <w:tcPr>
            <w:tcW w:w="3226" w:type="pct"/>
            <w:shd w:val="clear" w:color="auto" w:fill="auto"/>
            <w:noWrap/>
          </w:tcPr>
          <w:p w14:paraId="4BD27345" w14:textId="77777777" w:rsidR="00D05A75" w:rsidRPr="00D8141D" w:rsidRDefault="00D05A75" w:rsidP="008D7C7A">
            <w:pPr>
              <w:pStyle w:val="HOMEBRBodyText"/>
              <w:keepLines w:val="0"/>
              <w:widowControl w:val="0"/>
              <w:spacing w:after="140"/>
              <w:jc w:val="both"/>
              <w:rPr>
                <w:rFonts w:eastAsia="Calibri" w:cs="Calibri"/>
                <w:lang w:val="pt-BR"/>
              </w:rPr>
            </w:pPr>
            <w:r w:rsidRPr="00D8141D">
              <w:rPr>
                <w:rFonts w:eastAsia="Calibri" w:cs="Calibri"/>
                <w:lang w:val="pt-BR"/>
              </w:rPr>
              <w:t>O limite máximo, individual ou agregado, de Pedidos de Reserva por Investidor Não Institucional será de R$ 1.000.000,00 (um milhão de reais).</w:t>
            </w:r>
          </w:p>
        </w:tc>
      </w:tr>
      <w:tr w:rsidR="00407B1A" w:rsidRPr="0082022E" w14:paraId="219ADC00" w14:textId="77777777" w:rsidTr="00C033C4">
        <w:tc>
          <w:tcPr>
            <w:tcW w:w="1774" w:type="pct"/>
            <w:shd w:val="clear" w:color="auto" w:fill="auto"/>
            <w:noWrap/>
          </w:tcPr>
          <w:p w14:paraId="15B489EA" w14:textId="77777777" w:rsidR="00407B1A" w:rsidRPr="00D8141D" w:rsidRDefault="00407B1A"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“Marcação ESG”</w:t>
            </w:r>
          </w:p>
        </w:tc>
        <w:tc>
          <w:tcPr>
            <w:tcW w:w="3226" w:type="pct"/>
            <w:shd w:val="clear" w:color="auto" w:fill="auto"/>
            <w:noWrap/>
          </w:tcPr>
          <w:p w14:paraId="4A1BA522" w14:textId="77777777" w:rsidR="00407B1A" w:rsidRPr="00D8141D" w:rsidRDefault="00407B1A" w:rsidP="008D7C7A">
            <w:pPr>
              <w:pStyle w:val="HOMEBRBodyText"/>
              <w:keepLines w:val="0"/>
              <w:widowControl w:val="0"/>
              <w:spacing w:after="140"/>
              <w:jc w:val="both"/>
              <w:rPr>
                <w:rFonts w:eastAsia="Calibri" w:cs="Calibri"/>
                <w:lang w:val="pt-BR"/>
              </w:rPr>
            </w:pPr>
            <w:r w:rsidRPr="00D8141D">
              <w:rPr>
                <w:rFonts w:eastAsia="Calibri" w:cs="Calibri"/>
                <w:lang w:val="pt-BR"/>
              </w:rPr>
              <w:t>Marcação nos sistemas da B3 como título verde, observados os procedimentos adotados pela B3.</w:t>
            </w:r>
          </w:p>
        </w:tc>
      </w:tr>
      <w:tr w:rsidR="00BF6CD1" w:rsidRPr="0082022E" w14:paraId="5076E017" w14:textId="77777777" w:rsidTr="00C033C4">
        <w:tc>
          <w:tcPr>
            <w:tcW w:w="1774" w:type="pct"/>
            <w:shd w:val="clear" w:color="auto" w:fill="auto"/>
            <w:noWrap/>
          </w:tcPr>
          <w:p w14:paraId="4CF6ACE3"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“MDA”</w:t>
            </w:r>
          </w:p>
        </w:tc>
        <w:tc>
          <w:tcPr>
            <w:tcW w:w="3226" w:type="pct"/>
            <w:shd w:val="clear" w:color="auto" w:fill="auto"/>
            <w:noWrap/>
          </w:tcPr>
          <w:p w14:paraId="2E5365D8" w14:textId="77777777" w:rsidR="00BF6CD1" w:rsidRPr="00D8141D" w:rsidRDefault="00BF6CD1" w:rsidP="008D7C7A">
            <w:pPr>
              <w:pStyle w:val="HOMEBRBodyText"/>
              <w:keepLines w:val="0"/>
              <w:widowControl w:val="0"/>
              <w:spacing w:after="140"/>
              <w:jc w:val="both"/>
              <w:rPr>
                <w:rFonts w:eastAsia="Calibri" w:cs="Calibri"/>
                <w:lang w:val="pt-BR"/>
              </w:rPr>
            </w:pPr>
            <w:r w:rsidRPr="00D8141D">
              <w:rPr>
                <w:rFonts w:cs="Calibri"/>
                <w:lang w:val="pt-BR"/>
              </w:rPr>
              <w:t>MDA – Módulo de Distribuição de Ativos, administrado e operacionalizado pela B3.</w:t>
            </w:r>
          </w:p>
        </w:tc>
      </w:tr>
      <w:tr w:rsidR="00BF6CD1" w:rsidRPr="0082022E" w14:paraId="3937F95A" w14:textId="77777777" w:rsidTr="00C033C4">
        <w:tc>
          <w:tcPr>
            <w:tcW w:w="1774" w:type="pct"/>
            <w:shd w:val="clear" w:color="auto" w:fill="auto"/>
            <w:noWrap/>
          </w:tcPr>
          <w:p w14:paraId="7B7FBD46"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0075082E" w:rsidRPr="00D8141D">
              <w:rPr>
                <w:rFonts w:eastAsia="Calibri" w:cs="Calibri"/>
                <w:b/>
                <w:lang w:val="pt-BR"/>
              </w:rPr>
              <w:t>Ministério da Infraestrutura</w:t>
            </w:r>
            <w:r w:rsidRPr="00D8141D">
              <w:rPr>
                <w:rFonts w:eastAsia="Calibri" w:cs="Calibri"/>
                <w:b/>
                <w:lang w:val="pt-BR"/>
              </w:rPr>
              <w:t>”</w:t>
            </w:r>
          </w:p>
        </w:tc>
        <w:tc>
          <w:tcPr>
            <w:tcW w:w="3226" w:type="pct"/>
            <w:shd w:val="clear" w:color="auto" w:fill="auto"/>
            <w:noWrap/>
          </w:tcPr>
          <w:p w14:paraId="6E8D2E59" w14:textId="77777777" w:rsidR="00BF6CD1" w:rsidRPr="00D8141D" w:rsidRDefault="0075082E"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Ministério da Infraestrutura (nova denominação do Ministério dos Transportes, Portos e Aviação Civil).</w:t>
            </w:r>
          </w:p>
        </w:tc>
      </w:tr>
      <w:tr w:rsidR="00AA58A3" w:rsidRPr="0082022E" w14:paraId="20F1B843" w14:textId="77777777" w:rsidTr="00CF505B">
        <w:tc>
          <w:tcPr>
            <w:tcW w:w="1774" w:type="pct"/>
            <w:shd w:val="clear" w:color="auto" w:fill="auto"/>
          </w:tcPr>
          <w:p w14:paraId="3365D6A0" w14:textId="77777777" w:rsidR="00AA58A3" w:rsidRPr="00D8141D" w:rsidRDefault="00AA58A3" w:rsidP="00AA58A3">
            <w:pPr>
              <w:pStyle w:val="HOMEBRBodyText"/>
              <w:keepLines w:val="0"/>
              <w:widowControl w:val="0"/>
              <w:spacing w:after="140" w:line="290" w:lineRule="auto"/>
              <w:rPr>
                <w:rFonts w:eastAsia="Calibri" w:cs="Calibri"/>
                <w:b/>
                <w:lang w:val="pt-BR"/>
              </w:rPr>
            </w:pPr>
            <w:r w:rsidRPr="00D8141D">
              <w:rPr>
                <w:rFonts w:eastAsia="Calibri" w:cs="Calibri"/>
                <w:b/>
                <w:lang w:val="pt-BR"/>
              </w:rPr>
              <w:t>“Mudança Adversa Relevante”</w:t>
            </w:r>
          </w:p>
        </w:tc>
        <w:tc>
          <w:tcPr>
            <w:tcW w:w="3226" w:type="pct"/>
            <w:shd w:val="clear" w:color="auto" w:fill="auto"/>
          </w:tcPr>
          <w:p w14:paraId="64E7854D" w14:textId="77777777" w:rsidR="00AA58A3" w:rsidRPr="00D8141D" w:rsidRDefault="00AA58A3" w:rsidP="00AA58A3">
            <w:pPr>
              <w:pStyle w:val="HOMEBRBodyText"/>
              <w:keepLines w:val="0"/>
              <w:widowControl w:val="0"/>
              <w:spacing w:after="140" w:line="290" w:lineRule="auto"/>
              <w:jc w:val="both"/>
              <w:rPr>
                <w:rFonts w:eastAsia="Calibri" w:cs="Calibri"/>
                <w:lang w:val="pt-BR"/>
              </w:rPr>
            </w:pPr>
            <w:r w:rsidRPr="00D8141D">
              <w:rPr>
                <w:rFonts w:eastAsia="Calibri" w:cs="Calibri"/>
                <w:lang w:val="pt-BR"/>
              </w:rPr>
              <w:t>Ocorrência de qualquer evento ou situação, provocadas por ato ou omissão de seus dirigentes e/ou acionistas, que afetem, de modo relevante e adverso, a capacidade financeira, reputacional (observado que neste caso deverá ser comprovada a instauração de uma investigação judicial ou administrativa, ou a existência de um processo judicial ou administrativo) e/ou operacional da Emissora e que impossibilitem a Emissora de honrar tempestivamente com suas obrigações, pecuniárias ou não, relativas às Debêntures, decorrentes da Escritura de Emissão.</w:t>
            </w:r>
          </w:p>
        </w:tc>
      </w:tr>
      <w:tr w:rsidR="00BF6CD1" w:rsidRPr="0082022E" w14:paraId="2F4EAD11" w14:textId="77777777" w:rsidTr="00C033C4">
        <w:tc>
          <w:tcPr>
            <w:tcW w:w="1774" w:type="pct"/>
            <w:shd w:val="clear" w:color="auto" w:fill="auto"/>
            <w:noWrap/>
          </w:tcPr>
          <w:p w14:paraId="74369B48"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“Oferta”</w:t>
            </w:r>
          </w:p>
        </w:tc>
        <w:tc>
          <w:tcPr>
            <w:tcW w:w="3226" w:type="pct"/>
            <w:shd w:val="clear" w:color="auto" w:fill="auto"/>
            <w:noWrap/>
          </w:tcPr>
          <w:p w14:paraId="6DF01B28" w14:textId="77777777" w:rsidR="00BF6CD1" w:rsidRPr="00D8141D" w:rsidRDefault="00BF6CD1" w:rsidP="00366E72">
            <w:pPr>
              <w:pStyle w:val="HOMEBRBodyText"/>
              <w:keepLines w:val="0"/>
              <w:widowControl w:val="0"/>
              <w:spacing w:after="140" w:line="290" w:lineRule="auto"/>
              <w:jc w:val="both"/>
              <w:rPr>
                <w:rFonts w:cs="Calibri"/>
                <w:lang w:val="pt-BR"/>
              </w:rPr>
            </w:pPr>
            <w:r w:rsidRPr="00D8141D">
              <w:rPr>
                <w:rFonts w:cs="Calibri"/>
                <w:lang w:val="pt-BR"/>
              </w:rPr>
              <w:t>A presente oferta pública de distribuição de Debêntures, nos termos da Instrução CVM 400, da Lei de Mercado de Valores Mobiliários, do Código ANBIMA e das demais disposições legais e regulamentares aplicáveis.</w:t>
            </w:r>
          </w:p>
        </w:tc>
      </w:tr>
      <w:tr w:rsidR="00BF6CD1" w:rsidRPr="0082022E" w14:paraId="05B3F1E9" w14:textId="77777777" w:rsidTr="00C033C4">
        <w:tc>
          <w:tcPr>
            <w:tcW w:w="1774" w:type="pct"/>
            <w:shd w:val="clear" w:color="auto" w:fill="auto"/>
            <w:noWrap/>
          </w:tcPr>
          <w:p w14:paraId="78522F6D"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“Oferta de Resgate Antecipado”</w:t>
            </w:r>
          </w:p>
        </w:tc>
        <w:tc>
          <w:tcPr>
            <w:tcW w:w="3226" w:type="pct"/>
            <w:shd w:val="clear" w:color="auto" w:fill="auto"/>
            <w:noWrap/>
          </w:tcPr>
          <w:p w14:paraId="03F26907" w14:textId="77777777" w:rsidR="00BF6CD1" w:rsidRPr="00D8141D" w:rsidRDefault="00BF6CD1" w:rsidP="00366E72">
            <w:pPr>
              <w:pStyle w:val="HOMEBRBodyText"/>
              <w:keepLines w:val="0"/>
              <w:widowControl w:val="0"/>
              <w:spacing w:after="140" w:line="290" w:lineRule="auto"/>
              <w:jc w:val="both"/>
              <w:rPr>
                <w:rFonts w:cs="Calibri"/>
                <w:snapToGrid w:val="0"/>
                <w:lang w:val="pt-BR"/>
              </w:rPr>
            </w:pPr>
            <w:r w:rsidRPr="00D8141D">
              <w:rPr>
                <w:rFonts w:cs="Calibri"/>
                <w:lang w:val="pt-BR"/>
              </w:rPr>
              <w:t xml:space="preserve">Exclusivamente na hipótese prevista na Cláusula 7.3 e seguintes da Escritura de Emissão e neste Prospecto e caso venha a ser </w:t>
            </w:r>
            <w:r w:rsidRPr="00D8141D">
              <w:rPr>
                <w:rFonts w:cs="Calibri"/>
                <w:snapToGrid w:val="0"/>
                <w:lang w:val="pt-BR"/>
              </w:rPr>
              <w:t>expressamente autorizado</w:t>
            </w:r>
            <w:r w:rsidRPr="00D8141D">
              <w:rPr>
                <w:rFonts w:cs="Calibri"/>
                <w:lang w:val="pt-BR"/>
              </w:rPr>
              <w:t xml:space="preserve"> pelas regras expedidas pelo CMN e pela legislação e regulamentação aplicáveis, a Emissora poderá</w:t>
            </w:r>
            <w:r w:rsidR="00AA58A3" w:rsidRPr="00D8141D">
              <w:rPr>
                <w:rFonts w:cs="Calibri"/>
                <w:lang w:val="pt-BR"/>
              </w:rPr>
              <w:t>, a seu exclusivo critério, a qualquer momento, desde que decorrido o prazo médio ponderado de 4 (quatro) anos a contar da Data de Emissão das Debêntures,</w:t>
            </w:r>
            <w:r w:rsidRPr="00D8141D">
              <w:rPr>
                <w:rFonts w:cs="Calibri"/>
                <w:lang w:val="pt-BR"/>
              </w:rPr>
              <w:t xml:space="preserve"> realizar oferta de resgate antecipado das Debêntures. Neste caso, referida oferta poderá ser realizada pela Emissora, nos termos previstos na Cláusula 7.3 da Escritura de Emissão e neste Prospecto, e deverá abranger a totalidade das Debêntures, devendo ser endereçada a todos os Debenturistas, sem distinção, assegurada a igualdade de </w:t>
            </w:r>
            <w:r w:rsidRPr="00D8141D">
              <w:rPr>
                <w:rFonts w:cs="Calibri"/>
                <w:lang w:val="pt-BR"/>
              </w:rPr>
              <w:lastRenderedPageBreak/>
              <w:t>condições a todos os Debenturistas para aceitar a oferta de resgate antecipado das Debêntures de que forem titulares, de acordo com os termos e condições previstos na Escritura de Emissão e neste Prospecto, bem como com as regras que venham a ser expedidas pelo CMN e pela legislação e regulamentação aplicáveis.</w:t>
            </w:r>
            <w:r w:rsidR="00AA58A3" w:rsidRPr="00D8141D">
              <w:rPr>
                <w:rFonts w:cs="Calibri"/>
                <w:lang w:val="pt-BR"/>
              </w:rPr>
              <w:t xml:space="preserve">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 ser realizada para a totalidade das Debêntures ou para a totalidade das Debêntures de uma respectiva Série ou a parte das Debêntures, até o limite de 50% (cinquenta por cento) da totalidade das Debêntures de uma respectiva Série, 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w:t>
            </w:r>
          </w:p>
        </w:tc>
      </w:tr>
      <w:tr w:rsidR="0075082E" w:rsidRPr="0082022E" w14:paraId="34017F93" w14:textId="77777777" w:rsidTr="00C033C4">
        <w:tc>
          <w:tcPr>
            <w:tcW w:w="1774" w:type="pct"/>
            <w:shd w:val="clear" w:color="auto" w:fill="auto"/>
            <w:noWrap/>
          </w:tcPr>
          <w:p w14:paraId="63542C3E" w14:textId="77777777" w:rsidR="0075082E" w:rsidRPr="00D8141D" w:rsidRDefault="0075082E"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“Oferta Institucional”</w:t>
            </w:r>
          </w:p>
        </w:tc>
        <w:tc>
          <w:tcPr>
            <w:tcW w:w="3226" w:type="pct"/>
            <w:shd w:val="clear" w:color="auto" w:fill="auto"/>
            <w:noWrap/>
          </w:tcPr>
          <w:p w14:paraId="2F3233FF" w14:textId="77777777" w:rsidR="0075082E" w:rsidRPr="00D8141D" w:rsidRDefault="0075082E" w:rsidP="00366E72">
            <w:pPr>
              <w:pStyle w:val="HOMEBRBodyText"/>
              <w:keepLines w:val="0"/>
              <w:widowControl w:val="0"/>
              <w:spacing w:after="140" w:line="290" w:lineRule="auto"/>
              <w:jc w:val="both"/>
              <w:rPr>
                <w:rFonts w:cs="Calibri"/>
                <w:lang w:val="pt-BR"/>
              </w:rPr>
            </w:pPr>
            <w:r w:rsidRPr="00D8141D">
              <w:rPr>
                <w:rFonts w:cs="Calibri"/>
                <w:lang w:val="pt-BR"/>
              </w:rPr>
              <w:t>A oferta de Debêntures destinada aos Investidores Institucionais.</w:t>
            </w:r>
          </w:p>
        </w:tc>
      </w:tr>
      <w:tr w:rsidR="0075082E" w:rsidRPr="0082022E" w14:paraId="0E02904E" w14:textId="77777777" w:rsidTr="00C033C4">
        <w:tc>
          <w:tcPr>
            <w:tcW w:w="1774" w:type="pct"/>
            <w:shd w:val="clear" w:color="auto" w:fill="auto"/>
            <w:noWrap/>
          </w:tcPr>
          <w:p w14:paraId="3887FE3F" w14:textId="77777777" w:rsidR="0075082E" w:rsidRPr="00D8141D" w:rsidRDefault="0075082E"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“Oferta Não Institucional”</w:t>
            </w:r>
          </w:p>
        </w:tc>
        <w:tc>
          <w:tcPr>
            <w:tcW w:w="3226" w:type="pct"/>
            <w:shd w:val="clear" w:color="auto" w:fill="auto"/>
            <w:noWrap/>
          </w:tcPr>
          <w:p w14:paraId="54319A8A" w14:textId="77777777" w:rsidR="0075082E" w:rsidRPr="00D8141D" w:rsidRDefault="0075082E" w:rsidP="00366E72">
            <w:pPr>
              <w:pStyle w:val="HOMEBRBodyText"/>
              <w:keepLines w:val="0"/>
              <w:widowControl w:val="0"/>
              <w:spacing w:after="140" w:line="290" w:lineRule="auto"/>
              <w:jc w:val="both"/>
              <w:rPr>
                <w:rFonts w:cs="Calibri"/>
                <w:lang w:val="pt-BR"/>
              </w:rPr>
            </w:pPr>
            <w:r w:rsidRPr="00D8141D">
              <w:rPr>
                <w:rFonts w:cs="Calibri"/>
                <w:lang w:val="pt-BR"/>
              </w:rPr>
              <w:t>A oferta de Debêntures destinada aos Investidores Não Institucionais.</w:t>
            </w:r>
          </w:p>
        </w:tc>
      </w:tr>
      <w:tr w:rsidR="00407B1A" w:rsidRPr="0082022E" w14:paraId="169481E4" w14:textId="77777777" w:rsidTr="00C033C4">
        <w:tc>
          <w:tcPr>
            <w:tcW w:w="1774" w:type="pct"/>
            <w:shd w:val="clear" w:color="auto" w:fill="auto"/>
            <w:noWrap/>
          </w:tcPr>
          <w:p w14:paraId="1366B098" w14:textId="77777777" w:rsidR="00407B1A" w:rsidRPr="00D8141D" w:rsidRDefault="00407B1A"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“Parecer Independente”</w:t>
            </w:r>
          </w:p>
        </w:tc>
        <w:tc>
          <w:tcPr>
            <w:tcW w:w="3226" w:type="pct"/>
            <w:shd w:val="clear" w:color="auto" w:fill="auto"/>
            <w:noWrap/>
          </w:tcPr>
          <w:p w14:paraId="659169CB" w14:textId="77777777" w:rsidR="00407B1A" w:rsidRPr="00D8141D" w:rsidRDefault="00407B1A" w:rsidP="00366E72">
            <w:pPr>
              <w:pStyle w:val="HOMEBRBodyText"/>
              <w:keepLines w:val="0"/>
              <w:widowControl w:val="0"/>
              <w:spacing w:after="140" w:line="290" w:lineRule="auto"/>
              <w:jc w:val="both"/>
              <w:rPr>
                <w:rFonts w:eastAsia="Calibri" w:cs="Calibri"/>
                <w:lang w:val="pt-BR"/>
              </w:rPr>
            </w:pPr>
            <w:r w:rsidRPr="00D8141D">
              <w:rPr>
                <w:rFonts w:eastAsia="Calibri" w:cs="Calibri"/>
                <w:lang w:val="pt-BR"/>
              </w:rPr>
              <w:t xml:space="preserve">Parecer técnico independente de caracterização das Debêntures como Debêntures Verdes, emitido por consultoria especializada, atestando que as Debêntures cumprem com as regras emitidas pela ICMA e constantes do </w:t>
            </w:r>
            <w:r w:rsidRPr="00D8141D">
              <w:rPr>
                <w:rFonts w:eastAsia="Calibri" w:cs="Calibri"/>
                <w:i/>
                <w:iCs/>
                <w:lang w:val="pt-BR"/>
              </w:rPr>
              <w:t>Green Bond Principles</w:t>
            </w:r>
            <w:r w:rsidRPr="00D8141D">
              <w:rPr>
                <w:rFonts w:eastAsia="Calibri" w:cs="Calibri"/>
                <w:lang w:val="pt-BR"/>
              </w:rPr>
              <w:t xml:space="preserve"> (GBP) de 2021, conforme atualizado, para caracterização da emissão na categoria de </w:t>
            </w:r>
            <w:r w:rsidR="00F753FD" w:rsidRPr="00D8141D">
              <w:rPr>
                <w:rFonts w:eastAsia="Calibri" w:cs="Calibri"/>
                <w:lang w:val="pt-BR"/>
              </w:rPr>
              <w:t>“</w:t>
            </w:r>
            <w:r w:rsidR="00F753FD" w:rsidRPr="00D8141D">
              <w:rPr>
                <w:rFonts w:eastAsia="Calibri" w:cs="Calibri"/>
                <w:u w:val="single"/>
                <w:lang w:val="pt-BR"/>
              </w:rPr>
              <w:t>energia renovável</w:t>
            </w:r>
            <w:r w:rsidR="00F753FD" w:rsidRPr="00D8141D">
              <w:rPr>
                <w:rFonts w:eastAsia="Calibri" w:cs="Calibri"/>
                <w:lang w:val="pt-BR"/>
              </w:rPr>
              <w:t>”.</w:t>
            </w:r>
          </w:p>
        </w:tc>
      </w:tr>
      <w:tr w:rsidR="00BF6CD1" w:rsidRPr="0082022E" w14:paraId="1DAFEF98" w14:textId="77777777" w:rsidTr="00C033C4">
        <w:tc>
          <w:tcPr>
            <w:tcW w:w="1774" w:type="pct"/>
            <w:shd w:val="clear" w:color="auto" w:fill="auto"/>
            <w:noWrap/>
          </w:tcPr>
          <w:p w14:paraId="5A47C5F1"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“Participantes Especiais”</w:t>
            </w:r>
          </w:p>
        </w:tc>
        <w:tc>
          <w:tcPr>
            <w:tcW w:w="3226" w:type="pct"/>
            <w:shd w:val="clear" w:color="auto" w:fill="auto"/>
            <w:noWrap/>
          </w:tcPr>
          <w:p w14:paraId="0E819EA6" w14:textId="77777777" w:rsidR="00BF6CD1" w:rsidRPr="00566CD3" w:rsidRDefault="00BF6CD1" w:rsidP="00366E72">
            <w:pPr>
              <w:pStyle w:val="HOMEBRBodyText"/>
              <w:keepLines w:val="0"/>
              <w:widowControl w:val="0"/>
              <w:spacing w:after="140" w:line="290" w:lineRule="auto"/>
              <w:jc w:val="both"/>
              <w:rPr>
                <w:rFonts w:cs="Calibri"/>
                <w:snapToGrid w:val="0"/>
                <w:spacing w:val="-4"/>
                <w:lang w:val="pt-BR"/>
              </w:rPr>
            </w:pPr>
            <w:r w:rsidRPr="00566CD3">
              <w:rPr>
                <w:rFonts w:eastAsia="Calibri" w:cs="Calibri"/>
                <w:spacing w:val="-4"/>
                <w:lang w:val="pt-BR"/>
              </w:rPr>
              <w:t xml:space="preserve">Instituições financeiras, que não se enquadrem como </w:t>
            </w:r>
            <w:r w:rsidR="00560AC5" w:rsidRPr="00566CD3">
              <w:rPr>
                <w:rFonts w:eastAsia="Calibri" w:cs="Calibri"/>
                <w:spacing w:val="-4"/>
                <w:lang w:val="pt-BR"/>
              </w:rPr>
              <w:t>Coordenador Líder</w:t>
            </w:r>
            <w:r w:rsidRPr="00566CD3">
              <w:rPr>
                <w:rFonts w:eastAsia="Calibri" w:cs="Calibri"/>
                <w:spacing w:val="-4"/>
                <w:lang w:val="pt-BR"/>
              </w:rPr>
              <w:t xml:space="preserve">, autorizadas a operar no mercado de capitais para participarem da colocação das Debêntures junto a </w:t>
            </w:r>
            <w:r w:rsidRPr="00566CD3">
              <w:rPr>
                <w:rFonts w:eastAsia="Calibri" w:cs="Calibri"/>
                <w:spacing w:val="-4"/>
                <w:lang w:val="pt-BR"/>
              </w:rPr>
              <w:lastRenderedPageBreak/>
              <w:t>potenciais investidores e clientes</w:t>
            </w:r>
            <w:r w:rsidR="000002C9" w:rsidRPr="00566CD3">
              <w:rPr>
                <w:rFonts w:eastAsia="Calibri" w:cs="Calibri"/>
                <w:spacing w:val="-4"/>
                <w:lang w:val="pt-BR"/>
              </w:rPr>
              <w:t xml:space="preserve">, quais sejam: </w:t>
            </w:r>
            <w:r w:rsidR="00E02FA2" w:rsidRPr="00566CD3">
              <w:rPr>
                <w:rFonts w:eastAsia="Calibri" w:cs="Calibri"/>
                <w:spacing w:val="-4"/>
                <w:lang w:val="pt-BR"/>
              </w:rPr>
              <w:t>Nova Futura CTVM LTDA., Ágora Corretora de Títulos e Valores Mobiliários S.A., BV Distribuidora de Títulos e Valores Mobiliários LTDA., Modal Distribuidora de Títulos e Valores Mobiliários LTDA., Itaú Corretora de Valores S.A., Banrisul S.A. C.V.M.C, Senso Corretora de Câmbio de Valores Mobiliários S.A., Nu Invest Corretora de Valores S.A., Terra Investimentos DTVM LTDA., Banco Daycoval S.A., Órama Distribuidora de Títulos e Valores Mobiliários S.A., Inter Distribuidora de Títulos e Valores Mobiliários LTDA., Banco Andbank (Brasil) S.A., Itaú Unibanco S.A., Ativa Investimento S.A. Corretora de Títulos, Câmbio e Valores, Guide Investimentos S.A. Corretora de Valores, Necton Investimentos S.A. Corretora de Valores Mobiliários e Commodities, Azimut Brasil Distribuidora de Títulos e Valores Mobiliários LTDA., Credit Suisse (Brasil) S.A. Corretora de Títulos e Valores Mobiliários, Vitreo Distribuidora de Títulos e Valores Mobiliários S.A., Warren Corretora de Valores Mobiliários e Câmbio LTDA., BB Banco de Investimento S.A., RB Capital Investimentos Distribuidora de Títulos e Valores Mobiliários LTDA., Banco BTG Pactual S.A., Banco BNP Paribas Brasil S.A., Safra Corretora de Valores e Câmbio LTDA., Banco Bradesco S.A., Genial Investimentos Corretora de Valores Mobiliários S.A. e Banco Santander (Brasil) S.A.</w:t>
            </w:r>
          </w:p>
        </w:tc>
      </w:tr>
      <w:tr w:rsidR="00BF6CD1" w:rsidRPr="0082022E" w14:paraId="650EC0EE" w14:textId="77777777" w:rsidTr="00C033C4">
        <w:tc>
          <w:tcPr>
            <w:tcW w:w="1774" w:type="pct"/>
            <w:shd w:val="clear" w:color="auto" w:fill="auto"/>
            <w:noWrap/>
          </w:tcPr>
          <w:p w14:paraId="018750EC"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“Pedido de Reserva”</w:t>
            </w:r>
          </w:p>
        </w:tc>
        <w:tc>
          <w:tcPr>
            <w:tcW w:w="3226" w:type="pct"/>
            <w:shd w:val="clear" w:color="auto" w:fill="auto"/>
            <w:noWrap/>
          </w:tcPr>
          <w:p w14:paraId="3F3811C6" w14:textId="77777777" w:rsidR="00BF6CD1" w:rsidRPr="00D8141D" w:rsidRDefault="00BF6CD1" w:rsidP="00366E72">
            <w:pPr>
              <w:pStyle w:val="HOMEBRBodyText"/>
              <w:keepLines w:val="0"/>
              <w:widowControl w:val="0"/>
              <w:tabs>
                <w:tab w:val="left" w:pos="690"/>
              </w:tabs>
              <w:spacing w:after="140" w:line="290" w:lineRule="auto"/>
              <w:jc w:val="both"/>
              <w:rPr>
                <w:rFonts w:eastAsia="Calibri" w:cs="Calibri"/>
                <w:lang w:val="pt-BR"/>
              </w:rPr>
            </w:pPr>
            <w:r w:rsidRPr="00D8141D">
              <w:rPr>
                <w:rFonts w:cs="Calibri"/>
                <w:lang w:val="pt-BR"/>
              </w:rPr>
              <w:t>Cada formulário específico, celebrado em caráter irrevogável e irretratável, exceto nas circunstâncias ali previstas, por Investidores da Oferta, referente à intenção de subscrição das Debêntures no âmbito da Oferta</w:t>
            </w:r>
            <w:r w:rsidRPr="00D8141D">
              <w:rPr>
                <w:rFonts w:eastAsia="Calibri" w:cs="Calibri"/>
                <w:lang w:val="pt-BR" w:bidi="en-US"/>
              </w:rPr>
              <w:t>.</w:t>
            </w:r>
          </w:p>
        </w:tc>
      </w:tr>
      <w:tr w:rsidR="00BF6CD1" w:rsidRPr="0082022E" w14:paraId="36EC210C" w14:textId="77777777" w:rsidTr="00C033C4">
        <w:tc>
          <w:tcPr>
            <w:tcW w:w="1774" w:type="pct"/>
            <w:shd w:val="clear" w:color="auto" w:fill="auto"/>
            <w:noWrap/>
          </w:tcPr>
          <w:p w14:paraId="020C5444"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“Período de Ausência do IPCA”</w:t>
            </w:r>
          </w:p>
        </w:tc>
        <w:tc>
          <w:tcPr>
            <w:tcW w:w="3226" w:type="pct"/>
            <w:shd w:val="clear" w:color="auto" w:fill="auto"/>
            <w:noWrap/>
          </w:tcPr>
          <w:p w14:paraId="2E095419" w14:textId="77777777" w:rsidR="00BF6CD1" w:rsidRPr="00D8141D" w:rsidRDefault="00AA58A3" w:rsidP="00366E72">
            <w:pPr>
              <w:pStyle w:val="HOMEBRBodyText"/>
              <w:keepLines w:val="0"/>
              <w:widowControl w:val="0"/>
              <w:tabs>
                <w:tab w:val="left" w:pos="690"/>
              </w:tabs>
              <w:spacing w:after="140" w:line="290" w:lineRule="auto"/>
              <w:jc w:val="both"/>
              <w:rPr>
                <w:rFonts w:eastAsia="Calibri" w:cs="Calibri"/>
                <w:lang w:val="pt-BR"/>
              </w:rPr>
            </w:pPr>
            <w:r w:rsidRPr="00D8141D">
              <w:rPr>
                <w:rFonts w:eastAsia="Calibri" w:cs="Calibri"/>
                <w:lang w:val="pt-BR"/>
              </w:rPr>
              <w:t>Na ausência de apuração</w:t>
            </w:r>
            <w:r w:rsidR="00BF6CD1" w:rsidRPr="00D8141D">
              <w:rPr>
                <w:rFonts w:eastAsia="Calibri" w:cs="Calibri"/>
                <w:lang w:val="pt-BR"/>
              </w:rPr>
              <w:t xml:space="preserve"> e/ou divulgação do IPCA por prazo superior a </w:t>
            </w:r>
            <w:r w:rsidRPr="00D8141D">
              <w:rPr>
                <w:rFonts w:eastAsia="Calibri" w:cs="Calibri"/>
                <w:lang w:val="pt-BR"/>
              </w:rPr>
              <w:t>30 (trinta</w:t>
            </w:r>
            <w:r w:rsidR="00BF6CD1" w:rsidRPr="00D8141D">
              <w:rPr>
                <w:rFonts w:eastAsia="Calibri" w:cs="Calibri"/>
                <w:lang w:val="pt-BR"/>
              </w:rPr>
              <w:t>) Dias Úteis após a data esperada para sua apuração e/ou divulgação.</w:t>
            </w:r>
          </w:p>
        </w:tc>
      </w:tr>
      <w:tr w:rsidR="00D05A75" w:rsidRPr="0082022E" w14:paraId="39BC63CC" w14:textId="77777777" w:rsidTr="00C033C4">
        <w:tc>
          <w:tcPr>
            <w:tcW w:w="1774" w:type="pct"/>
            <w:shd w:val="clear" w:color="auto" w:fill="auto"/>
            <w:noWrap/>
          </w:tcPr>
          <w:p w14:paraId="1BBC8B4C" w14:textId="77777777" w:rsidR="00D05A75" w:rsidRPr="00D8141D" w:rsidRDefault="00D05A75" w:rsidP="00D05A75">
            <w:pPr>
              <w:pStyle w:val="HOMEBRBodyText"/>
              <w:keepLines w:val="0"/>
              <w:widowControl w:val="0"/>
              <w:spacing w:after="140" w:line="290" w:lineRule="auto"/>
              <w:rPr>
                <w:rFonts w:eastAsia="Calibri" w:cs="Calibri"/>
                <w:b/>
                <w:lang w:val="pt-BR"/>
              </w:rPr>
            </w:pPr>
            <w:r w:rsidRPr="00D8141D">
              <w:rPr>
                <w:rFonts w:eastAsia="Calibri" w:cs="Calibri"/>
                <w:b/>
                <w:lang w:val="pt-BR"/>
              </w:rPr>
              <w:t>“Período de Capitalização”</w:t>
            </w:r>
          </w:p>
        </w:tc>
        <w:tc>
          <w:tcPr>
            <w:tcW w:w="3226" w:type="pct"/>
            <w:shd w:val="clear" w:color="auto" w:fill="auto"/>
            <w:noWrap/>
          </w:tcPr>
          <w:p w14:paraId="2B38B675" w14:textId="77777777" w:rsidR="00D05A75" w:rsidRPr="00D8141D" w:rsidRDefault="00D05A75" w:rsidP="00D05A75">
            <w:pPr>
              <w:pStyle w:val="HOMEBRBodyText"/>
              <w:keepLines w:val="0"/>
              <w:widowControl w:val="0"/>
              <w:tabs>
                <w:tab w:val="left" w:pos="690"/>
              </w:tabs>
              <w:spacing w:after="140" w:line="290" w:lineRule="auto"/>
              <w:jc w:val="both"/>
              <w:rPr>
                <w:rFonts w:eastAsia="Calibri" w:cs="Calibri"/>
                <w:lang w:val="pt-BR"/>
              </w:rPr>
            </w:pPr>
            <w:r>
              <w:rPr>
                <w:lang w:val="pt-BR"/>
              </w:rPr>
              <w:t>O</w:t>
            </w:r>
            <w:r w:rsidRPr="00B63002">
              <w:rPr>
                <w:lang w:val="pt-BR"/>
              </w:rPr>
              <w:t xml:space="preserve"> intervalo de tempo que se inicia na </w:t>
            </w:r>
            <w:r w:rsidRPr="00D8141D">
              <w:rPr>
                <w:rFonts w:cs="Calibri"/>
                <w:lang w:val="pt-BR"/>
              </w:rPr>
              <w:t>Primeira</w:t>
            </w:r>
            <w:r w:rsidRPr="00B63002">
              <w:rPr>
                <w:lang w:val="pt-BR"/>
              </w:rPr>
              <w:t xml:space="preserve"> Data de Integralização, inclusive, </w:t>
            </w:r>
            <w:r w:rsidRPr="00D8141D">
              <w:rPr>
                <w:rFonts w:cs="Calibri"/>
                <w:lang w:val="pt-BR"/>
              </w:rPr>
              <w:t>ou</w:t>
            </w:r>
            <w:r w:rsidRPr="00B63002">
              <w:rPr>
                <w:lang w:val="pt-BR"/>
              </w:rPr>
              <w:t xml:space="preserve"> na Data de Pagamento </w:t>
            </w:r>
            <w:r w:rsidRPr="00D8141D">
              <w:rPr>
                <w:rFonts w:cs="Calibri"/>
                <w:lang w:val="pt-BR"/>
              </w:rPr>
              <w:t>de Juros Remuneratórios imediatamente anterior, inclusive, no caso dos</w:t>
            </w:r>
            <w:r w:rsidRPr="00B63002">
              <w:rPr>
                <w:lang w:val="pt-BR"/>
              </w:rPr>
              <w:t xml:space="preserve"> demais Períodos de Capitalização, </w:t>
            </w:r>
            <w:r w:rsidRPr="00D8141D">
              <w:rPr>
                <w:rFonts w:cs="Calibri"/>
                <w:lang w:val="pt-BR"/>
              </w:rPr>
              <w:t>e termina na próxima</w:t>
            </w:r>
            <w:r w:rsidRPr="00B63002">
              <w:rPr>
                <w:lang w:val="pt-BR"/>
              </w:rPr>
              <w:t xml:space="preserve"> Data de Pagamento </w:t>
            </w:r>
            <w:r w:rsidRPr="00D8141D">
              <w:rPr>
                <w:rFonts w:cs="Calibri"/>
                <w:lang w:val="pt-BR"/>
              </w:rPr>
              <w:t>de Juros Remuneratórios (exclusive).</w:t>
            </w:r>
            <w:r w:rsidRPr="00B63002">
              <w:rPr>
                <w:lang w:val="pt-BR"/>
              </w:rPr>
              <w:t xml:space="preserve"> Cada Período de Capitalização sucede o anterior sem solução de continuidade, até a Data de Vencimento.</w:t>
            </w:r>
          </w:p>
        </w:tc>
      </w:tr>
      <w:tr w:rsidR="00BF6CD1" w:rsidRPr="0082022E" w14:paraId="3B152011" w14:textId="77777777" w:rsidTr="00C033C4">
        <w:tc>
          <w:tcPr>
            <w:tcW w:w="1774" w:type="pct"/>
            <w:shd w:val="clear" w:color="auto" w:fill="auto"/>
            <w:noWrap/>
          </w:tcPr>
          <w:p w14:paraId="0B4D52EB"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“Período de Colocação”</w:t>
            </w:r>
          </w:p>
        </w:tc>
        <w:tc>
          <w:tcPr>
            <w:tcW w:w="3226" w:type="pct"/>
            <w:shd w:val="clear" w:color="auto" w:fill="auto"/>
            <w:noWrap/>
          </w:tcPr>
          <w:p w14:paraId="3072B1A0" w14:textId="4E14668A" w:rsidR="00BF6CD1" w:rsidRPr="00D8141D" w:rsidRDefault="00BF6CD1" w:rsidP="00366E72">
            <w:pPr>
              <w:pStyle w:val="HOMEBRBodyText"/>
              <w:keepLines w:val="0"/>
              <w:widowControl w:val="0"/>
              <w:tabs>
                <w:tab w:val="left" w:pos="690"/>
              </w:tabs>
              <w:spacing w:after="140" w:line="290" w:lineRule="auto"/>
              <w:jc w:val="both"/>
              <w:rPr>
                <w:rFonts w:eastAsia="Calibri" w:cs="Calibri"/>
                <w:lang w:val="pt-BR"/>
              </w:rPr>
            </w:pPr>
            <w:r w:rsidRPr="00D8141D">
              <w:rPr>
                <w:rFonts w:cs="Calibri"/>
                <w:lang w:val="pt-BR"/>
              </w:rPr>
              <w:t>Observados os requisitos indicados na Escritura de Emissão e neste Prospecto, as Debêntures serão subscritas e integralizadas à vista no prazo indicado na seção “Cronograma Estimado das Etapas da Oferta”</w:t>
            </w:r>
            <w:r w:rsidRPr="00D8141D">
              <w:rPr>
                <w:rFonts w:eastAsia="Calibri" w:cs="Calibri"/>
                <w:lang w:val="pt-BR"/>
              </w:rPr>
              <w:t xml:space="preserve"> na página </w:t>
            </w:r>
            <w:r w:rsidR="00F169AA" w:rsidRPr="00D8141D">
              <w:rPr>
                <w:rFonts w:eastAsia="Calibri" w:cs="Calibri"/>
                <w:noProof/>
                <w:lang w:val="pt-BR"/>
              </w:rPr>
              <w:fldChar w:fldCharType="begin"/>
            </w:r>
            <w:r w:rsidR="00F169AA" w:rsidRPr="00D8141D">
              <w:rPr>
                <w:rFonts w:eastAsia="Calibri" w:cs="Calibri"/>
                <w:lang w:val="pt-BR"/>
              </w:rPr>
              <w:instrText xml:space="preserve"> PAGEREF _Ref90053893 \h </w:instrText>
            </w:r>
            <w:r w:rsidR="00F169AA" w:rsidRPr="00D8141D">
              <w:rPr>
                <w:rFonts w:eastAsia="Calibri" w:cs="Calibri"/>
                <w:noProof/>
                <w:lang w:val="pt-BR"/>
              </w:rPr>
            </w:r>
            <w:r w:rsidR="00F169AA" w:rsidRPr="00D8141D">
              <w:rPr>
                <w:rFonts w:eastAsia="Calibri" w:cs="Calibri"/>
                <w:noProof/>
                <w:lang w:val="pt-BR"/>
              </w:rPr>
              <w:fldChar w:fldCharType="separate"/>
            </w:r>
            <w:r w:rsidR="001166EA">
              <w:rPr>
                <w:rFonts w:eastAsia="Calibri" w:cs="Calibri"/>
                <w:noProof/>
                <w:lang w:val="pt-BR"/>
              </w:rPr>
              <w:t>62</w:t>
            </w:r>
            <w:r w:rsidR="00F169AA" w:rsidRPr="00D8141D">
              <w:rPr>
                <w:rFonts w:eastAsia="Calibri" w:cs="Calibri"/>
                <w:noProof/>
                <w:lang w:val="pt-BR"/>
              </w:rPr>
              <w:fldChar w:fldCharType="end"/>
            </w:r>
            <w:r w:rsidRPr="00D8141D">
              <w:rPr>
                <w:rFonts w:eastAsia="Calibri" w:cs="Calibri"/>
                <w:lang w:val="pt-BR"/>
              </w:rPr>
              <w:t xml:space="preserve"> deste Prospecto.</w:t>
            </w:r>
          </w:p>
        </w:tc>
      </w:tr>
      <w:tr w:rsidR="00BF6CD1" w:rsidRPr="0082022E" w14:paraId="175915FE" w14:textId="77777777" w:rsidTr="00C033C4">
        <w:tc>
          <w:tcPr>
            <w:tcW w:w="1774" w:type="pct"/>
            <w:shd w:val="clear" w:color="auto" w:fill="auto"/>
            <w:noWrap/>
          </w:tcPr>
          <w:p w14:paraId="347BF6F5"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“Período de Reserva”</w:t>
            </w:r>
          </w:p>
        </w:tc>
        <w:tc>
          <w:tcPr>
            <w:tcW w:w="3226" w:type="pct"/>
            <w:shd w:val="clear" w:color="auto" w:fill="auto"/>
            <w:noWrap/>
          </w:tcPr>
          <w:p w14:paraId="12BDD31F" w14:textId="77777777" w:rsidR="00BF6CD1" w:rsidRPr="00D8141D" w:rsidRDefault="00BF6CD1" w:rsidP="00366E72">
            <w:pPr>
              <w:pStyle w:val="HOMEBRBodyText"/>
              <w:keepLines w:val="0"/>
              <w:widowControl w:val="0"/>
              <w:tabs>
                <w:tab w:val="left" w:pos="690"/>
              </w:tabs>
              <w:spacing w:after="140" w:line="290" w:lineRule="auto"/>
              <w:jc w:val="both"/>
              <w:rPr>
                <w:rFonts w:eastAsia="Calibri" w:cs="Calibri"/>
                <w:lang w:val="pt-BR"/>
              </w:rPr>
            </w:pPr>
            <w:r w:rsidRPr="00D8141D">
              <w:rPr>
                <w:rFonts w:eastAsia="Calibri" w:cs="Calibri"/>
                <w:lang w:val="pt-BR" w:bidi="en-US"/>
              </w:rPr>
              <w:t xml:space="preserve">Período </w:t>
            </w:r>
            <w:r w:rsidRPr="00D8141D">
              <w:rPr>
                <w:rFonts w:cs="Calibri"/>
                <w:lang w:val="pt-BR"/>
              </w:rPr>
              <w:t xml:space="preserve">que se </w:t>
            </w:r>
            <w:r w:rsidR="00DB205D" w:rsidRPr="00D8141D">
              <w:rPr>
                <w:rFonts w:cs="Calibri"/>
                <w:lang w:val="pt-BR"/>
              </w:rPr>
              <w:t>inici</w:t>
            </w:r>
            <w:r w:rsidR="00E05BFF" w:rsidRPr="00D8141D">
              <w:rPr>
                <w:rFonts w:cs="Calibri"/>
                <w:lang w:val="pt-BR"/>
              </w:rPr>
              <w:t>ou</w:t>
            </w:r>
            <w:r w:rsidRPr="00D8141D">
              <w:rPr>
                <w:rFonts w:cs="Calibri"/>
                <w:lang w:val="pt-BR"/>
              </w:rPr>
              <w:t xml:space="preserve"> em </w:t>
            </w:r>
            <w:r w:rsidR="0052459E" w:rsidRPr="00D8141D">
              <w:rPr>
                <w:rFonts w:cs="Calibri"/>
                <w:lang w:val="pt-BR"/>
              </w:rPr>
              <w:t>29</w:t>
            </w:r>
            <w:r w:rsidRPr="00D8141D">
              <w:rPr>
                <w:rFonts w:cs="Calibri"/>
                <w:lang w:val="pt-BR"/>
              </w:rPr>
              <w:t xml:space="preserve"> de </w:t>
            </w:r>
            <w:r w:rsidR="004B4FD8" w:rsidRPr="00D8141D">
              <w:rPr>
                <w:rFonts w:cs="Calibri"/>
                <w:lang w:val="pt-BR"/>
              </w:rPr>
              <w:t>dezembro</w:t>
            </w:r>
            <w:r w:rsidRPr="00D8141D">
              <w:rPr>
                <w:rFonts w:cs="Calibri"/>
                <w:lang w:val="pt-BR"/>
              </w:rPr>
              <w:t xml:space="preserve"> de </w:t>
            </w:r>
            <w:r w:rsidR="004B4FD8" w:rsidRPr="00D8141D">
              <w:rPr>
                <w:rFonts w:cs="Calibri"/>
                <w:lang w:val="pt-BR"/>
              </w:rPr>
              <w:t>2021</w:t>
            </w:r>
            <w:r w:rsidRPr="00D8141D">
              <w:rPr>
                <w:rFonts w:cs="Calibri"/>
                <w:lang w:val="pt-BR"/>
              </w:rPr>
              <w:t xml:space="preserve"> (inclusive) e se encerr</w:t>
            </w:r>
            <w:r w:rsidR="00E05BFF" w:rsidRPr="00D8141D">
              <w:rPr>
                <w:rFonts w:cs="Calibri"/>
                <w:lang w:val="pt-BR"/>
              </w:rPr>
              <w:t>ou</w:t>
            </w:r>
            <w:r w:rsidRPr="00D8141D">
              <w:rPr>
                <w:rFonts w:cs="Calibri"/>
                <w:lang w:val="pt-BR"/>
              </w:rPr>
              <w:t xml:space="preserve"> em </w:t>
            </w:r>
            <w:r w:rsidR="004B4FD8" w:rsidRPr="00D8141D">
              <w:rPr>
                <w:rFonts w:cs="Calibri"/>
                <w:lang w:val="pt-BR"/>
              </w:rPr>
              <w:t>1</w:t>
            </w:r>
            <w:r w:rsidR="0098730A" w:rsidRPr="00D8141D">
              <w:rPr>
                <w:rFonts w:cs="Calibri"/>
                <w:lang w:val="pt-BR"/>
              </w:rPr>
              <w:t>3</w:t>
            </w:r>
            <w:r w:rsidRPr="00D8141D">
              <w:rPr>
                <w:rFonts w:cs="Calibri"/>
                <w:lang w:val="pt-BR"/>
              </w:rPr>
              <w:t xml:space="preserve"> de </w:t>
            </w:r>
            <w:r w:rsidR="004B4FD8" w:rsidRPr="00D8141D">
              <w:rPr>
                <w:rFonts w:cs="Calibri"/>
                <w:lang w:val="pt-BR"/>
              </w:rPr>
              <w:t>janeiro</w:t>
            </w:r>
            <w:r w:rsidRPr="00D8141D">
              <w:rPr>
                <w:rFonts w:cs="Calibri"/>
                <w:lang w:val="pt-BR"/>
              </w:rPr>
              <w:t xml:space="preserve"> de </w:t>
            </w:r>
            <w:r w:rsidR="004B4FD8" w:rsidRPr="00D8141D">
              <w:rPr>
                <w:rFonts w:cs="Calibri"/>
                <w:lang w:val="pt-BR"/>
              </w:rPr>
              <w:t>2022</w:t>
            </w:r>
            <w:r w:rsidRPr="00D8141D">
              <w:rPr>
                <w:rFonts w:cs="Calibri"/>
                <w:lang w:val="pt-BR"/>
              </w:rPr>
              <w:t xml:space="preserve"> (inclusive)</w:t>
            </w:r>
            <w:r w:rsidRPr="00D8141D">
              <w:rPr>
                <w:rFonts w:eastAsia="Calibri" w:cs="Calibri"/>
                <w:lang w:val="pt-BR" w:bidi="en-US"/>
              </w:rPr>
              <w:t xml:space="preserve">, durante o qual os Investidores da Oferta </w:t>
            </w:r>
            <w:r w:rsidRPr="00D8141D">
              <w:rPr>
                <w:rFonts w:cs="Calibri"/>
                <w:lang w:val="pt-BR"/>
              </w:rPr>
              <w:t xml:space="preserve">interessados em subscrever Debêntures </w:t>
            </w:r>
            <w:r w:rsidRPr="00D8141D">
              <w:rPr>
                <w:rFonts w:eastAsia="Calibri" w:cs="Calibri"/>
                <w:lang w:val="pt-BR" w:bidi="en-US"/>
              </w:rPr>
              <w:t>p</w:t>
            </w:r>
            <w:r w:rsidR="00E05BFF" w:rsidRPr="00D8141D">
              <w:rPr>
                <w:rFonts w:eastAsia="Calibri" w:cs="Calibri"/>
                <w:lang w:val="pt-BR" w:bidi="en-US"/>
              </w:rPr>
              <w:t>uderam</w:t>
            </w:r>
            <w:r w:rsidRPr="00D8141D">
              <w:rPr>
                <w:rFonts w:eastAsia="Calibri" w:cs="Calibri"/>
                <w:lang w:val="pt-BR" w:bidi="en-US"/>
              </w:rPr>
              <w:t xml:space="preserve"> apresentar suas ordens de investimento por meio de Pedido de Reserva.</w:t>
            </w:r>
          </w:p>
        </w:tc>
      </w:tr>
      <w:tr w:rsidR="00BF6CD1" w:rsidRPr="0082022E" w14:paraId="3D9BFF97" w14:textId="77777777" w:rsidTr="00C033C4">
        <w:tc>
          <w:tcPr>
            <w:tcW w:w="1774" w:type="pct"/>
            <w:shd w:val="clear" w:color="auto" w:fill="auto"/>
            <w:noWrap/>
          </w:tcPr>
          <w:p w14:paraId="4FAD80EC"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“Pessoas Vinculadas”</w:t>
            </w:r>
          </w:p>
        </w:tc>
        <w:tc>
          <w:tcPr>
            <w:tcW w:w="3226" w:type="pct"/>
            <w:shd w:val="clear" w:color="auto" w:fill="auto"/>
            <w:noWrap/>
          </w:tcPr>
          <w:p w14:paraId="4E37BACB" w14:textId="77777777" w:rsidR="00BF6CD1" w:rsidRPr="00D8141D" w:rsidRDefault="00BF6CD1" w:rsidP="00366E72">
            <w:pPr>
              <w:pStyle w:val="HOMEBRBodyText"/>
              <w:keepLines w:val="0"/>
              <w:widowControl w:val="0"/>
              <w:tabs>
                <w:tab w:val="left" w:pos="690"/>
              </w:tabs>
              <w:spacing w:after="140" w:line="290" w:lineRule="auto"/>
              <w:jc w:val="both"/>
              <w:rPr>
                <w:rFonts w:eastAsia="Calibri" w:cs="Calibri"/>
                <w:spacing w:val="-4"/>
                <w:lang w:val="pt-BR"/>
              </w:rPr>
            </w:pPr>
            <w:r w:rsidRPr="00D8141D">
              <w:rPr>
                <w:rFonts w:eastAsia="Calibri" w:cs="Calibri"/>
                <w:spacing w:val="-4"/>
                <w:lang w:val="pt-BR"/>
              </w:rPr>
              <w:t xml:space="preserve">Investidores que sejam: </w:t>
            </w:r>
            <w:r w:rsidR="00047A4B" w:rsidRPr="00D8141D">
              <w:rPr>
                <w:rFonts w:cs="Calibri"/>
                <w:b/>
                <w:spacing w:val="-4"/>
                <w:lang w:val="pt-BR"/>
              </w:rPr>
              <w:t>(</w:t>
            </w:r>
            <w:r w:rsidRPr="00D8141D">
              <w:rPr>
                <w:rFonts w:cs="Calibri"/>
                <w:b/>
                <w:spacing w:val="-4"/>
                <w:lang w:val="pt-BR"/>
              </w:rPr>
              <w:t>i)</w:t>
            </w:r>
            <w:r w:rsidRPr="00D8141D">
              <w:rPr>
                <w:rFonts w:cs="Calibri"/>
                <w:spacing w:val="-4"/>
                <w:lang w:val="pt-BR"/>
              </w:rPr>
              <w:t> </w:t>
            </w:r>
            <w:r w:rsidR="00047A4B" w:rsidRPr="00D8141D">
              <w:rPr>
                <w:rFonts w:cs="Calibri"/>
                <w:spacing w:val="-4"/>
                <w:lang w:val="pt-BR"/>
              </w:rPr>
              <w:t>administradores, funcionários</w:t>
            </w:r>
            <w:r w:rsidRPr="00D8141D">
              <w:rPr>
                <w:rFonts w:cs="Calibri"/>
                <w:spacing w:val="-4"/>
                <w:lang w:val="pt-BR"/>
              </w:rPr>
              <w:t xml:space="preserve">, operadores e demais prepostos da Emissora e/ou das Instituições Participantes da Oferta, que desempenhem atividades de intermediação ou de suporte operacional diretamente envolvidos na Oferta; </w:t>
            </w:r>
            <w:r w:rsidRPr="00D8141D">
              <w:rPr>
                <w:rFonts w:cs="Calibri"/>
                <w:b/>
                <w:spacing w:val="-4"/>
                <w:lang w:val="pt-BR"/>
              </w:rPr>
              <w:t>(i</w:t>
            </w:r>
            <w:r w:rsidR="00047A4B" w:rsidRPr="00D8141D">
              <w:rPr>
                <w:rFonts w:cs="Calibri"/>
                <w:b/>
                <w:spacing w:val="-4"/>
                <w:lang w:val="pt-BR"/>
              </w:rPr>
              <w:t>i</w:t>
            </w:r>
            <w:r w:rsidRPr="00D8141D">
              <w:rPr>
                <w:rFonts w:cs="Calibri"/>
                <w:b/>
                <w:spacing w:val="-4"/>
                <w:lang w:val="pt-BR"/>
              </w:rPr>
              <w:t>)</w:t>
            </w:r>
            <w:r w:rsidRPr="00D8141D">
              <w:rPr>
                <w:rFonts w:cs="Calibri"/>
                <w:spacing w:val="-4"/>
                <w:lang w:val="pt-BR"/>
              </w:rPr>
              <w:t xml:space="preserve"> agentes autônomos que prestem serviços à Emissora e/ou às Instituições Participantes da Oferta no âmbito da Oferta; </w:t>
            </w:r>
            <w:r w:rsidR="00047A4B" w:rsidRPr="00D8141D">
              <w:rPr>
                <w:rFonts w:cs="Calibri"/>
                <w:b/>
                <w:spacing w:val="-4"/>
                <w:lang w:val="pt-BR"/>
              </w:rPr>
              <w:t>(iii</w:t>
            </w:r>
            <w:r w:rsidRPr="00D8141D">
              <w:rPr>
                <w:rFonts w:cs="Calibri"/>
                <w:b/>
                <w:spacing w:val="-4"/>
                <w:lang w:val="pt-BR"/>
              </w:rPr>
              <w:t>)</w:t>
            </w:r>
            <w:r w:rsidRPr="00D8141D">
              <w:rPr>
                <w:rFonts w:cs="Calibri"/>
                <w:spacing w:val="-4"/>
                <w:lang w:val="pt-BR"/>
              </w:rPr>
              <w:t xml:space="preserve"> demais profissionais que mantenham, com a Emissora e/ou as Instituições Participantes da Oferta, contrato de prestação de serviços diretamente relacionados à atividade de intermediação ou de suporte operacional no âmbito da Oferta; </w:t>
            </w:r>
            <w:r w:rsidR="00E5672F" w:rsidRPr="00D8141D">
              <w:rPr>
                <w:rFonts w:cs="Calibri"/>
                <w:b/>
                <w:bCs/>
                <w:spacing w:val="-4"/>
                <w:lang w:val="pt-BR"/>
              </w:rPr>
              <w:t>(iv)</w:t>
            </w:r>
            <w:r w:rsidR="00E5672F" w:rsidRPr="00D8141D">
              <w:rPr>
                <w:rFonts w:cs="Calibri"/>
                <w:spacing w:val="-4"/>
                <w:lang w:val="pt-BR"/>
              </w:rPr>
              <w:t xml:space="preserve"> pessoas naturais que sejam, direta ou indiretamente, controladoras ou participem do controle societário da Emissora e/ou das Instituições Participantes da Oferta; </w:t>
            </w:r>
            <w:r w:rsidRPr="00D8141D">
              <w:rPr>
                <w:rFonts w:cs="Calibri"/>
                <w:b/>
                <w:spacing w:val="-4"/>
                <w:lang w:val="pt-BR"/>
              </w:rPr>
              <w:t>(v)</w:t>
            </w:r>
            <w:r w:rsidRPr="00D8141D">
              <w:rPr>
                <w:rFonts w:cs="Calibri"/>
                <w:spacing w:val="-4"/>
                <w:lang w:val="pt-BR"/>
              </w:rPr>
              <w:t> sociedades controladas, direta ou indiretamente, pela Emissora</w:t>
            </w:r>
            <w:r w:rsidR="00E5672F" w:rsidRPr="00D8141D">
              <w:rPr>
                <w:rFonts w:cs="Calibri"/>
                <w:spacing w:val="-4"/>
                <w:lang w:val="pt-BR"/>
              </w:rPr>
              <w:t xml:space="preserve"> e/ou pelas Instituições Participantes da Oferta</w:t>
            </w:r>
            <w:r w:rsidRPr="00D8141D">
              <w:rPr>
                <w:rFonts w:cs="Calibri"/>
                <w:spacing w:val="-4"/>
                <w:lang w:val="pt-BR"/>
              </w:rPr>
              <w:t xml:space="preserve"> ou por pessoas a elas vinculadas; </w:t>
            </w:r>
            <w:r w:rsidRPr="00D8141D">
              <w:rPr>
                <w:rFonts w:cs="Calibri"/>
                <w:b/>
                <w:spacing w:val="-4"/>
                <w:lang w:val="pt-BR"/>
              </w:rPr>
              <w:t>(vi)</w:t>
            </w:r>
            <w:r w:rsidRPr="00D8141D">
              <w:rPr>
                <w:rFonts w:cs="Calibri"/>
                <w:spacing w:val="-4"/>
                <w:lang w:val="pt-BR"/>
              </w:rPr>
              <w:t> cônjuges ou companheiros e filhos menores das pessoas mencionadas nos itens (i) a (</w:t>
            </w:r>
            <w:r w:rsidR="00E5672F" w:rsidRPr="00D8141D">
              <w:rPr>
                <w:rFonts w:cs="Calibri"/>
                <w:spacing w:val="-4"/>
                <w:lang w:val="pt-BR"/>
              </w:rPr>
              <w:t>i</w:t>
            </w:r>
            <w:r w:rsidRPr="00D8141D">
              <w:rPr>
                <w:rFonts w:cs="Calibri"/>
                <w:spacing w:val="-4"/>
                <w:lang w:val="pt-BR"/>
              </w:rPr>
              <w:t xml:space="preserve">v); e </w:t>
            </w:r>
            <w:r w:rsidRPr="00D8141D">
              <w:rPr>
                <w:rFonts w:cs="Calibri"/>
                <w:b/>
                <w:spacing w:val="-4"/>
                <w:lang w:val="pt-BR"/>
              </w:rPr>
              <w:t>(</w:t>
            </w:r>
            <w:r w:rsidR="00E5672F" w:rsidRPr="00D8141D">
              <w:rPr>
                <w:rFonts w:cs="Calibri"/>
                <w:b/>
                <w:spacing w:val="-4"/>
                <w:lang w:val="pt-BR"/>
              </w:rPr>
              <w:t>vii</w:t>
            </w:r>
            <w:r w:rsidRPr="00D8141D">
              <w:rPr>
                <w:rFonts w:cs="Calibri"/>
                <w:b/>
                <w:spacing w:val="-4"/>
                <w:lang w:val="pt-BR"/>
              </w:rPr>
              <w:t>)</w:t>
            </w:r>
            <w:r w:rsidRPr="00D8141D">
              <w:rPr>
                <w:rFonts w:cs="Calibri"/>
                <w:spacing w:val="-4"/>
                <w:lang w:val="pt-BR"/>
              </w:rPr>
              <w:t xml:space="preserve"> clubes e fundos de investimento cuja maioria das cotas pertença a Pessoas Vinculadas indicadas nos itens acima, salvo se geridos discricionariamente por terceiros não vinculados, nos termos do artigo 55 da Instrução CVM 400 e do artigo </w:t>
            </w:r>
            <w:r w:rsidR="00AA58A3" w:rsidRPr="00D8141D">
              <w:rPr>
                <w:rFonts w:cs="Calibri"/>
                <w:lang w:val="pt-BR"/>
              </w:rPr>
              <w:t>2º</w:t>
            </w:r>
            <w:r w:rsidRPr="00D8141D">
              <w:rPr>
                <w:rFonts w:cs="Calibri"/>
                <w:spacing w:val="-4"/>
                <w:lang w:val="pt-BR"/>
              </w:rPr>
              <w:t xml:space="preserve">, inciso </w:t>
            </w:r>
            <w:r w:rsidR="00AA58A3" w:rsidRPr="00D8141D">
              <w:rPr>
                <w:rFonts w:cs="Calibri"/>
                <w:lang w:val="pt-BR"/>
              </w:rPr>
              <w:t>XII</w:t>
            </w:r>
            <w:r w:rsidRPr="00D8141D">
              <w:rPr>
                <w:rFonts w:cs="Calibri"/>
                <w:spacing w:val="-4"/>
                <w:lang w:val="pt-BR"/>
              </w:rPr>
              <w:t xml:space="preserve"> da </w:t>
            </w:r>
            <w:r w:rsidR="00AA58A3" w:rsidRPr="00D8141D">
              <w:rPr>
                <w:rFonts w:cs="Calibri"/>
                <w:lang w:val="pt-BR"/>
              </w:rPr>
              <w:t>Resolução</w:t>
            </w:r>
            <w:r w:rsidRPr="00D8141D">
              <w:rPr>
                <w:rFonts w:cs="Calibri"/>
                <w:spacing w:val="-4"/>
                <w:lang w:val="pt-BR"/>
              </w:rPr>
              <w:t xml:space="preserve"> CVM </w:t>
            </w:r>
            <w:r w:rsidR="00AA58A3" w:rsidRPr="00D8141D">
              <w:rPr>
                <w:rFonts w:cs="Calibri"/>
                <w:lang w:val="pt-BR"/>
              </w:rPr>
              <w:t>35</w:t>
            </w:r>
            <w:r w:rsidRPr="00D8141D">
              <w:rPr>
                <w:rFonts w:cs="Calibri"/>
                <w:spacing w:val="-4"/>
                <w:lang w:val="pt-BR"/>
              </w:rPr>
              <w:t>.</w:t>
            </w:r>
          </w:p>
          <w:p w14:paraId="4B05EE83" w14:textId="73338F95" w:rsidR="00BF6CD1" w:rsidRPr="00D8141D" w:rsidRDefault="00BF6CD1" w:rsidP="00366E72">
            <w:pPr>
              <w:pStyle w:val="HOMEBRBodyText"/>
              <w:keepLines w:val="0"/>
              <w:widowControl w:val="0"/>
              <w:spacing w:after="140" w:line="290" w:lineRule="auto"/>
              <w:jc w:val="both"/>
              <w:rPr>
                <w:rFonts w:eastAsia="Calibri" w:cs="Calibri"/>
                <w:lang w:val="pt-BR"/>
              </w:rPr>
            </w:pPr>
            <w:r w:rsidRPr="00D8141D">
              <w:rPr>
                <w:rFonts w:eastAsia="Calibri" w:cs="Calibri"/>
                <w:b/>
                <w:lang w:val="pt-BR"/>
              </w:rPr>
              <w:t>Para mais informações sobre a participação de Pessoas Vinculadas na Oferta, veja as seções “</w:t>
            </w:r>
            <w:r w:rsidR="00DB205D" w:rsidRPr="00D8141D">
              <w:rPr>
                <w:rFonts w:eastAsia="Calibri" w:cs="Calibri"/>
                <w:b/>
                <w:lang w:val="pt-BR"/>
              </w:rPr>
              <w:t>Sumário</w:t>
            </w:r>
            <w:r w:rsidRPr="00D8141D">
              <w:rPr>
                <w:rFonts w:eastAsia="Calibri" w:cs="Calibri"/>
                <w:b/>
                <w:lang w:val="pt-BR"/>
              </w:rPr>
              <w:t xml:space="preserve"> da Oferta – </w:t>
            </w:r>
            <w:r w:rsidRPr="00D8141D">
              <w:rPr>
                <w:rFonts w:eastAsia="Calibri" w:cs="Calibri"/>
                <w:b/>
                <w:color w:val="000000"/>
                <w:lang w:val="pt-BR"/>
              </w:rPr>
              <w:t>Pessoas Vinculadas</w:t>
            </w:r>
            <w:r w:rsidRPr="00D8141D">
              <w:rPr>
                <w:rFonts w:eastAsia="Calibri" w:cs="Calibri"/>
                <w:b/>
                <w:lang w:val="pt-BR"/>
              </w:rPr>
              <w:t xml:space="preserve">” e “Fatores de Risco Relacionados à Oferta e às Debêntures – </w:t>
            </w:r>
            <w:r w:rsidRPr="00D8141D">
              <w:rPr>
                <w:rFonts w:cs="Calibri"/>
                <w:b/>
                <w:bCs/>
                <w:lang w:val="pt-BR"/>
              </w:rPr>
              <w:t xml:space="preserve">O investimento nas Debêntures por Investidores da Oferta que sejam Pessoas Vinculadas poderá ter um impacto adverso na liquidez das Debêntures no </w:t>
            </w:r>
            <w:r w:rsidRPr="00D8141D">
              <w:rPr>
                <w:rFonts w:cs="Calibri"/>
                <w:b/>
                <w:bCs/>
                <w:lang w:val="pt-BR"/>
              </w:rPr>
              <w:lastRenderedPageBreak/>
              <w:t>mercado secundário</w:t>
            </w:r>
            <w:r w:rsidRPr="00D8141D">
              <w:rPr>
                <w:rFonts w:cs="Calibri"/>
                <w:b/>
                <w:lang w:val="pt-BR" w:eastAsia="pt-BR"/>
              </w:rPr>
              <w:t>.</w:t>
            </w:r>
            <w:r w:rsidRPr="00D8141D">
              <w:rPr>
                <w:rFonts w:eastAsia="Calibri" w:cs="Calibri"/>
                <w:b/>
                <w:lang w:val="pt-BR"/>
              </w:rPr>
              <w:t xml:space="preserve">”, nas páginas </w:t>
            </w:r>
            <w:r w:rsidR="006902E3" w:rsidRPr="00D8141D">
              <w:rPr>
                <w:rFonts w:eastAsia="Calibri" w:cs="Calibri"/>
                <w:b/>
                <w:color w:val="FF0000"/>
                <w:lang w:val="pt-BR"/>
              </w:rPr>
              <w:fldChar w:fldCharType="begin"/>
            </w:r>
            <w:r w:rsidR="006902E3" w:rsidRPr="00D8141D">
              <w:rPr>
                <w:rFonts w:eastAsia="Calibri" w:cs="Calibri"/>
                <w:b/>
                <w:lang w:val="pt-BR"/>
              </w:rPr>
              <w:instrText xml:space="preserve"> PAGEREF _Ref90221919 \h </w:instrText>
            </w:r>
            <w:r w:rsidR="006902E3" w:rsidRPr="00D8141D">
              <w:rPr>
                <w:rFonts w:eastAsia="Calibri" w:cs="Calibri"/>
                <w:b/>
                <w:color w:val="FF0000"/>
                <w:lang w:val="pt-BR"/>
              </w:rPr>
            </w:r>
            <w:r w:rsidR="006902E3" w:rsidRPr="00D8141D">
              <w:rPr>
                <w:rFonts w:eastAsia="Calibri" w:cs="Calibri"/>
                <w:b/>
                <w:color w:val="FF0000"/>
                <w:lang w:val="pt-BR"/>
              </w:rPr>
              <w:fldChar w:fldCharType="separate"/>
            </w:r>
            <w:r w:rsidR="001166EA">
              <w:rPr>
                <w:rFonts w:eastAsia="Calibri" w:cs="Calibri"/>
                <w:b/>
                <w:noProof/>
                <w:lang w:val="pt-BR"/>
              </w:rPr>
              <w:t>56</w:t>
            </w:r>
            <w:r w:rsidR="006902E3" w:rsidRPr="00D8141D">
              <w:rPr>
                <w:rFonts w:eastAsia="Calibri" w:cs="Calibri"/>
                <w:b/>
                <w:color w:val="FF0000"/>
                <w:lang w:val="pt-BR"/>
              </w:rPr>
              <w:fldChar w:fldCharType="end"/>
            </w:r>
            <w:r w:rsidR="00E52581" w:rsidRPr="00D8141D">
              <w:rPr>
                <w:rFonts w:eastAsia="Calibri" w:cs="Calibri"/>
                <w:b/>
                <w:lang w:val="pt-BR"/>
              </w:rPr>
              <w:t xml:space="preserve"> </w:t>
            </w:r>
            <w:r w:rsidRPr="00D8141D">
              <w:rPr>
                <w:rFonts w:eastAsia="Calibri" w:cs="Calibri"/>
                <w:b/>
                <w:lang w:val="pt-BR"/>
              </w:rPr>
              <w:t xml:space="preserve">e </w:t>
            </w:r>
            <w:r w:rsidR="00091237" w:rsidRPr="00D8141D">
              <w:rPr>
                <w:rFonts w:eastAsia="Calibri" w:cs="Calibri"/>
                <w:b/>
                <w:lang w:val="pt-BR"/>
              </w:rPr>
              <w:fldChar w:fldCharType="begin"/>
            </w:r>
            <w:r w:rsidR="00091237" w:rsidRPr="00D8141D">
              <w:rPr>
                <w:rFonts w:eastAsia="Calibri" w:cs="Calibri"/>
                <w:b/>
                <w:lang w:val="pt-BR"/>
              </w:rPr>
              <w:instrText xml:space="preserve"> PAGEREF _Ref90059225 \h </w:instrText>
            </w:r>
            <w:r w:rsidR="00091237" w:rsidRPr="00D8141D">
              <w:rPr>
                <w:rFonts w:eastAsia="Calibri" w:cs="Calibri"/>
                <w:b/>
                <w:lang w:val="pt-BR"/>
              </w:rPr>
            </w:r>
            <w:r w:rsidR="00091237" w:rsidRPr="00D8141D">
              <w:rPr>
                <w:rFonts w:eastAsia="Calibri" w:cs="Calibri"/>
                <w:b/>
                <w:lang w:val="pt-BR"/>
              </w:rPr>
              <w:fldChar w:fldCharType="separate"/>
            </w:r>
            <w:r w:rsidR="001166EA">
              <w:rPr>
                <w:rFonts w:eastAsia="Calibri" w:cs="Calibri"/>
                <w:b/>
                <w:noProof/>
                <w:lang w:val="pt-BR"/>
              </w:rPr>
              <w:t>134</w:t>
            </w:r>
            <w:r w:rsidR="00091237" w:rsidRPr="00D8141D">
              <w:rPr>
                <w:rFonts w:eastAsia="Calibri" w:cs="Calibri"/>
                <w:b/>
                <w:lang w:val="pt-BR"/>
              </w:rPr>
              <w:fldChar w:fldCharType="end"/>
            </w:r>
            <w:r w:rsidRPr="00D8141D">
              <w:rPr>
                <w:rFonts w:eastAsia="Calibri" w:cs="Calibri"/>
                <w:b/>
                <w:lang w:val="pt-BR"/>
              </w:rPr>
              <w:t>, respectivamente, deste Prospecto.</w:t>
            </w:r>
          </w:p>
        </w:tc>
      </w:tr>
      <w:tr w:rsidR="00107B85" w:rsidRPr="0082022E" w14:paraId="4446AC3E" w14:textId="77777777" w:rsidTr="00C033C4">
        <w:tc>
          <w:tcPr>
            <w:tcW w:w="1774" w:type="pct"/>
            <w:shd w:val="clear" w:color="auto" w:fill="auto"/>
            <w:noWrap/>
          </w:tcPr>
          <w:p w14:paraId="24A92231" w14:textId="77777777" w:rsidR="00107B85" w:rsidRPr="00D8141D" w:rsidRDefault="00107B85"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“Plano de Distribuição”</w:t>
            </w:r>
          </w:p>
        </w:tc>
        <w:tc>
          <w:tcPr>
            <w:tcW w:w="3226" w:type="pct"/>
            <w:shd w:val="clear" w:color="auto" w:fill="auto"/>
            <w:noWrap/>
          </w:tcPr>
          <w:p w14:paraId="07917F95" w14:textId="77777777" w:rsidR="00107B85" w:rsidRPr="00566177" w:rsidRDefault="00BF51AD" w:rsidP="008D7C7A">
            <w:pPr>
              <w:pStyle w:val="HOMEBRBodyText"/>
              <w:keepLines w:val="0"/>
              <w:widowControl w:val="0"/>
              <w:tabs>
                <w:tab w:val="left" w:pos="690"/>
              </w:tabs>
              <w:spacing w:after="140"/>
              <w:jc w:val="both"/>
              <w:rPr>
                <w:spacing w:val="-4"/>
                <w:lang w:val="pt-BR"/>
              </w:rPr>
            </w:pPr>
            <w:r w:rsidRPr="00566177">
              <w:rPr>
                <w:spacing w:val="-4"/>
                <w:lang w:val="pt-BR"/>
              </w:rPr>
              <w:t>As Debêntures serão objeto de oferta pública de distribuição, nos termos da Instrução CVM </w:t>
            </w:r>
            <w:r w:rsidRPr="00D8141D">
              <w:rPr>
                <w:rFonts w:cs="Calibri"/>
                <w:spacing w:val="-4"/>
                <w:lang w:val="pt-BR"/>
              </w:rPr>
              <w:t>400, sob regime de garantia firme de colocação (exceto pelas Debêntures Adicionais, as quais serão colocadas</w:t>
            </w:r>
            <w:r w:rsidRPr="00566177">
              <w:rPr>
                <w:spacing w:val="-4"/>
                <w:lang w:val="pt-BR"/>
              </w:rPr>
              <w:t xml:space="preserve"> sob o regime de </w:t>
            </w:r>
            <w:r w:rsidRPr="00D8141D">
              <w:rPr>
                <w:rFonts w:cs="Calibri"/>
                <w:spacing w:val="-4"/>
                <w:lang w:val="pt-BR"/>
              </w:rPr>
              <w:t>melhores esforços</w:t>
            </w:r>
            <w:r w:rsidRPr="00566177">
              <w:rPr>
                <w:spacing w:val="-4"/>
                <w:lang w:val="pt-BR"/>
              </w:rPr>
              <w:t xml:space="preserve"> de colocação</w:t>
            </w:r>
            <w:r w:rsidRPr="00D8141D">
              <w:rPr>
                <w:rFonts w:cs="Calibri"/>
                <w:spacing w:val="-4"/>
                <w:lang w:val="pt-BR"/>
              </w:rPr>
              <w:t>),</w:t>
            </w:r>
            <w:r w:rsidRPr="00566177">
              <w:rPr>
                <w:spacing w:val="-4"/>
                <w:lang w:val="pt-BR"/>
              </w:rPr>
              <w:t xml:space="preserve"> para a totalidade das Debêntures, nos termos do Contrato de Distribuição</w:t>
            </w:r>
            <w:r w:rsidR="00C02CC2">
              <w:rPr>
                <w:spacing w:val="-4"/>
                <w:lang w:val="pt-BR"/>
              </w:rPr>
              <w:t xml:space="preserve"> e do </w:t>
            </w:r>
            <w:r w:rsidR="00C02CC2" w:rsidRPr="00C02CC2">
              <w:rPr>
                <w:spacing w:val="-4"/>
                <w:lang w:val="pt-BR"/>
              </w:rPr>
              <w:t>Primeiro Aditamento ao Contrato de Distribuição</w:t>
            </w:r>
            <w:r w:rsidRPr="00566177">
              <w:rPr>
                <w:spacing w:val="-4"/>
                <w:lang w:val="pt-BR"/>
              </w:rPr>
              <w:t>, com a intermediação do Coordenador Líder e de Participantes Especiais, observados os procedimentos previsto no parágrafo 3º do artigo 33 da Instrução CVM 400.</w:t>
            </w:r>
          </w:p>
          <w:p w14:paraId="73D81912" w14:textId="77777777" w:rsidR="00BF51AD" w:rsidRPr="00D8141D" w:rsidRDefault="00BF51AD" w:rsidP="008D7C7A">
            <w:pPr>
              <w:pStyle w:val="HOMEBRBodyText"/>
              <w:keepLines w:val="0"/>
              <w:widowControl w:val="0"/>
              <w:tabs>
                <w:tab w:val="left" w:pos="690"/>
              </w:tabs>
              <w:spacing w:after="140"/>
              <w:jc w:val="both"/>
              <w:rPr>
                <w:rFonts w:eastAsia="Calibri" w:cs="Calibri"/>
                <w:spacing w:val="-4"/>
                <w:highlight w:val="yellow"/>
                <w:lang w:val="pt-BR"/>
              </w:rPr>
            </w:pPr>
            <w:r w:rsidRPr="00566177">
              <w:rPr>
                <w:rFonts w:eastAsia="Calibri"/>
                <w:spacing w:val="-4"/>
                <w:lang w:val="pt-BR"/>
              </w:rPr>
              <w:t xml:space="preserve">Os termos e condições do Plano de Distribuição </w:t>
            </w:r>
            <w:r w:rsidRPr="00D8141D">
              <w:rPr>
                <w:rFonts w:cs="Calibri"/>
                <w:spacing w:val="-4"/>
                <w:lang w:val="pt-BR"/>
              </w:rPr>
              <w:t>seguem descritos no Contrato de Distribuição</w:t>
            </w:r>
            <w:r w:rsidR="00C02CC2" w:rsidRPr="00D8141D">
              <w:rPr>
                <w:rFonts w:cs="Calibri"/>
                <w:spacing w:val="-4"/>
                <w:lang w:val="pt-BR"/>
              </w:rPr>
              <w:t>, Primeiro Aditamento ao Contrato de Distribuição</w:t>
            </w:r>
            <w:r w:rsidRPr="00D8141D">
              <w:rPr>
                <w:rFonts w:cs="Calibri"/>
                <w:spacing w:val="-4"/>
                <w:lang w:val="pt-BR"/>
              </w:rPr>
              <w:t xml:space="preserve"> e nos demais documentos da Oferta. A Oferta não contará com esforços de colocação no exterior.</w:t>
            </w:r>
          </w:p>
        </w:tc>
      </w:tr>
      <w:tr w:rsidR="00BF6CD1" w:rsidRPr="0082022E" w14:paraId="46CE97E5" w14:textId="77777777" w:rsidTr="00C033C4">
        <w:tc>
          <w:tcPr>
            <w:tcW w:w="1774" w:type="pct"/>
            <w:shd w:val="clear" w:color="auto" w:fill="auto"/>
            <w:noWrap/>
          </w:tcPr>
          <w:p w14:paraId="664AA528"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“Portaria </w:t>
            </w:r>
            <w:r w:rsidR="00566A00" w:rsidRPr="00D8141D">
              <w:rPr>
                <w:rFonts w:eastAsia="Calibri" w:cs="Calibri"/>
                <w:b/>
                <w:lang w:val="pt-BR"/>
              </w:rPr>
              <w:t>21</w:t>
            </w:r>
            <w:r w:rsidRPr="00D8141D">
              <w:rPr>
                <w:rFonts w:eastAsia="Calibri" w:cs="Calibri"/>
                <w:b/>
                <w:lang w:val="pt-BR"/>
              </w:rPr>
              <w:t>”</w:t>
            </w:r>
          </w:p>
        </w:tc>
        <w:tc>
          <w:tcPr>
            <w:tcW w:w="3226" w:type="pct"/>
            <w:shd w:val="clear" w:color="auto" w:fill="auto"/>
            <w:noWrap/>
          </w:tcPr>
          <w:p w14:paraId="58AED92E" w14:textId="77777777" w:rsidR="00BF6CD1" w:rsidRPr="00D8141D" w:rsidRDefault="00BF6CD1" w:rsidP="008D7C7A">
            <w:pPr>
              <w:pStyle w:val="HOMEBRBodyText"/>
              <w:keepLines w:val="0"/>
              <w:widowControl w:val="0"/>
              <w:spacing w:after="140" w:line="276" w:lineRule="auto"/>
              <w:jc w:val="both"/>
              <w:rPr>
                <w:rFonts w:eastAsia="Calibri" w:cs="Calibri"/>
                <w:lang w:val="pt-BR"/>
              </w:rPr>
            </w:pPr>
            <w:r w:rsidRPr="00D8141D">
              <w:rPr>
                <w:rFonts w:eastAsia="Calibri" w:cs="Calibri"/>
                <w:lang w:val="pt-BR"/>
              </w:rPr>
              <w:t xml:space="preserve">Portaria nº </w:t>
            </w:r>
            <w:r w:rsidR="00E52581" w:rsidRPr="00D8141D">
              <w:rPr>
                <w:rFonts w:eastAsia="Calibri" w:cs="Calibri"/>
                <w:lang w:val="pt-BR"/>
              </w:rPr>
              <w:t>21</w:t>
            </w:r>
            <w:r w:rsidRPr="00D8141D">
              <w:rPr>
                <w:rFonts w:eastAsia="Calibri" w:cs="Calibri"/>
                <w:lang w:val="pt-BR"/>
              </w:rPr>
              <w:t xml:space="preserve"> de </w:t>
            </w:r>
            <w:r w:rsidR="00E52581" w:rsidRPr="00D8141D">
              <w:rPr>
                <w:rFonts w:eastAsia="Calibri" w:cs="Calibri"/>
                <w:lang w:val="pt-BR"/>
              </w:rPr>
              <w:t xml:space="preserve">04 </w:t>
            </w:r>
            <w:r w:rsidRPr="00D8141D">
              <w:rPr>
                <w:rFonts w:eastAsia="Calibri" w:cs="Calibri"/>
                <w:lang w:val="pt-BR"/>
              </w:rPr>
              <w:t xml:space="preserve">de </w:t>
            </w:r>
            <w:r w:rsidR="00E52581" w:rsidRPr="00D8141D">
              <w:rPr>
                <w:rFonts w:eastAsia="Calibri" w:cs="Calibri"/>
                <w:lang w:val="pt-BR"/>
              </w:rPr>
              <w:t xml:space="preserve">maio </w:t>
            </w:r>
            <w:r w:rsidRPr="00D8141D">
              <w:rPr>
                <w:rFonts w:eastAsia="Calibri" w:cs="Calibri"/>
                <w:lang w:val="pt-BR"/>
              </w:rPr>
              <w:t xml:space="preserve">de </w:t>
            </w:r>
            <w:r w:rsidR="00E52581" w:rsidRPr="00D8141D">
              <w:rPr>
                <w:rFonts w:eastAsia="Calibri" w:cs="Calibri"/>
                <w:lang w:val="pt-BR"/>
              </w:rPr>
              <w:t>2021</w:t>
            </w:r>
            <w:r w:rsidR="00E52581" w:rsidRPr="00D8141D">
              <w:rPr>
                <w:rFonts w:cs="Calibri"/>
                <w:lang w:val="pt-BR"/>
              </w:rPr>
              <w:t xml:space="preserve">, </w:t>
            </w:r>
            <w:r w:rsidRPr="00D8141D">
              <w:rPr>
                <w:rFonts w:cs="Calibri"/>
                <w:lang w:val="pt-BR"/>
              </w:rPr>
              <w:t xml:space="preserve">publicada no DOU de </w:t>
            </w:r>
            <w:r w:rsidR="00E52581" w:rsidRPr="00D8141D">
              <w:rPr>
                <w:rFonts w:eastAsia="Calibri" w:cs="Calibri"/>
                <w:lang w:val="pt-BR"/>
              </w:rPr>
              <w:t>13</w:t>
            </w:r>
            <w:r w:rsidR="00E52581" w:rsidRPr="00D8141D">
              <w:rPr>
                <w:rFonts w:cs="Calibri"/>
                <w:lang w:val="pt-BR"/>
              </w:rPr>
              <w:t xml:space="preserve"> </w:t>
            </w:r>
            <w:r w:rsidRPr="00D8141D">
              <w:rPr>
                <w:rFonts w:cs="Calibri"/>
                <w:lang w:val="pt-BR"/>
              </w:rPr>
              <w:t xml:space="preserve">de </w:t>
            </w:r>
            <w:r w:rsidR="00E52581" w:rsidRPr="00D8141D">
              <w:rPr>
                <w:rFonts w:eastAsia="Calibri" w:cs="Calibri"/>
                <w:lang w:val="pt-BR"/>
              </w:rPr>
              <w:t>maio</w:t>
            </w:r>
            <w:r w:rsidR="00E52581" w:rsidRPr="00D8141D">
              <w:rPr>
                <w:rFonts w:cs="Calibri"/>
                <w:lang w:val="pt-BR"/>
              </w:rPr>
              <w:t xml:space="preserve"> </w:t>
            </w:r>
            <w:r w:rsidRPr="00D8141D">
              <w:rPr>
                <w:rFonts w:cs="Calibri"/>
                <w:lang w:val="pt-BR"/>
              </w:rPr>
              <w:t xml:space="preserve">de </w:t>
            </w:r>
            <w:r w:rsidR="00E52581" w:rsidRPr="00D8141D">
              <w:rPr>
                <w:rFonts w:eastAsia="Calibri" w:cs="Calibri"/>
                <w:lang w:val="pt-BR"/>
              </w:rPr>
              <w:t xml:space="preserve">2021, </w:t>
            </w:r>
            <w:r w:rsidRPr="00D8141D">
              <w:rPr>
                <w:rFonts w:eastAsia="Calibri" w:cs="Calibri"/>
                <w:lang w:val="pt-BR"/>
              </w:rPr>
              <w:t xml:space="preserve">que aprovou o </w:t>
            </w:r>
            <w:r w:rsidR="00E52581" w:rsidRPr="00D8141D">
              <w:rPr>
                <w:rFonts w:eastAsia="Calibri" w:cs="Calibri"/>
                <w:lang w:val="pt-BR"/>
              </w:rPr>
              <w:t>Projeto Capex Boa Vista</w:t>
            </w:r>
            <w:r w:rsidRPr="00D8141D">
              <w:rPr>
                <w:rFonts w:cs="Calibri"/>
                <w:lang w:val="pt-BR"/>
              </w:rPr>
              <w:t xml:space="preserve"> </w:t>
            </w:r>
            <w:r w:rsidRPr="00D8141D">
              <w:rPr>
                <w:rFonts w:eastAsia="Calibri" w:cs="Calibri"/>
                <w:lang w:val="pt-BR"/>
              </w:rPr>
              <w:t>como prioritário.</w:t>
            </w:r>
          </w:p>
        </w:tc>
      </w:tr>
      <w:tr w:rsidR="00BF6CD1" w:rsidRPr="0082022E" w14:paraId="13FD7131" w14:textId="77777777" w:rsidTr="00C033C4">
        <w:tc>
          <w:tcPr>
            <w:tcW w:w="1774" w:type="pct"/>
            <w:shd w:val="clear" w:color="auto" w:fill="auto"/>
            <w:noWrap/>
          </w:tcPr>
          <w:p w14:paraId="7EA61264"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“Portaria </w:t>
            </w:r>
            <w:r w:rsidR="00566A00" w:rsidRPr="00D8141D">
              <w:rPr>
                <w:rFonts w:eastAsia="Calibri" w:cs="Calibri"/>
                <w:b/>
                <w:lang w:val="pt-BR"/>
              </w:rPr>
              <w:t>35</w:t>
            </w:r>
            <w:r w:rsidRPr="00D8141D">
              <w:rPr>
                <w:rFonts w:eastAsia="Calibri" w:cs="Calibri"/>
                <w:b/>
                <w:lang w:val="pt-BR"/>
              </w:rPr>
              <w:t>”</w:t>
            </w:r>
          </w:p>
        </w:tc>
        <w:tc>
          <w:tcPr>
            <w:tcW w:w="3226" w:type="pct"/>
            <w:shd w:val="clear" w:color="auto" w:fill="auto"/>
            <w:noWrap/>
          </w:tcPr>
          <w:p w14:paraId="441C7D3D" w14:textId="77777777" w:rsidR="00BF6CD1" w:rsidRPr="00D8141D" w:rsidRDefault="00BF6CD1" w:rsidP="008D7C7A">
            <w:pPr>
              <w:pStyle w:val="HOMEBRBodyText"/>
              <w:keepLines w:val="0"/>
              <w:widowControl w:val="0"/>
              <w:tabs>
                <w:tab w:val="left" w:pos="690"/>
              </w:tabs>
              <w:spacing w:after="140" w:line="276" w:lineRule="auto"/>
              <w:jc w:val="both"/>
              <w:rPr>
                <w:rFonts w:eastAsia="Calibri" w:cs="Calibri"/>
                <w:lang w:val="pt-BR"/>
              </w:rPr>
            </w:pPr>
            <w:r w:rsidRPr="00D8141D">
              <w:rPr>
                <w:rFonts w:eastAsia="Calibri" w:cs="Calibri"/>
                <w:lang w:val="pt-BR"/>
              </w:rPr>
              <w:t xml:space="preserve">Portaria nº </w:t>
            </w:r>
            <w:r w:rsidR="00E52581" w:rsidRPr="00D8141D">
              <w:rPr>
                <w:rFonts w:eastAsia="Calibri" w:cs="Calibri"/>
                <w:lang w:val="pt-BR"/>
              </w:rPr>
              <w:t>35</w:t>
            </w:r>
            <w:r w:rsidR="00AA58A3" w:rsidRPr="00D8141D">
              <w:rPr>
                <w:rFonts w:eastAsia="Calibri" w:cs="Calibri"/>
                <w:lang w:val="pt-BR"/>
              </w:rPr>
              <w:t>/SPG/MME</w:t>
            </w:r>
            <w:r w:rsidRPr="00D8141D">
              <w:rPr>
                <w:rFonts w:eastAsia="Calibri" w:cs="Calibri"/>
                <w:lang w:val="pt-BR"/>
              </w:rPr>
              <w:t xml:space="preserve"> de </w:t>
            </w:r>
            <w:r w:rsidR="00E52581" w:rsidRPr="00D8141D">
              <w:rPr>
                <w:rFonts w:eastAsia="Calibri" w:cs="Calibri"/>
                <w:lang w:val="pt-BR"/>
              </w:rPr>
              <w:t xml:space="preserve">18 </w:t>
            </w:r>
            <w:r w:rsidRPr="00D8141D">
              <w:rPr>
                <w:rFonts w:eastAsia="Calibri" w:cs="Calibri"/>
                <w:lang w:val="pt-BR"/>
              </w:rPr>
              <w:t xml:space="preserve">de </w:t>
            </w:r>
            <w:r w:rsidR="00E52581" w:rsidRPr="00D8141D">
              <w:rPr>
                <w:rFonts w:eastAsia="Calibri" w:cs="Calibri"/>
                <w:lang w:val="pt-BR"/>
              </w:rPr>
              <w:t xml:space="preserve">outubro </w:t>
            </w:r>
            <w:r w:rsidRPr="00D8141D">
              <w:rPr>
                <w:rFonts w:eastAsia="Calibri" w:cs="Calibri"/>
                <w:lang w:val="pt-BR"/>
              </w:rPr>
              <w:t xml:space="preserve">de </w:t>
            </w:r>
            <w:r w:rsidR="00E52581" w:rsidRPr="00D8141D">
              <w:rPr>
                <w:rFonts w:eastAsia="Calibri" w:cs="Calibri"/>
                <w:lang w:val="pt-BR"/>
              </w:rPr>
              <w:t>2021</w:t>
            </w:r>
            <w:r w:rsidR="00E52581" w:rsidRPr="00D8141D">
              <w:rPr>
                <w:rFonts w:cs="Calibri"/>
                <w:lang w:val="pt-BR"/>
              </w:rPr>
              <w:t xml:space="preserve">, </w:t>
            </w:r>
            <w:r w:rsidRPr="00D8141D">
              <w:rPr>
                <w:rFonts w:cs="Calibri"/>
                <w:lang w:val="pt-BR"/>
              </w:rPr>
              <w:t xml:space="preserve">publicada no DOU de </w:t>
            </w:r>
            <w:r w:rsidR="00566A00" w:rsidRPr="00D8141D">
              <w:rPr>
                <w:rFonts w:eastAsia="Calibri" w:cs="Calibri"/>
                <w:lang w:val="pt-BR"/>
              </w:rPr>
              <w:t>25</w:t>
            </w:r>
            <w:r w:rsidR="00566A00" w:rsidRPr="00D8141D">
              <w:rPr>
                <w:rFonts w:cs="Calibri"/>
                <w:lang w:val="pt-BR"/>
              </w:rPr>
              <w:t xml:space="preserve"> </w:t>
            </w:r>
            <w:r w:rsidRPr="00D8141D">
              <w:rPr>
                <w:rFonts w:cs="Calibri"/>
                <w:lang w:val="pt-BR"/>
              </w:rPr>
              <w:t xml:space="preserve">de </w:t>
            </w:r>
            <w:r w:rsidR="00566A00" w:rsidRPr="00D8141D">
              <w:rPr>
                <w:rFonts w:eastAsia="Calibri" w:cs="Calibri"/>
                <w:lang w:val="pt-BR"/>
              </w:rPr>
              <w:t>outubro</w:t>
            </w:r>
            <w:r w:rsidR="00566A00" w:rsidRPr="00D8141D">
              <w:rPr>
                <w:rFonts w:cs="Calibri"/>
                <w:lang w:val="pt-BR"/>
              </w:rPr>
              <w:t xml:space="preserve"> </w:t>
            </w:r>
            <w:r w:rsidRPr="00D8141D">
              <w:rPr>
                <w:rFonts w:cs="Calibri"/>
                <w:lang w:val="pt-BR"/>
              </w:rPr>
              <w:t xml:space="preserve">de </w:t>
            </w:r>
            <w:r w:rsidR="00566A00" w:rsidRPr="00D8141D">
              <w:rPr>
                <w:rFonts w:eastAsia="Calibri" w:cs="Calibri"/>
                <w:lang w:val="pt-BR"/>
              </w:rPr>
              <w:t xml:space="preserve">2021, </w:t>
            </w:r>
            <w:r w:rsidRPr="00D8141D">
              <w:rPr>
                <w:rFonts w:eastAsia="Calibri" w:cs="Calibri"/>
                <w:lang w:val="pt-BR"/>
              </w:rPr>
              <w:t>que aprovou o Projeto</w:t>
            </w:r>
            <w:r w:rsidR="00E52581" w:rsidRPr="00D8141D">
              <w:rPr>
                <w:rFonts w:eastAsia="Calibri" w:cs="Calibri"/>
                <w:lang w:val="pt-BR"/>
              </w:rPr>
              <w:t xml:space="preserve"> Capex Usina</w:t>
            </w:r>
            <w:r w:rsidRPr="00D8141D">
              <w:rPr>
                <w:rFonts w:cs="Calibri"/>
                <w:lang w:val="pt-BR"/>
              </w:rPr>
              <w:t xml:space="preserve"> </w:t>
            </w:r>
            <w:r w:rsidRPr="00D8141D">
              <w:rPr>
                <w:rFonts w:eastAsia="Calibri" w:cs="Calibri"/>
                <w:lang w:val="pt-BR"/>
              </w:rPr>
              <w:t>como prioritário.</w:t>
            </w:r>
          </w:p>
        </w:tc>
      </w:tr>
      <w:tr w:rsidR="00BF6CD1" w:rsidRPr="0082022E" w14:paraId="5822DA40" w14:textId="77777777" w:rsidTr="00C033C4">
        <w:tc>
          <w:tcPr>
            <w:tcW w:w="1774" w:type="pct"/>
            <w:shd w:val="clear" w:color="auto" w:fill="auto"/>
            <w:noWrap/>
          </w:tcPr>
          <w:p w14:paraId="7CEC2B15" w14:textId="77777777" w:rsidR="00BF6CD1" w:rsidRPr="00D8141D" w:rsidRDefault="00BF6CD1" w:rsidP="00366E72">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“Portarias </w:t>
            </w:r>
            <w:r w:rsidR="00BF51AD" w:rsidRPr="00D8141D">
              <w:rPr>
                <w:rFonts w:eastAsia="Calibri" w:cs="Calibri"/>
                <w:b/>
                <w:lang w:val="pt-BR"/>
              </w:rPr>
              <w:t>do Ministério de Minas e Energia</w:t>
            </w:r>
            <w:r w:rsidRPr="00D8141D">
              <w:rPr>
                <w:rFonts w:eastAsia="Calibri" w:cs="Calibri"/>
                <w:b/>
                <w:lang w:val="pt-BR"/>
              </w:rPr>
              <w:t>”</w:t>
            </w:r>
          </w:p>
        </w:tc>
        <w:tc>
          <w:tcPr>
            <w:tcW w:w="3226" w:type="pct"/>
            <w:shd w:val="clear" w:color="auto" w:fill="auto"/>
            <w:noWrap/>
          </w:tcPr>
          <w:p w14:paraId="0B3DAD02" w14:textId="77777777" w:rsidR="00BF6CD1" w:rsidRPr="00D8141D" w:rsidRDefault="00BF6CD1" w:rsidP="008D7C7A">
            <w:pPr>
              <w:pStyle w:val="HOMEBRBodyText"/>
              <w:keepLines w:val="0"/>
              <w:widowControl w:val="0"/>
              <w:tabs>
                <w:tab w:val="left" w:pos="690"/>
              </w:tabs>
              <w:spacing w:after="140"/>
              <w:jc w:val="both"/>
              <w:rPr>
                <w:rFonts w:eastAsia="Calibri" w:cs="Calibri"/>
                <w:lang w:val="pt-BR"/>
              </w:rPr>
            </w:pPr>
            <w:r w:rsidRPr="00D8141D">
              <w:rPr>
                <w:rFonts w:eastAsia="Calibri" w:cs="Calibri"/>
                <w:lang w:val="pt-BR"/>
              </w:rPr>
              <w:t xml:space="preserve">A Portaria </w:t>
            </w:r>
            <w:r w:rsidR="00E52581" w:rsidRPr="00D8141D">
              <w:rPr>
                <w:rFonts w:eastAsia="Calibri" w:cs="Calibri"/>
                <w:lang w:val="pt-BR"/>
              </w:rPr>
              <w:t>21</w:t>
            </w:r>
            <w:r w:rsidRPr="00D8141D">
              <w:rPr>
                <w:rFonts w:eastAsia="Calibri" w:cs="Calibri"/>
                <w:lang w:val="pt-BR"/>
              </w:rPr>
              <w:t xml:space="preserve"> e a Portaria </w:t>
            </w:r>
            <w:r w:rsidR="00E52581" w:rsidRPr="00D8141D">
              <w:rPr>
                <w:rFonts w:eastAsia="Calibri" w:cs="Calibri"/>
                <w:lang w:val="pt-BR"/>
              </w:rPr>
              <w:t>35</w:t>
            </w:r>
            <w:r w:rsidRPr="00D8141D">
              <w:rPr>
                <w:rFonts w:eastAsia="Calibri" w:cs="Calibri"/>
                <w:lang w:val="pt-BR"/>
              </w:rPr>
              <w:t>, para enquadramento dos Projetos como prioritários, quando referidas em conjunto.</w:t>
            </w:r>
          </w:p>
        </w:tc>
      </w:tr>
      <w:tr w:rsidR="008170A7" w:rsidRPr="00D8141D" w14:paraId="6C947C74" w14:textId="77777777" w:rsidTr="00FB50F2">
        <w:tc>
          <w:tcPr>
            <w:tcW w:w="1774" w:type="pct"/>
            <w:shd w:val="clear" w:color="auto" w:fill="auto"/>
            <w:noWrap/>
          </w:tcPr>
          <w:p w14:paraId="4C1BAFC0" w14:textId="77777777" w:rsidR="008170A7" w:rsidRPr="00D8141D" w:rsidRDefault="00DB205D">
            <w:pPr>
              <w:pStyle w:val="HOMEBRBodyText"/>
              <w:keepLines w:val="0"/>
              <w:widowControl w:val="0"/>
              <w:spacing w:after="140" w:line="290" w:lineRule="auto"/>
              <w:rPr>
                <w:rFonts w:eastAsia="Calibri" w:cs="Calibri"/>
                <w:b/>
                <w:lang w:val="pt-BR"/>
              </w:rPr>
            </w:pPr>
            <w:r w:rsidRPr="00D8141D">
              <w:rPr>
                <w:rFonts w:eastAsia="Calibri" w:cs="Calibri"/>
                <w:b/>
                <w:lang w:val="pt-BR"/>
              </w:rPr>
              <w:t>“</w:t>
            </w:r>
            <w:r w:rsidRPr="00D8141D">
              <w:rPr>
                <w:rFonts w:cs="Calibri"/>
                <w:b/>
                <w:color w:val="000000"/>
                <w:lang w:val="pt-BR"/>
              </w:rPr>
              <w:t>Prazo de Validade da Garantia Firme”</w:t>
            </w:r>
          </w:p>
        </w:tc>
        <w:tc>
          <w:tcPr>
            <w:tcW w:w="3226" w:type="pct"/>
            <w:shd w:val="clear" w:color="auto" w:fill="auto"/>
            <w:noWrap/>
          </w:tcPr>
          <w:p w14:paraId="5D32452B" w14:textId="77777777" w:rsidR="008170A7" w:rsidRPr="00D8141D" w:rsidRDefault="00DB205D">
            <w:pPr>
              <w:pStyle w:val="HOMEBRBodyText"/>
              <w:keepLines w:val="0"/>
              <w:widowControl w:val="0"/>
              <w:tabs>
                <w:tab w:val="left" w:pos="690"/>
              </w:tabs>
              <w:spacing w:after="140" w:line="290" w:lineRule="auto"/>
              <w:jc w:val="both"/>
              <w:rPr>
                <w:rFonts w:eastAsia="Calibri" w:cs="Calibri"/>
                <w:lang w:val="pt-BR"/>
              </w:rPr>
            </w:pPr>
            <w:r w:rsidRPr="00D8141D">
              <w:rPr>
                <w:rFonts w:cs="Calibri"/>
                <w:color w:val="000000"/>
              </w:rPr>
              <w:t>31 de março de 2022.</w:t>
            </w:r>
          </w:p>
        </w:tc>
      </w:tr>
      <w:tr w:rsidR="00EE7DC7" w:rsidRPr="0082022E" w14:paraId="34FB4918" w14:textId="77777777" w:rsidTr="00FB50F2">
        <w:tc>
          <w:tcPr>
            <w:tcW w:w="1774" w:type="pct"/>
            <w:shd w:val="clear" w:color="auto" w:fill="auto"/>
            <w:noWrap/>
          </w:tcPr>
          <w:p w14:paraId="4CF4E97C" w14:textId="77777777" w:rsidR="00EE7DC7" w:rsidRPr="00D8141D" w:rsidRDefault="00EE7DC7" w:rsidP="004F60BE">
            <w:pPr>
              <w:pStyle w:val="HOMEBRBodyText"/>
              <w:keepLines w:val="0"/>
              <w:widowControl w:val="0"/>
              <w:rPr>
                <w:rFonts w:eastAsia="Calibri" w:cs="Calibri"/>
                <w:b/>
                <w:bCs/>
                <w:lang w:val="pt-BR"/>
              </w:rPr>
            </w:pPr>
            <w:r w:rsidRPr="00D8141D">
              <w:rPr>
                <w:rFonts w:eastAsia="Calibri" w:cs="Calibri"/>
                <w:b/>
                <w:bCs/>
                <w:lang w:val="pt-BR"/>
              </w:rPr>
              <w:t>“Primeiro Aditamento à Escritura de Emissão”</w:t>
            </w:r>
          </w:p>
        </w:tc>
        <w:tc>
          <w:tcPr>
            <w:tcW w:w="3226" w:type="pct"/>
            <w:shd w:val="clear" w:color="auto" w:fill="auto"/>
            <w:noWrap/>
          </w:tcPr>
          <w:p w14:paraId="6AAE1F7F" w14:textId="35EAA5E8" w:rsidR="00EE7DC7" w:rsidRPr="00D8141D" w:rsidRDefault="00EE7DC7" w:rsidP="005275FC">
            <w:pPr>
              <w:pStyle w:val="HOMEBRBodyText"/>
              <w:keepLines w:val="0"/>
              <w:widowControl w:val="0"/>
              <w:tabs>
                <w:tab w:val="left" w:pos="690"/>
              </w:tabs>
              <w:jc w:val="both"/>
              <w:rPr>
                <w:rFonts w:cs="Calibri"/>
                <w:kern w:val="16"/>
                <w:lang w:val="pt-BR"/>
              </w:rPr>
            </w:pPr>
            <w:r w:rsidRPr="00D8141D">
              <w:rPr>
                <w:rFonts w:cs="Calibri"/>
                <w:kern w:val="16"/>
                <w:lang w:val="pt-BR"/>
              </w:rPr>
              <w:t>“</w:t>
            </w:r>
            <w:r w:rsidRPr="00D8141D">
              <w:rPr>
                <w:rFonts w:cs="Calibri"/>
                <w:i/>
                <w:iCs/>
                <w:kern w:val="16"/>
                <w:lang w:val="pt-BR"/>
              </w:rPr>
              <w:t xml:space="preserve">Primeiro Aditamento ao Instrumento Particular da 4ª (Quarta) Emissão de Debêntures Simples, Não Conversíveis em Ações, da Espécie Quirografária, em Duas Séries, para Distribuição Pública, da São Martinho S.A.”, </w:t>
            </w:r>
            <w:r w:rsidRPr="00D8141D">
              <w:rPr>
                <w:rFonts w:cs="Calibri"/>
                <w:kern w:val="16"/>
                <w:lang w:val="pt-BR"/>
              </w:rPr>
              <w:t>celebrado em 17 de janeiro de 2022</w:t>
            </w:r>
            <w:r w:rsidR="00831872" w:rsidRPr="00D8141D">
              <w:rPr>
                <w:rFonts w:cs="Calibri"/>
                <w:kern w:val="16"/>
                <w:lang w:val="pt-BR"/>
              </w:rPr>
              <w:t xml:space="preserve">, entre a Emissora e o Agente Fiduciário, o qual foi </w:t>
            </w:r>
            <w:r w:rsidR="003A6908">
              <w:rPr>
                <w:rFonts w:cs="Calibri"/>
                <w:kern w:val="16"/>
                <w:lang w:val="pt-BR"/>
              </w:rPr>
              <w:t>inscrito</w:t>
            </w:r>
            <w:r w:rsidR="003A6908" w:rsidRPr="00D8141D">
              <w:rPr>
                <w:rFonts w:cs="Calibri"/>
                <w:kern w:val="16"/>
                <w:lang w:val="pt-BR"/>
              </w:rPr>
              <w:t xml:space="preserve"> </w:t>
            </w:r>
            <w:r w:rsidR="00831872" w:rsidRPr="00D8141D">
              <w:rPr>
                <w:rFonts w:cs="Calibri"/>
                <w:kern w:val="16"/>
                <w:lang w:val="pt-BR"/>
              </w:rPr>
              <w:t>na JUCESP</w:t>
            </w:r>
            <w:r w:rsidR="00307A78" w:rsidRPr="00391B20">
              <w:rPr>
                <w:rFonts w:cs="Calibri"/>
                <w:kern w:val="16"/>
                <w:lang w:val="pt-BR" w:eastAsia="pt-BR"/>
              </w:rPr>
              <w:t xml:space="preserve"> </w:t>
            </w:r>
            <w:r w:rsidR="00307A78" w:rsidRPr="003A6908">
              <w:rPr>
                <w:rFonts w:cs="Calibri"/>
                <w:kern w:val="16"/>
                <w:lang w:val="pt-BR" w:eastAsia="pt-BR"/>
              </w:rPr>
              <w:t xml:space="preserve">em </w:t>
            </w:r>
            <w:r w:rsidR="00C80BEC">
              <w:rPr>
                <w:rFonts w:cs="Calibri"/>
                <w:kern w:val="16"/>
                <w:lang w:val="pt-BR" w:eastAsia="pt-BR"/>
              </w:rPr>
              <w:t>24</w:t>
            </w:r>
            <w:r w:rsidR="00C80BEC" w:rsidRPr="00391B20">
              <w:rPr>
                <w:rFonts w:cs="Calibri"/>
                <w:kern w:val="16"/>
                <w:lang w:val="pt-BR" w:eastAsia="pt-BR"/>
              </w:rPr>
              <w:t xml:space="preserve"> </w:t>
            </w:r>
            <w:r w:rsidR="00307A78" w:rsidRPr="00391B20">
              <w:rPr>
                <w:rFonts w:cs="Calibri"/>
                <w:kern w:val="16"/>
                <w:lang w:val="pt-BR" w:eastAsia="pt-BR"/>
              </w:rPr>
              <w:t xml:space="preserve">de </w:t>
            </w:r>
            <w:r w:rsidR="00C80BEC">
              <w:rPr>
                <w:rFonts w:cs="Calibri"/>
                <w:kern w:val="16"/>
                <w:lang w:val="pt-BR" w:eastAsia="pt-BR"/>
              </w:rPr>
              <w:t>fevereiro</w:t>
            </w:r>
            <w:r w:rsidR="00C80BEC" w:rsidRPr="00391B20">
              <w:rPr>
                <w:rFonts w:cs="Calibri"/>
                <w:kern w:val="16"/>
                <w:lang w:val="pt-BR" w:eastAsia="pt-BR"/>
              </w:rPr>
              <w:t xml:space="preserve"> </w:t>
            </w:r>
            <w:r w:rsidR="00307A78" w:rsidRPr="00391B20">
              <w:rPr>
                <w:rFonts w:cs="Calibri"/>
                <w:kern w:val="16"/>
                <w:lang w:val="pt-BR" w:eastAsia="pt-BR"/>
              </w:rPr>
              <w:t xml:space="preserve">de 2022 sob o nº </w:t>
            </w:r>
            <w:r w:rsidR="00C80BEC" w:rsidRPr="00C80BEC">
              <w:rPr>
                <w:rFonts w:cs="Calibri"/>
                <w:kern w:val="16"/>
                <w:lang w:val="pt-BR" w:eastAsia="pt-BR"/>
              </w:rPr>
              <w:t>AD004311-4/001.</w:t>
            </w:r>
            <w:r w:rsidR="00831872" w:rsidRPr="00D8141D">
              <w:rPr>
                <w:rFonts w:cs="Calibri"/>
                <w:kern w:val="16"/>
                <w:lang w:val="pt-BR"/>
              </w:rPr>
              <w:t xml:space="preserve"> O Primeiro Aditamento à Escritura de Emissão, encontra-se anexo ao presente Prospecto na forma do Anexo </w:t>
            </w:r>
            <w:r w:rsidR="00845FDD">
              <w:rPr>
                <w:rFonts w:cs="Calibri"/>
                <w:kern w:val="16"/>
                <w:lang w:val="pt-BR"/>
              </w:rPr>
              <w:t>B</w:t>
            </w:r>
            <w:r w:rsidR="00831872" w:rsidRPr="00D8141D">
              <w:rPr>
                <w:rFonts w:cs="Calibri"/>
                <w:kern w:val="16"/>
                <w:lang w:val="pt-BR"/>
              </w:rPr>
              <w:t>.</w:t>
            </w:r>
          </w:p>
        </w:tc>
      </w:tr>
    </w:tbl>
    <w:p w14:paraId="7111A3E9" w14:textId="77777777" w:rsidR="00566CD3" w:rsidRDefault="00566CD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5"/>
        <w:gridCol w:w="5666"/>
      </w:tblGrid>
      <w:tr w:rsidR="00D84F74" w:rsidRPr="0082022E" w14:paraId="7BB54637" w14:textId="77777777" w:rsidTr="00FB50F2">
        <w:tc>
          <w:tcPr>
            <w:tcW w:w="1774" w:type="pct"/>
            <w:shd w:val="clear" w:color="auto" w:fill="auto"/>
            <w:noWrap/>
          </w:tcPr>
          <w:p w14:paraId="272FDE29" w14:textId="3BCE369B" w:rsidR="00D84F74" w:rsidRPr="00D8141D" w:rsidRDefault="00D84F74" w:rsidP="004F60BE">
            <w:pPr>
              <w:pStyle w:val="HOMEBRBodyText"/>
              <w:keepLines w:val="0"/>
              <w:widowControl w:val="0"/>
              <w:rPr>
                <w:rFonts w:eastAsia="Calibri" w:cs="Calibri"/>
                <w:b/>
                <w:bCs/>
                <w:lang w:val="pt-BR"/>
              </w:rPr>
            </w:pPr>
            <w:r w:rsidRPr="00D8141D">
              <w:rPr>
                <w:rFonts w:eastAsia="Calibri" w:cs="Calibri"/>
                <w:b/>
                <w:bCs/>
                <w:lang w:val="pt-BR"/>
              </w:rPr>
              <w:lastRenderedPageBreak/>
              <w:t>“Primeiro Aditamento ao Contrato de Distribuição”</w:t>
            </w:r>
          </w:p>
        </w:tc>
        <w:tc>
          <w:tcPr>
            <w:tcW w:w="3226" w:type="pct"/>
            <w:shd w:val="clear" w:color="auto" w:fill="auto"/>
            <w:noWrap/>
          </w:tcPr>
          <w:p w14:paraId="726A8676" w14:textId="3693B9F9" w:rsidR="00D84F74" w:rsidRPr="00D8141D" w:rsidRDefault="002310F6" w:rsidP="005275FC">
            <w:pPr>
              <w:pStyle w:val="HOMEBRBodyText"/>
              <w:keepLines w:val="0"/>
              <w:widowControl w:val="0"/>
              <w:tabs>
                <w:tab w:val="left" w:pos="690"/>
              </w:tabs>
              <w:jc w:val="both"/>
              <w:rPr>
                <w:rFonts w:cs="Calibri"/>
                <w:color w:val="000000"/>
              </w:rPr>
            </w:pPr>
            <w:r w:rsidRPr="00D8141D">
              <w:rPr>
                <w:rFonts w:cs="Calibri"/>
                <w:kern w:val="16"/>
                <w:lang w:val="pt-BR"/>
              </w:rPr>
              <w:t>“</w:t>
            </w:r>
            <w:r w:rsidRPr="00D8141D">
              <w:rPr>
                <w:rFonts w:cs="Calibri"/>
                <w:i/>
                <w:iCs/>
                <w:kern w:val="16"/>
                <w:lang w:val="pt-BR"/>
              </w:rPr>
              <w:t>Primeiro Aditamento ao</w:t>
            </w:r>
            <w:r w:rsidRPr="00D8141D">
              <w:rPr>
                <w:rFonts w:cs="Calibri"/>
                <w:kern w:val="16"/>
                <w:lang w:val="pt-BR"/>
              </w:rPr>
              <w:t xml:space="preserve"> </w:t>
            </w:r>
            <w:r w:rsidRPr="00D8141D">
              <w:rPr>
                <w:rFonts w:cs="Calibri"/>
                <w:i/>
                <w:kern w:val="16"/>
                <w:lang w:val="pt-BR"/>
              </w:rPr>
              <w:t>Contrato de Coordenação, Colocação e Distribuição Pública, sob o Regime de Garantia Firme de Colocação, de Debêntures Simples, Não Conversíveis em Ações, da Espécie Quirografária, em até Duas Séries, da 4ª (quarta) Emissão da São Martinho S.A.</w:t>
            </w:r>
            <w:r w:rsidRPr="00D8141D">
              <w:rPr>
                <w:rFonts w:cs="Calibri"/>
                <w:lang w:val="pt-BR"/>
              </w:rPr>
              <w:t>”</w:t>
            </w:r>
            <w:r w:rsidRPr="00D8141D">
              <w:rPr>
                <w:rFonts w:eastAsia="Calibri" w:cs="Calibri"/>
                <w:lang w:val="pt-BR"/>
              </w:rPr>
              <w:t xml:space="preserve">, celebrado em 22 de </w:t>
            </w:r>
            <w:r w:rsidRPr="00D8141D">
              <w:rPr>
                <w:rFonts w:cs="Calibri"/>
                <w:lang w:val="pt-BR"/>
              </w:rPr>
              <w:t>dezembro</w:t>
            </w:r>
            <w:r w:rsidRPr="00D8141D">
              <w:rPr>
                <w:rFonts w:eastAsia="Calibri" w:cs="Calibri"/>
                <w:lang w:val="pt-BR"/>
              </w:rPr>
              <w:t xml:space="preserve"> de </w:t>
            </w:r>
            <w:r w:rsidRPr="00D8141D">
              <w:rPr>
                <w:rFonts w:cs="Calibri"/>
                <w:lang w:val="pt-BR"/>
              </w:rPr>
              <w:t>2021</w:t>
            </w:r>
            <w:r w:rsidRPr="00D8141D">
              <w:rPr>
                <w:rFonts w:eastAsia="Calibri" w:cs="Calibri"/>
                <w:lang w:val="pt-BR"/>
              </w:rPr>
              <w:t>, entre a Emissora e o Coordenador Líder.</w:t>
            </w:r>
          </w:p>
        </w:tc>
      </w:tr>
      <w:tr w:rsidR="008C76E3" w:rsidRPr="0082022E" w14:paraId="430CE3C3" w14:textId="77777777" w:rsidTr="00C033C4">
        <w:tc>
          <w:tcPr>
            <w:tcW w:w="1774" w:type="pct"/>
            <w:shd w:val="clear" w:color="auto" w:fill="auto"/>
            <w:noWrap/>
          </w:tcPr>
          <w:p w14:paraId="0258DB05" w14:textId="77777777" w:rsidR="008C76E3" w:rsidRPr="00D8141D" w:rsidRDefault="008C76E3" w:rsidP="008C76E3">
            <w:pPr>
              <w:pStyle w:val="HOMEBRBodyText"/>
              <w:keepLines w:val="0"/>
              <w:widowControl w:val="0"/>
              <w:spacing w:after="140" w:line="290" w:lineRule="auto"/>
              <w:rPr>
                <w:rFonts w:eastAsia="Calibri" w:cs="Calibri"/>
                <w:b/>
                <w:lang w:val="pt-BR"/>
              </w:rPr>
            </w:pPr>
            <w:bookmarkStart w:id="12" w:name="_Hlk92975456"/>
            <w:r w:rsidRPr="00D8141D">
              <w:rPr>
                <w:rFonts w:eastAsia="Calibri" w:cs="Calibri"/>
                <w:b/>
                <w:lang w:val="pt-BR"/>
              </w:rPr>
              <w:t xml:space="preserve">“Procedimento de Coleta de Intenções de Investimentos” ou “Procedimento de </w:t>
            </w:r>
            <w:r w:rsidRPr="00D8141D">
              <w:rPr>
                <w:rFonts w:eastAsia="Calibri" w:cs="Calibri"/>
                <w:b/>
                <w:i/>
                <w:lang w:val="pt-BR"/>
              </w:rPr>
              <w:t>Bookbuilding”</w:t>
            </w:r>
          </w:p>
        </w:tc>
        <w:tc>
          <w:tcPr>
            <w:tcW w:w="3226" w:type="pct"/>
            <w:shd w:val="clear" w:color="auto" w:fill="auto"/>
            <w:noWrap/>
          </w:tcPr>
          <w:p w14:paraId="25D70930" w14:textId="77777777" w:rsidR="008C76E3" w:rsidRPr="00566CD3" w:rsidRDefault="008C76E3" w:rsidP="008C76E3">
            <w:pPr>
              <w:pStyle w:val="Body"/>
              <w:jc w:val="both"/>
              <w:rPr>
                <w:spacing w:val="-6"/>
              </w:rPr>
            </w:pPr>
            <w:r w:rsidRPr="00566CD3">
              <w:rPr>
                <w:spacing w:val="-6"/>
              </w:rPr>
              <w:t xml:space="preserve">Procedimento de coleta de intenções de investimento, organizado pelo Coordenador Líder, realizado em 14 de janeiro de 2022, nos termos dos parágrafos 1º e 2º do artigo 23 e do artigo 44 da Instrução CVM 400, com recebimento de reservas durante o Período de Reserva, sem lotes mínimos ou máximos, para verificação da demanda pelas Debêntures em diferentes níveis de </w:t>
            </w:r>
            <w:r w:rsidRPr="00566CD3">
              <w:t>taxa</w:t>
            </w:r>
            <w:r w:rsidRPr="00566CD3">
              <w:rPr>
                <w:spacing w:val="-6"/>
              </w:rPr>
              <w:t xml:space="preserve"> de juros, que definiu, de comum acordo com a Emissora: </w:t>
            </w:r>
          </w:p>
          <w:p w14:paraId="45883D06" w14:textId="70D48C5C" w:rsidR="008C76E3" w:rsidRPr="00566CD3" w:rsidRDefault="008C76E3" w:rsidP="008C76E3">
            <w:pPr>
              <w:pStyle w:val="Level5"/>
              <w:numPr>
                <w:ilvl w:val="0"/>
                <w:numId w:val="43"/>
              </w:numPr>
              <w:spacing w:after="140" w:line="290" w:lineRule="auto"/>
              <w:ind w:left="1074" w:hanging="709"/>
              <w:jc w:val="both"/>
              <w:rPr>
                <w:spacing w:val="-6"/>
              </w:rPr>
            </w:pPr>
            <w:r w:rsidRPr="00566CD3">
              <w:rPr>
                <w:spacing w:val="-6"/>
              </w:rPr>
              <w:t>a existência de demanda para a colocação da totalidade das Debêntures, considerando as Debêntures Adicionais, e definiu sobre a realização da Emissão em 2 (duas) séries;</w:t>
            </w:r>
          </w:p>
          <w:p w14:paraId="1699DDB5" w14:textId="77777777" w:rsidR="008C76E3" w:rsidRPr="00566CD3" w:rsidRDefault="008C76E3" w:rsidP="008C76E3">
            <w:pPr>
              <w:pStyle w:val="Level5"/>
              <w:numPr>
                <w:ilvl w:val="0"/>
                <w:numId w:val="43"/>
              </w:numPr>
              <w:spacing w:after="140" w:line="290" w:lineRule="auto"/>
              <w:ind w:left="1074" w:hanging="709"/>
              <w:jc w:val="both"/>
              <w:rPr>
                <w:spacing w:val="-6"/>
              </w:rPr>
            </w:pPr>
            <w:r w:rsidRPr="00566CD3">
              <w:rPr>
                <w:spacing w:val="-6"/>
              </w:rPr>
              <w:t>a emissão e a quantidade de Debêntures da Primeira Série e de Debêntures da Segunda Série;</w:t>
            </w:r>
          </w:p>
          <w:p w14:paraId="27DB2A05" w14:textId="77777777" w:rsidR="008C76E3" w:rsidRPr="00566CD3" w:rsidRDefault="008C76E3" w:rsidP="008C76E3">
            <w:pPr>
              <w:pStyle w:val="Level5"/>
              <w:numPr>
                <w:ilvl w:val="0"/>
                <w:numId w:val="43"/>
              </w:numPr>
              <w:spacing w:after="140" w:line="290" w:lineRule="auto"/>
              <w:ind w:left="1074" w:hanging="709"/>
              <w:jc w:val="both"/>
              <w:rPr>
                <w:spacing w:val="-6"/>
              </w:rPr>
            </w:pPr>
            <w:r w:rsidRPr="00566CD3">
              <w:rPr>
                <w:spacing w:val="-6"/>
              </w:rPr>
              <w:t>a taxa final dos Juros Remuneratórios da Primeira Série;</w:t>
            </w:r>
          </w:p>
          <w:p w14:paraId="506ECDFF" w14:textId="77777777" w:rsidR="005275FC" w:rsidRPr="005275FC" w:rsidRDefault="008C76E3" w:rsidP="008C76E3">
            <w:pPr>
              <w:pStyle w:val="Level5"/>
              <w:numPr>
                <w:ilvl w:val="0"/>
                <w:numId w:val="43"/>
              </w:numPr>
              <w:spacing w:after="140" w:line="290" w:lineRule="auto"/>
              <w:ind w:left="1074" w:hanging="709"/>
              <w:jc w:val="both"/>
              <w:rPr>
                <w:spacing w:val="-6"/>
                <w:sz w:val="24"/>
              </w:rPr>
            </w:pPr>
            <w:r w:rsidRPr="00566CD3">
              <w:rPr>
                <w:spacing w:val="-6"/>
              </w:rPr>
              <w:t>a taxa final dos Juros Remuneratórios da Segunda Série;</w:t>
            </w:r>
          </w:p>
          <w:p w14:paraId="5E566214" w14:textId="2519AC25" w:rsidR="008C76E3" w:rsidRPr="00566CD3" w:rsidRDefault="008C76E3" w:rsidP="008C76E3">
            <w:pPr>
              <w:pStyle w:val="Level5"/>
              <w:numPr>
                <w:ilvl w:val="0"/>
                <w:numId w:val="43"/>
              </w:numPr>
              <w:ind w:left="1074" w:hanging="709"/>
              <w:rPr>
                <w:spacing w:val="-6"/>
              </w:rPr>
            </w:pPr>
            <w:r w:rsidRPr="00566CD3">
              <w:rPr>
                <w:spacing w:val="-6"/>
              </w:rPr>
              <w:t>a colocação das Debêntures Adicionais, bem como as respectivas séries nas quais foram alocadas as Debêntures Adicionais e, consequentemente, a quantidade de Debêntures alocada em cada uma das Séries; e</w:t>
            </w:r>
          </w:p>
          <w:p w14:paraId="32FD8610" w14:textId="77777777" w:rsidR="008C76E3" w:rsidRPr="00566CD3" w:rsidRDefault="008C76E3" w:rsidP="008C76E3">
            <w:pPr>
              <w:pStyle w:val="Level5"/>
              <w:numPr>
                <w:ilvl w:val="0"/>
                <w:numId w:val="43"/>
              </w:numPr>
              <w:spacing w:after="140" w:line="290" w:lineRule="auto"/>
              <w:ind w:left="1074" w:hanging="709"/>
              <w:jc w:val="both"/>
              <w:rPr>
                <w:spacing w:val="-6"/>
              </w:rPr>
            </w:pPr>
            <w:r w:rsidRPr="00566CD3">
              <w:rPr>
                <w:spacing w:val="-6"/>
              </w:rPr>
              <w:t>a alocação das Debêntures entre os Investidores da Oferta.</w:t>
            </w:r>
          </w:p>
        </w:tc>
      </w:tr>
      <w:bookmarkEnd w:id="12"/>
      <w:tr w:rsidR="008C76E3" w:rsidRPr="0082022E" w14:paraId="4063FD19" w14:textId="77777777" w:rsidTr="00C033C4">
        <w:tc>
          <w:tcPr>
            <w:tcW w:w="1774" w:type="pct"/>
            <w:shd w:val="clear" w:color="auto" w:fill="auto"/>
            <w:noWrap/>
          </w:tcPr>
          <w:p w14:paraId="608A8269"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“Preço de Subscrição”</w:t>
            </w:r>
          </w:p>
        </w:tc>
        <w:tc>
          <w:tcPr>
            <w:tcW w:w="3226" w:type="pct"/>
            <w:shd w:val="clear" w:color="auto" w:fill="auto"/>
            <w:noWrap/>
          </w:tcPr>
          <w:p w14:paraId="3CB9D66E" w14:textId="77777777" w:rsidR="008C76E3" w:rsidRPr="00D8141D" w:rsidRDefault="008C76E3" w:rsidP="008C76E3">
            <w:pPr>
              <w:pStyle w:val="HOMEBRBodyText"/>
              <w:keepLines w:val="0"/>
              <w:widowControl w:val="0"/>
              <w:tabs>
                <w:tab w:val="left" w:pos="690"/>
              </w:tabs>
              <w:spacing w:after="140" w:line="290" w:lineRule="auto"/>
              <w:jc w:val="both"/>
              <w:rPr>
                <w:rFonts w:eastAsia="Calibri" w:cs="Calibri"/>
                <w:lang w:val="pt-BR"/>
              </w:rPr>
            </w:pPr>
            <w:r w:rsidRPr="00D8141D">
              <w:rPr>
                <w:rFonts w:cs="Calibri"/>
                <w:lang w:val="pt-BR"/>
              </w:rPr>
              <w:t xml:space="preserve">O preço de subscrição de cada uma das Debêntures na Primeira Data de Integralização será o seu Valor Nominal Unitário (conforme abaixo definido) e, caso ocorra a subscrição e integralização das Debênture em mais de uma data, o preço de subscrição para as Debêntures que forem integralizadas </w:t>
            </w:r>
            <w:r w:rsidRPr="00D8141D">
              <w:rPr>
                <w:rFonts w:cs="Calibri"/>
                <w:lang w:val="pt-BR"/>
              </w:rPr>
              <w:lastRenderedPageBreak/>
              <w:t xml:space="preserve">após a Primeira Data de Integralização será o Valor Nominal </w:t>
            </w:r>
            <w:r>
              <w:rPr>
                <w:lang w:val="pt-BR"/>
              </w:rPr>
              <w:t xml:space="preserve">Unitário </w:t>
            </w:r>
            <w:r w:rsidRPr="00D8141D">
              <w:rPr>
                <w:rFonts w:cs="Calibri"/>
                <w:lang w:val="pt-BR"/>
              </w:rPr>
              <w:t xml:space="preserve">Atualizado das Debêntures acrescido dos Juros Remuneratórios da respectiva Série, calculados </w:t>
            </w:r>
            <w:r w:rsidRPr="00D8141D">
              <w:rPr>
                <w:rFonts w:cs="Calibri"/>
                <w:i/>
                <w:iCs/>
                <w:lang w:val="pt-BR"/>
              </w:rPr>
              <w:t>pro rata temporis</w:t>
            </w:r>
            <w:r w:rsidRPr="00D8141D">
              <w:rPr>
                <w:rFonts w:cs="Calibri"/>
                <w:lang w:val="pt-BR"/>
              </w:rPr>
              <w:t xml:space="preserve"> desde a Primeira Data de Integralização (inclusive), até a data de sua efetiva integralização (exclusive).</w:t>
            </w:r>
          </w:p>
        </w:tc>
      </w:tr>
      <w:tr w:rsidR="008C76E3" w:rsidRPr="0082022E" w14:paraId="49D9A523" w14:textId="77777777" w:rsidTr="00C033C4">
        <w:tc>
          <w:tcPr>
            <w:tcW w:w="1774" w:type="pct"/>
            <w:shd w:val="clear" w:color="auto" w:fill="auto"/>
            <w:noWrap/>
          </w:tcPr>
          <w:p w14:paraId="56F17854"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“Projetos de Investimento”</w:t>
            </w:r>
          </w:p>
        </w:tc>
        <w:tc>
          <w:tcPr>
            <w:tcW w:w="3226" w:type="pct"/>
            <w:shd w:val="clear" w:color="auto" w:fill="auto"/>
            <w:noWrap/>
          </w:tcPr>
          <w:p w14:paraId="08A21CF7" w14:textId="77777777" w:rsidR="008C76E3" w:rsidRPr="00D8141D" w:rsidRDefault="008C76E3" w:rsidP="008C76E3">
            <w:pPr>
              <w:pStyle w:val="HOMEBRBodyText"/>
              <w:keepLines w:val="0"/>
              <w:widowControl w:val="0"/>
              <w:numPr>
                <w:ilvl w:val="0"/>
                <w:numId w:val="55"/>
              </w:numPr>
              <w:tabs>
                <w:tab w:val="left" w:pos="365"/>
              </w:tabs>
              <w:spacing w:after="140" w:line="290" w:lineRule="auto"/>
              <w:ind w:left="0" w:firstLine="0"/>
              <w:jc w:val="both"/>
              <w:rPr>
                <w:rFonts w:cs="Calibri"/>
                <w:spacing w:val="-6"/>
                <w:lang w:val="pt-BR"/>
              </w:rPr>
            </w:pPr>
            <w:r w:rsidRPr="00D8141D">
              <w:rPr>
                <w:rFonts w:cs="Calibri"/>
                <w:spacing w:val="-6"/>
                <w:lang w:val="pt-BR"/>
              </w:rPr>
              <w:t>projeto de investimento na atividade de produção e estocagem de biocombustíveis e da sua biomassa denominado “Capex de Manutenção e Melhoria Operacional para produção de biocombustível na Usina Boa Vista” (“</w:t>
            </w:r>
            <w:r w:rsidRPr="00D8141D">
              <w:rPr>
                <w:rFonts w:cs="Calibri"/>
                <w:spacing w:val="-6"/>
                <w:u w:val="single"/>
                <w:lang w:val="pt-BR"/>
              </w:rPr>
              <w:t>Projeto Capex Boa Vista</w:t>
            </w:r>
            <w:r w:rsidRPr="00D8141D">
              <w:rPr>
                <w:rFonts w:cs="Calibri"/>
                <w:spacing w:val="-6"/>
                <w:lang w:val="pt-BR"/>
              </w:rPr>
              <w:t>”); e</w:t>
            </w:r>
          </w:p>
          <w:p w14:paraId="4E3DD92A" w14:textId="77777777" w:rsidR="008C76E3" w:rsidRPr="00566CD3" w:rsidRDefault="008C76E3" w:rsidP="008C76E3">
            <w:pPr>
              <w:pStyle w:val="Level2"/>
              <w:widowControl w:val="0"/>
              <w:numPr>
                <w:ilvl w:val="0"/>
                <w:numId w:val="55"/>
              </w:numPr>
              <w:tabs>
                <w:tab w:val="left" w:pos="365"/>
              </w:tabs>
              <w:spacing w:after="140" w:line="290" w:lineRule="auto"/>
              <w:ind w:left="0" w:firstLine="0"/>
              <w:jc w:val="both"/>
            </w:pPr>
            <w:r w:rsidRPr="00566CD3">
              <w:t>projeto de investimento na atividade de produção de biocombustíveis e da sua biomassa denominado “Capex de manutenção para produção de Biocombustível na Usina São Martinho, Usina Santa Cruz e Usina Iracema” (“</w:t>
            </w:r>
            <w:r w:rsidRPr="00566CD3">
              <w:rPr>
                <w:u w:val="single"/>
              </w:rPr>
              <w:t>Projeto Capex Usinas</w:t>
            </w:r>
            <w:r w:rsidRPr="00566CD3">
              <w:t>” e, em conjunto com o Projeto Capex Boa Vista, os “</w:t>
            </w:r>
            <w:r w:rsidRPr="00566CD3">
              <w:rPr>
                <w:u w:val="single"/>
              </w:rPr>
              <w:t>Projetos de Investimento</w:t>
            </w:r>
            <w:r w:rsidRPr="00566CD3">
              <w:t>”).</w:t>
            </w:r>
          </w:p>
          <w:p w14:paraId="35C10B42" w14:textId="68E00BEF" w:rsidR="008C76E3" w:rsidRPr="00D8141D" w:rsidRDefault="008C76E3" w:rsidP="008C76E3">
            <w:pPr>
              <w:pStyle w:val="HOMEBRBodyText"/>
              <w:keepLines w:val="0"/>
              <w:widowControl w:val="0"/>
              <w:tabs>
                <w:tab w:val="left" w:pos="690"/>
              </w:tabs>
              <w:spacing w:after="140" w:line="290" w:lineRule="auto"/>
              <w:jc w:val="both"/>
              <w:rPr>
                <w:rFonts w:eastAsia="Calibri" w:cs="Calibri"/>
                <w:lang w:val="pt-BR"/>
              </w:rPr>
            </w:pPr>
            <w:r w:rsidRPr="00D8141D">
              <w:rPr>
                <w:rFonts w:eastAsia="Calibri" w:cs="Calibri"/>
                <w:b/>
                <w:lang w:val="pt-BR"/>
              </w:rPr>
              <w:t xml:space="preserve">Para mais informações sobre os Projetos de Investimentos e a destinação dos recursos das Debêntures, veja a seção “Destinação dos Recursos”, na página </w:t>
            </w:r>
            <w:r w:rsidRPr="00D8141D">
              <w:rPr>
                <w:rFonts w:eastAsia="Calibri" w:cs="Calibri"/>
                <w:b/>
                <w:lang w:val="pt-BR"/>
              </w:rPr>
              <w:fldChar w:fldCharType="begin"/>
            </w:r>
            <w:r w:rsidRPr="00D8141D">
              <w:rPr>
                <w:rFonts w:eastAsia="Calibri" w:cs="Calibri"/>
                <w:b/>
                <w:lang w:val="pt-BR"/>
              </w:rPr>
              <w:instrText xml:space="preserve"> PAGEREF _Ref90229395 \h </w:instrText>
            </w:r>
            <w:r w:rsidRPr="00D8141D">
              <w:rPr>
                <w:rFonts w:eastAsia="Calibri" w:cs="Calibri"/>
                <w:b/>
                <w:lang w:val="pt-BR"/>
              </w:rPr>
            </w:r>
            <w:r w:rsidRPr="00D8141D">
              <w:rPr>
                <w:rFonts w:eastAsia="Calibri" w:cs="Calibri"/>
                <w:b/>
                <w:lang w:val="pt-BR"/>
              </w:rPr>
              <w:fldChar w:fldCharType="separate"/>
            </w:r>
            <w:r w:rsidR="001166EA">
              <w:rPr>
                <w:rFonts w:eastAsia="Calibri" w:cs="Calibri"/>
                <w:b/>
                <w:noProof/>
                <w:lang w:val="pt-BR"/>
              </w:rPr>
              <w:t>145</w:t>
            </w:r>
            <w:r w:rsidRPr="00D8141D">
              <w:rPr>
                <w:rFonts w:eastAsia="Calibri" w:cs="Calibri"/>
                <w:b/>
                <w:lang w:val="pt-BR"/>
              </w:rPr>
              <w:fldChar w:fldCharType="end"/>
            </w:r>
            <w:r w:rsidRPr="00D8141D">
              <w:rPr>
                <w:rFonts w:eastAsia="Calibri" w:cs="Calibri"/>
                <w:b/>
                <w:lang w:val="pt-BR"/>
              </w:rPr>
              <w:t xml:space="preserve"> deste Prospecto.</w:t>
            </w:r>
          </w:p>
        </w:tc>
      </w:tr>
      <w:tr w:rsidR="008C76E3" w:rsidRPr="0082022E" w14:paraId="3D01339C" w14:textId="77777777" w:rsidTr="00C033C4">
        <w:tc>
          <w:tcPr>
            <w:tcW w:w="1774" w:type="pct"/>
            <w:shd w:val="clear" w:color="auto" w:fill="auto"/>
            <w:noWrap/>
          </w:tcPr>
          <w:p w14:paraId="3DA11877"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“Prospecto Preliminar” </w:t>
            </w:r>
          </w:p>
        </w:tc>
        <w:tc>
          <w:tcPr>
            <w:tcW w:w="3226" w:type="pct"/>
            <w:shd w:val="clear" w:color="auto" w:fill="auto"/>
            <w:noWrap/>
          </w:tcPr>
          <w:p w14:paraId="68346485" w14:textId="77777777" w:rsidR="008C76E3" w:rsidRPr="00D8141D" w:rsidRDefault="008C76E3" w:rsidP="008C76E3">
            <w:pPr>
              <w:pStyle w:val="HOMEBRBodyText"/>
              <w:keepLines w:val="0"/>
              <w:widowControl w:val="0"/>
              <w:tabs>
                <w:tab w:val="left" w:pos="690"/>
              </w:tabs>
              <w:spacing w:after="140" w:line="290" w:lineRule="auto"/>
              <w:jc w:val="both"/>
              <w:rPr>
                <w:rFonts w:cs="Calibri"/>
                <w:lang w:val="pt-BR"/>
              </w:rPr>
            </w:pPr>
            <w:r w:rsidRPr="00391B20">
              <w:rPr>
                <w:rFonts w:eastAsia="Calibri" w:cs="Calibri"/>
                <w:lang w:val="pt-BR"/>
              </w:rPr>
              <w:t>O</w:t>
            </w:r>
            <w:r w:rsidRPr="00D8141D">
              <w:rPr>
                <w:rFonts w:eastAsia="Calibri" w:cs="Calibri"/>
                <w:lang w:val="pt-BR"/>
              </w:rPr>
              <w:t xml:space="preserve"> “</w:t>
            </w:r>
            <w:r w:rsidRPr="00D8141D">
              <w:rPr>
                <w:rFonts w:eastAsia="Calibri" w:cs="Calibri"/>
                <w:i/>
                <w:lang w:val="pt-BR"/>
              </w:rPr>
              <w:t>Prospecto Preliminar da Oferta Pública de Distribuição de Debêntures Simples, Não Conversíveis em Ações, da Espécie Quirografária, em Duas Séries, da 4ª (Quarta) Emissão da São Martinho S.A.</w:t>
            </w:r>
            <w:r w:rsidRPr="00D8141D">
              <w:rPr>
                <w:rFonts w:eastAsia="Calibri" w:cs="Calibri"/>
                <w:lang w:val="pt-BR"/>
              </w:rPr>
              <w:t>”, incluindo seus anexos e documentos a ele incorporados por referência.</w:t>
            </w:r>
          </w:p>
        </w:tc>
      </w:tr>
      <w:tr w:rsidR="008C76E3" w:rsidRPr="0082022E" w14:paraId="543D7597" w14:textId="77777777" w:rsidTr="00C033C4">
        <w:tc>
          <w:tcPr>
            <w:tcW w:w="1774" w:type="pct"/>
            <w:shd w:val="clear" w:color="auto" w:fill="auto"/>
            <w:noWrap/>
          </w:tcPr>
          <w:p w14:paraId="7225B3B9" w14:textId="77777777" w:rsidR="008C76E3" w:rsidRPr="00391B20" w:rsidRDefault="008C76E3" w:rsidP="008C76E3">
            <w:pPr>
              <w:pStyle w:val="HOMEBRBodyText"/>
              <w:widowControl w:val="0"/>
              <w:rPr>
                <w:rFonts w:eastAsia="Calibri" w:cs="Calibri"/>
                <w:b/>
                <w:lang w:eastAsia="pt-BR"/>
              </w:rPr>
            </w:pPr>
            <w:r w:rsidRPr="00D8141D">
              <w:rPr>
                <w:rFonts w:eastAsia="Calibri" w:cs="Calibri"/>
                <w:b/>
                <w:lang w:val="pt-BR"/>
              </w:rPr>
              <w:t>“Prospecto Definitivo”</w:t>
            </w:r>
            <w:r w:rsidRPr="00391B20">
              <w:rPr>
                <w:rFonts w:eastAsia="Calibri" w:cs="Calibri"/>
                <w:b/>
                <w:lang w:val="pt-BR" w:eastAsia="pt-BR"/>
              </w:rPr>
              <w:t xml:space="preserve"> ou “Prospecto”</w:t>
            </w:r>
          </w:p>
          <w:p w14:paraId="2B6CA80F" w14:textId="77777777" w:rsidR="008C76E3" w:rsidRPr="00D8141D" w:rsidRDefault="008C76E3" w:rsidP="008C76E3">
            <w:pPr>
              <w:pStyle w:val="HOMEBRBodyText"/>
              <w:keepLines w:val="0"/>
              <w:widowControl w:val="0"/>
              <w:spacing w:after="140" w:line="290" w:lineRule="auto"/>
              <w:rPr>
                <w:rFonts w:eastAsia="Calibri" w:cs="Calibri"/>
                <w:b/>
                <w:lang w:val="pt-BR"/>
              </w:rPr>
            </w:pPr>
          </w:p>
        </w:tc>
        <w:tc>
          <w:tcPr>
            <w:tcW w:w="3226" w:type="pct"/>
            <w:shd w:val="clear" w:color="auto" w:fill="auto"/>
            <w:noWrap/>
          </w:tcPr>
          <w:p w14:paraId="02781800" w14:textId="77777777" w:rsidR="008C76E3" w:rsidRPr="00D8141D" w:rsidRDefault="008C76E3" w:rsidP="008C76E3">
            <w:pPr>
              <w:pStyle w:val="HOMEBRBodyText"/>
              <w:keepLines w:val="0"/>
              <w:widowControl w:val="0"/>
              <w:tabs>
                <w:tab w:val="left" w:pos="690"/>
              </w:tabs>
              <w:spacing w:after="140" w:line="290" w:lineRule="auto"/>
              <w:jc w:val="both"/>
              <w:rPr>
                <w:rFonts w:cs="Calibri"/>
                <w:lang w:val="pt-BR"/>
              </w:rPr>
            </w:pPr>
            <w:r w:rsidRPr="00391B20">
              <w:rPr>
                <w:rFonts w:eastAsia="Calibri" w:cs="Calibri"/>
                <w:lang w:val="pt-BR"/>
              </w:rPr>
              <w:t>Este</w:t>
            </w:r>
            <w:r w:rsidRPr="00D8141D">
              <w:rPr>
                <w:rFonts w:eastAsia="Calibri" w:cs="Calibri"/>
                <w:lang w:val="pt-BR"/>
              </w:rPr>
              <w:t xml:space="preserve"> “</w:t>
            </w:r>
            <w:r w:rsidRPr="00D8141D">
              <w:rPr>
                <w:rFonts w:eastAsia="Calibri" w:cs="Calibri"/>
                <w:i/>
                <w:lang w:val="pt-BR"/>
              </w:rPr>
              <w:t>Prospecto Definitivo da Oferta Pública de Distribuição de Debêntures Simples, Não Conversíveis em Ações, da Espécie Quirografária, em Duas Séries, da 4ª (Quarta) Emissão da São Martinho S.A..</w:t>
            </w:r>
            <w:r w:rsidRPr="00D8141D">
              <w:rPr>
                <w:rFonts w:eastAsia="Calibri" w:cs="Calibri"/>
                <w:lang w:val="pt-BR"/>
              </w:rPr>
              <w:t>”, incluindo seus anexos e documentos a ele incorporados por referência.</w:t>
            </w:r>
          </w:p>
        </w:tc>
      </w:tr>
      <w:tr w:rsidR="008C76E3" w:rsidRPr="0082022E" w14:paraId="059668A8" w14:textId="77777777" w:rsidTr="00C033C4">
        <w:tc>
          <w:tcPr>
            <w:tcW w:w="1774" w:type="pct"/>
            <w:shd w:val="clear" w:color="auto" w:fill="auto"/>
            <w:noWrap/>
          </w:tcPr>
          <w:p w14:paraId="54D50789"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“Prospectos”</w:t>
            </w:r>
          </w:p>
        </w:tc>
        <w:tc>
          <w:tcPr>
            <w:tcW w:w="3226" w:type="pct"/>
            <w:shd w:val="clear" w:color="auto" w:fill="auto"/>
            <w:noWrap/>
          </w:tcPr>
          <w:p w14:paraId="0B8EEFE9" w14:textId="77777777" w:rsidR="008C76E3" w:rsidRPr="00D8141D" w:rsidRDefault="008C76E3" w:rsidP="008C76E3">
            <w:pPr>
              <w:pStyle w:val="HOMEBRBodyText"/>
              <w:keepLines w:val="0"/>
              <w:widowControl w:val="0"/>
              <w:tabs>
                <w:tab w:val="left" w:pos="690"/>
              </w:tabs>
              <w:spacing w:after="140" w:line="290" w:lineRule="auto"/>
              <w:jc w:val="both"/>
              <w:rPr>
                <w:rFonts w:eastAsia="Calibri" w:cs="Calibri"/>
                <w:b/>
                <w:lang w:val="pt-BR"/>
              </w:rPr>
            </w:pPr>
            <w:r w:rsidRPr="00D8141D">
              <w:rPr>
                <w:rFonts w:cs="Calibri"/>
                <w:lang w:val="pt-BR"/>
              </w:rPr>
              <w:t xml:space="preserve">Este Prospecto e o Prospecto </w:t>
            </w:r>
            <w:r w:rsidRPr="00391B20">
              <w:rPr>
                <w:rFonts w:cs="Calibri"/>
                <w:lang w:val="pt-BR"/>
              </w:rPr>
              <w:t>Preliminar</w:t>
            </w:r>
            <w:r w:rsidRPr="00D8141D">
              <w:rPr>
                <w:rFonts w:cs="Calibri"/>
                <w:lang w:val="pt-BR"/>
              </w:rPr>
              <w:t>, considerados em conjunto.</w:t>
            </w:r>
          </w:p>
        </w:tc>
      </w:tr>
      <w:tr w:rsidR="008C76E3" w:rsidRPr="0082022E" w14:paraId="365B424B" w14:textId="77777777" w:rsidTr="00C033C4">
        <w:tc>
          <w:tcPr>
            <w:tcW w:w="1774" w:type="pct"/>
            <w:shd w:val="clear" w:color="auto" w:fill="auto"/>
            <w:noWrap/>
          </w:tcPr>
          <w:p w14:paraId="7639B28B"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“Público-Alvo da Oferta”</w:t>
            </w:r>
          </w:p>
        </w:tc>
        <w:tc>
          <w:tcPr>
            <w:tcW w:w="3226" w:type="pct"/>
            <w:shd w:val="clear" w:color="auto" w:fill="auto"/>
            <w:noWrap/>
          </w:tcPr>
          <w:p w14:paraId="1E838392" w14:textId="77777777" w:rsidR="008C76E3" w:rsidRPr="00D8141D" w:rsidRDefault="008C76E3" w:rsidP="008C76E3">
            <w:pPr>
              <w:pStyle w:val="HOMEBRBodyText"/>
              <w:keepLines w:val="0"/>
              <w:widowControl w:val="0"/>
              <w:tabs>
                <w:tab w:val="left" w:pos="690"/>
              </w:tabs>
              <w:spacing w:after="140" w:line="290" w:lineRule="auto"/>
              <w:jc w:val="both"/>
              <w:rPr>
                <w:rFonts w:eastAsia="Calibri" w:cs="Calibri"/>
                <w:lang w:val="pt-BR"/>
              </w:rPr>
            </w:pPr>
            <w:r w:rsidRPr="00D8141D">
              <w:rPr>
                <w:rFonts w:eastAsia="Calibri" w:cs="Calibri"/>
                <w:lang w:val="pt-BR"/>
              </w:rPr>
              <w:t>O público-alvo da Oferta, levando-se sempre em conta o perfil de risco dos seus destinatários, é composto pelos Investidores, considerados em conjunto.</w:t>
            </w:r>
          </w:p>
        </w:tc>
      </w:tr>
    </w:tbl>
    <w:p w14:paraId="1C7549A2" w14:textId="77777777" w:rsidR="00975EA1" w:rsidRDefault="00975EA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5"/>
        <w:gridCol w:w="5666"/>
      </w:tblGrid>
      <w:tr w:rsidR="008C76E3" w:rsidRPr="0082022E" w14:paraId="185F72D2" w14:textId="77777777" w:rsidTr="00C033C4">
        <w:tc>
          <w:tcPr>
            <w:tcW w:w="1774" w:type="pct"/>
            <w:shd w:val="clear" w:color="auto" w:fill="auto"/>
            <w:noWrap/>
          </w:tcPr>
          <w:p w14:paraId="660B114F" w14:textId="074FD399"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“RCA”</w:t>
            </w:r>
          </w:p>
        </w:tc>
        <w:tc>
          <w:tcPr>
            <w:tcW w:w="3226" w:type="pct"/>
            <w:shd w:val="clear" w:color="auto" w:fill="auto"/>
            <w:noWrap/>
          </w:tcPr>
          <w:p w14:paraId="51A3EA46"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 xml:space="preserve">Reunião do Conselho de Administração da Emissora realizada em 13 de dezembro de 2021, cuja ata </w:t>
            </w:r>
            <w:r w:rsidRPr="00D8141D">
              <w:rPr>
                <w:rFonts w:cs="Calibri"/>
                <w:lang w:val="pt-BR"/>
              </w:rPr>
              <w:t xml:space="preserve">foi registrada na JUCESP em 20 de dezembro de 2021, sob o nº 596.724/21-4 e publicada no </w:t>
            </w:r>
            <w:r w:rsidRPr="00D8141D">
              <w:rPr>
                <w:rFonts w:cs="Calibri"/>
                <w:b/>
                <w:lang w:val="pt-BR"/>
              </w:rPr>
              <w:t>(i)</w:t>
            </w:r>
            <w:r w:rsidRPr="00D8141D">
              <w:rPr>
                <w:rFonts w:cs="Calibri"/>
                <w:lang w:val="pt-BR"/>
              </w:rPr>
              <w:t xml:space="preserve"> DOESP; e </w:t>
            </w:r>
            <w:r w:rsidRPr="00D8141D">
              <w:rPr>
                <w:rFonts w:cs="Calibri"/>
                <w:b/>
                <w:lang w:val="pt-BR"/>
              </w:rPr>
              <w:t>(ii)</w:t>
            </w:r>
            <w:r w:rsidRPr="00D8141D">
              <w:rPr>
                <w:rFonts w:cs="Calibri"/>
                <w:lang w:val="pt-BR"/>
              </w:rPr>
              <w:t> no jornal “</w:t>
            </w:r>
            <w:r w:rsidRPr="00D8141D">
              <w:rPr>
                <w:rFonts w:eastAsia="Calibri" w:cs="Calibri"/>
                <w:lang w:val="pt-BR"/>
              </w:rPr>
              <w:t>Valor Econômico</w:t>
            </w:r>
            <w:r w:rsidRPr="00D8141D">
              <w:rPr>
                <w:rFonts w:cs="Calibri"/>
                <w:color w:val="000000"/>
                <w:lang w:val="pt-BR"/>
              </w:rPr>
              <w:t>”</w:t>
            </w:r>
            <w:r w:rsidRPr="00D8141D">
              <w:rPr>
                <w:rFonts w:cs="Calibri"/>
                <w:lang w:val="pt-BR"/>
              </w:rPr>
              <w:t>,</w:t>
            </w:r>
            <w:r w:rsidRPr="00D8141D">
              <w:rPr>
                <w:rFonts w:eastAsia="Calibri" w:cs="Calibri"/>
                <w:lang w:val="pt-BR"/>
              </w:rPr>
              <w:t xml:space="preserve"> em 14 de dezembro de 2021, </w:t>
            </w:r>
            <w:r w:rsidRPr="00D8141D">
              <w:rPr>
                <w:rFonts w:cs="Calibri"/>
                <w:lang w:val="pt-BR"/>
              </w:rPr>
              <w:t>em atendimento ao disposto no inciso I do artigo 62 e no artigo 289 da Lei das Sociedades por Ações</w:t>
            </w:r>
            <w:r w:rsidRPr="00D8141D">
              <w:rPr>
                <w:rFonts w:eastAsia="Calibri" w:cs="Calibri"/>
                <w:lang w:val="pt-BR"/>
              </w:rPr>
              <w:t>, na qual foram deliberados e confirmados os termos e condições da Emissão, da Oferta e das Debêntures.</w:t>
            </w:r>
          </w:p>
        </w:tc>
      </w:tr>
      <w:tr w:rsidR="008C76E3" w:rsidRPr="0082022E" w14:paraId="024DB718" w14:textId="77777777" w:rsidTr="00C033C4">
        <w:tc>
          <w:tcPr>
            <w:tcW w:w="1774" w:type="pct"/>
            <w:shd w:val="clear" w:color="auto" w:fill="auto"/>
            <w:noWrap/>
          </w:tcPr>
          <w:p w14:paraId="20C4B1A4"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“Real”, “reais” ou “R$” </w:t>
            </w:r>
          </w:p>
        </w:tc>
        <w:tc>
          <w:tcPr>
            <w:tcW w:w="3226" w:type="pct"/>
            <w:shd w:val="clear" w:color="auto" w:fill="auto"/>
            <w:noWrap/>
          </w:tcPr>
          <w:p w14:paraId="34DFA1C4" w14:textId="77777777" w:rsidR="008C76E3" w:rsidRPr="00566CD3" w:rsidRDefault="008C76E3" w:rsidP="008C76E3">
            <w:pPr>
              <w:pStyle w:val="Body"/>
              <w:jc w:val="both"/>
            </w:pPr>
            <w:r w:rsidRPr="00566CD3">
              <w:t xml:space="preserve">Moeda oficial corrente no Brasil. </w:t>
            </w:r>
          </w:p>
        </w:tc>
      </w:tr>
      <w:tr w:rsidR="008C76E3" w:rsidRPr="0082022E" w14:paraId="5527DBA8" w14:textId="77777777" w:rsidTr="00C033C4">
        <w:tc>
          <w:tcPr>
            <w:tcW w:w="1774" w:type="pct"/>
            <w:shd w:val="clear" w:color="auto" w:fill="auto"/>
            <w:noWrap/>
          </w:tcPr>
          <w:p w14:paraId="7A75D3DB"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“Remuneração” ou “Remunerações”</w:t>
            </w:r>
          </w:p>
        </w:tc>
        <w:tc>
          <w:tcPr>
            <w:tcW w:w="3226" w:type="pct"/>
            <w:shd w:val="clear" w:color="auto" w:fill="auto"/>
            <w:noWrap/>
          </w:tcPr>
          <w:p w14:paraId="154D64FC" w14:textId="77777777" w:rsidR="008C76E3" w:rsidRPr="00566CD3" w:rsidRDefault="008C76E3" w:rsidP="008C76E3">
            <w:pPr>
              <w:pStyle w:val="Body"/>
              <w:spacing w:line="240" w:lineRule="auto"/>
              <w:jc w:val="both"/>
            </w:pPr>
            <w:r w:rsidRPr="00566CD3">
              <w:t>A Remuneração das Debêntures Primeira Série e Remuneração das Debêntures Segunda Série, quando referidas em conjunto.</w:t>
            </w:r>
          </w:p>
        </w:tc>
      </w:tr>
      <w:tr w:rsidR="008C76E3" w:rsidRPr="0082022E" w14:paraId="10B06FCF" w14:textId="77777777" w:rsidTr="00C033C4">
        <w:tc>
          <w:tcPr>
            <w:tcW w:w="1774" w:type="pct"/>
            <w:shd w:val="clear" w:color="auto" w:fill="auto"/>
            <w:noWrap/>
          </w:tcPr>
          <w:p w14:paraId="75229A23"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“Remuneração das Debêntures Primeira Série”</w:t>
            </w:r>
          </w:p>
        </w:tc>
        <w:tc>
          <w:tcPr>
            <w:tcW w:w="3226" w:type="pct"/>
            <w:shd w:val="clear" w:color="auto" w:fill="auto"/>
            <w:noWrap/>
          </w:tcPr>
          <w:p w14:paraId="4B803650" w14:textId="77777777" w:rsidR="008C76E3" w:rsidRPr="00D8141D" w:rsidRDefault="008C76E3" w:rsidP="008C76E3">
            <w:pPr>
              <w:pStyle w:val="HOMEBRBodyText"/>
              <w:keepLines w:val="0"/>
              <w:widowControl w:val="0"/>
              <w:spacing w:after="140"/>
              <w:jc w:val="both"/>
              <w:rPr>
                <w:rFonts w:eastAsia="Calibri" w:cs="Calibri"/>
                <w:lang w:val="pt-BR"/>
              </w:rPr>
            </w:pPr>
            <w:r w:rsidRPr="00D8141D">
              <w:rPr>
                <w:rFonts w:eastAsia="Calibri" w:cs="Calibri"/>
                <w:lang w:val="pt-BR"/>
              </w:rPr>
              <w:t>O Juros Remuneratórios da Primeira Série em conjunto com a Atualização Monetária.</w:t>
            </w:r>
          </w:p>
        </w:tc>
      </w:tr>
      <w:tr w:rsidR="008C76E3" w:rsidRPr="0082022E" w14:paraId="5313AE53" w14:textId="77777777" w:rsidTr="00EC0CE3">
        <w:tc>
          <w:tcPr>
            <w:tcW w:w="1774" w:type="pct"/>
            <w:shd w:val="clear" w:color="auto" w:fill="auto"/>
            <w:noWrap/>
          </w:tcPr>
          <w:p w14:paraId="5BBE1C62"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“Remuneração das Debêntures Segunda Série”</w:t>
            </w:r>
          </w:p>
        </w:tc>
        <w:tc>
          <w:tcPr>
            <w:tcW w:w="3226" w:type="pct"/>
            <w:shd w:val="clear" w:color="auto" w:fill="auto"/>
            <w:noWrap/>
          </w:tcPr>
          <w:p w14:paraId="2753C0AF" w14:textId="77777777" w:rsidR="008C76E3" w:rsidRPr="00D8141D" w:rsidRDefault="008C76E3" w:rsidP="008C76E3">
            <w:pPr>
              <w:pStyle w:val="HOMEBRBodyText"/>
              <w:keepLines w:val="0"/>
              <w:widowControl w:val="0"/>
              <w:spacing w:after="140"/>
              <w:jc w:val="both"/>
              <w:rPr>
                <w:rFonts w:eastAsia="Calibri" w:cs="Calibri"/>
                <w:lang w:val="pt-BR"/>
              </w:rPr>
            </w:pPr>
            <w:r w:rsidRPr="00D8141D">
              <w:rPr>
                <w:rFonts w:eastAsia="Calibri" w:cs="Calibri"/>
                <w:lang w:val="pt-BR"/>
              </w:rPr>
              <w:t>O Juros Remuneratórios da Segunda Série em conjunto com a Atualização Monetária.</w:t>
            </w:r>
          </w:p>
        </w:tc>
      </w:tr>
      <w:tr w:rsidR="008C76E3" w:rsidRPr="0082022E" w14:paraId="4A8A184D" w14:textId="77777777" w:rsidTr="00EC0CE3">
        <w:tc>
          <w:tcPr>
            <w:tcW w:w="1774" w:type="pct"/>
            <w:shd w:val="clear" w:color="auto" w:fill="auto"/>
            <w:noWrap/>
          </w:tcPr>
          <w:p w14:paraId="35137B32"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“Resgate Antecipado Facultativo”</w:t>
            </w:r>
          </w:p>
        </w:tc>
        <w:tc>
          <w:tcPr>
            <w:tcW w:w="3226" w:type="pct"/>
            <w:shd w:val="clear" w:color="auto" w:fill="auto"/>
            <w:noWrap/>
          </w:tcPr>
          <w:p w14:paraId="476A0D39" w14:textId="77777777" w:rsidR="008C76E3" w:rsidRPr="00D8141D" w:rsidRDefault="008C76E3" w:rsidP="008C76E3">
            <w:pPr>
              <w:pStyle w:val="HOMEBRBodyText"/>
              <w:keepLines w:val="0"/>
              <w:widowControl w:val="0"/>
              <w:spacing w:after="140"/>
              <w:jc w:val="both"/>
              <w:rPr>
                <w:rFonts w:eastAsia="Calibri" w:cs="Calibri"/>
                <w:lang w:val="pt-BR"/>
              </w:rPr>
            </w:pPr>
            <w:r w:rsidRPr="00B63002">
              <w:rPr>
                <w:lang w:val="pt-BR"/>
              </w:rPr>
              <w:t>Não será admitida a realização de resgate antecipado facultativo das Debêntures.</w:t>
            </w:r>
          </w:p>
        </w:tc>
      </w:tr>
      <w:tr w:rsidR="008C76E3" w:rsidRPr="0082022E" w14:paraId="222393E8" w14:textId="77777777" w:rsidTr="00EC0CE3">
        <w:tc>
          <w:tcPr>
            <w:tcW w:w="1774" w:type="pct"/>
            <w:shd w:val="clear" w:color="auto" w:fill="auto"/>
            <w:noWrap/>
          </w:tcPr>
          <w:p w14:paraId="2ED31E96" w14:textId="77777777" w:rsidR="008C76E3" w:rsidRPr="00D8141D" w:rsidRDefault="008C76E3" w:rsidP="008C76E3">
            <w:pPr>
              <w:pStyle w:val="HOMEBRBodyText"/>
              <w:keepLines w:val="0"/>
              <w:widowControl w:val="0"/>
              <w:spacing w:after="140" w:line="290" w:lineRule="auto"/>
              <w:jc w:val="both"/>
              <w:rPr>
                <w:rFonts w:eastAsia="Calibri" w:cs="Calibri"/>
                <w:b/>
                <w:lang w:val="pt-BR"/>
              </w:rPr>
            </w:pPr>
            <w:r w:rsidRPr="00D8141D">
              <w:rPr>
                <w:rFonts w:eastAsia="Calibri" w:cs="Calibri"/>
                <w:b/>
                <w:lang w:val="pt-BR"/>
              </w:rPr>
              <w:t>“Resgate Obrigatório”</w:t>
            </w:r>
          </w:p>
        </w:tc>
        <w:tc>
          <w:tcPr>
            <w:tcW w:w="3226" w:type="pct"/>
            <w:shd w:val="clear" w:color="auto" w:fill="auto"/>
            <w:noWrap/>
          </w:tcPr>
          <w:p w14:paraId="74492772" w14:textId="77777777" w:rsidR="008C76E3" w:rsidRPr="00566CD3" w:rsidRDefault="008C76E3" w:rsidP="008C76E3">
            <w:pPr>
              <w:autoSpaceDE w:val="0"/>
              <w:autoSpaceDN w:val="0"/>
              <w:adjustRightInd w:val="0"/>
              <w:jc w:val="both"/>
            </w:pPr>
            <w:r w:rsidRPr="00566CD3">
              <w:t>Ocorrido o evento previsto na Cláusula 6.9.4 da Escritura de Emissão, e desde que transcorrido o prazo médio ponderado mínimo de 4 (quatro) anos, considerando os pagamentos transcorridos entre a Data de Emissão e a data do efetivo resgate antecipado, nos termos do inciso I, do artigo 1º, da Resolução CMN 4.751 e calculado nos termos da Resolução CMN 3.947, a Emissora estará obrigada a realizar o resgate antecipado da totalidade das Debêntures.</w:t>
            </w:r>
          </w:p>
          <w:p w14:paraId="547EDE50" w14:textId="71F01F7E" w:rsidR="008C76E3" w:rsidRPr="00566CD3" w:rsidRDefault="008C76E3" w:rsidP="008C76E3">
            <w:pPr>
              <w:autoSpaceDE w:val="0"/>
              <w:autoSpaceDN w:val="0"/>
              <w:adjustRightInd w:val="0"/>
              <w:jc w:val="both"/>
            </w:pPr>
            <w:r w:rsidRPr="00566CD3">
              <w:rPr>
                <w:b/>
              </w:rPr>
              <w:t xml:space="preserve">Para mais informações acerca do Resgate Obrigatório, consulte as Seções “Informações Relacionadas à Emissão, à Oferta e às Debêntures – Características da Emissão e das Debêntures – </w:t>
            </w:r>
            <w:r w:rsidRPr="00566CD3">
              <w:rPr>
                <w:b/>
                <w:color w:val="000000"/>
              </w:rPr>
              <w:t xml:space="preserve">Resgate Obrigatório </w:t>
            </w:r>
            <w:r w:rsidRPr="00566CD3">
              <w:rPr>
                <w:b/>
              </w:rPr>
              <w:t>Total</w:t>
            </w:r>
            <w:r w:rsidRPr="00566CD3">
              <w:rPr>
                <w:b/>
                <w:color w:val="000000"/>
              </w:rPr>
              <w:t xml:space="preserve">” </w:t>
            </w:r>
            <w:r w:rsidRPr="00566CD3">
              <w:rPr>
                <w:b/>
              </w:rPr>
              <w:t xml:space="preserve">e “Fatores de Risco Relacionados à Oferta e às Debêntures – </w:t>
            </w:r>
            <w:r w:rsidRPr="00566CD3">
              <w:rPr>
                <w:b/>
                <w:color w:val="000000"/>
              </w:rPr>
              <w:t xml:space="preserve">As Debêntures poderão ser objeto de </w:t>
            </w:r>
            <w:r w:rsidRPr="00566CD3">
              <w:rPr>
                <w:b/>
              </w:rPr>
              <w:t xml:space="preserve">Oferta de Resgate Antecipado, Aquisição Facultativa e </w:t>
            </w:r>
            <w:r w:rsidRPr="00566CD3">
              <w:rPr>
                <w:b/>
                <w:color w:val="000000"/>
              </w:rPr>
              <w:t xml:space="preserve">Resgate Obrigatório </w:t>
            </w:r>
            <w:r w:rsidRPr="00566CD3">
              <w:rPr>
                <w:b/>
              </w:rPr>
              <w:t>Total, nos termos previstos</w:t>
            </w:r>
            <w:r w:rsidRPr="00566CD3">
              <w:rPr>
                <w:b/>
                <w:color w:val="000000"/>
              </w:rPr>
              <w:t xml:space="preserve"> na Escritura </w:t>
            </w:r>
            <w:r w:rsidRPr="00566CD3">
              <w:rPr>
                <w:b/>
              </w:rPr>
              <w:t xml:space="preserve">de Emissão, o que poderá impactar de maneira adversa na liquidez das Debêntures no mercado secundário”, nas páginas </w:t>
            </w:r>
            <w:r w:rsidRPr="00D8141D">
              <w:rPr>
                <w:rFonts w:eastAsia="MS Mincho" w:cs="Calibri"/>
                <w:b/>
                <w:bCs/>
                <w:lang w:eastAsia="pt-BR"/>
              </w:rPr>
              <w:fldChar w:fldCharType="begin"/>
            </w:r>
            <w:r w:rsidRPr="00566CD3">
              <w:rPr>
                <w:b/>
              </w:rPr>
              <w:instrText xml:space="preserve"> PAGEREF _Ref90222194 \h </w:instrText>
            </w:r>
            <w:r w:rsidRPr="00D8141D">
              <w:rPr>
                <w:rFonts w:eastAsia="MS Mincho" w:cs="Calibri"/>
                <w:b/>
                <w:bCs/>
                <w:lang w:eastAsia="pt-BR"/>
              </w:rPr>
            </w:r>
            <w:r w:rsidRPr="00D8141D">
              <w:rPr>
                <w:rFonts w:eastAsia="MS Mincho" w:cs="Calibri"/>
                <w:b/>
                <w:bCs/>
                <w:lang w:eastAsia="pt-BR"/>
              </w:rPr>
              <w:fldChar w:fldCharType="separate"/>
            </w:r>
            <w:r w:rsidR="001166EA">
              <w:rPr>
                <w:b/>
                <w:noProof/>
              </w:rPr>
              <w:t>89</w:t>
            </w:r>
            <w:r w:rsidRPr="00D8141D">
              <w:rPr>
                <w:rFonts w:eastAsia="MS Mincho" w:cs="Calibri"/>
                <w:b/>
                <w:bCs/>
                <w:lang w:eastAsia="pt-BR"/>
              </w:rPr>
              <w:fldChar w:fldCharType="end"/>
            </w:r>
            <w:r w:rsidRPr="00566CD3">
              <w:rPr>
                <w:b/>
              </w:rPr>
              <w:t xml:space="preserve"> e </w:t>
            </w:r>
            <w:r w:rsidRPr="00D8141D">
              <w:rPr>
                <w:rFonts w:eastAsia="MS Mincho" w:cs="Calibri"/>
                <w:b/>
                <w:bCs/>
                <w:lang w:eastAsia="pt-BR"/>
              </w:rPr>
              <w:fldChar w:fldCharType="begin"/>
            </w:r>
            <w:r w:rsidRPr="00566CD3">
              <w:rPr>
                <w:b/>
              </w:rPr>
              <w:instrText xml:space="preserve"> PAGEREF _Ref90050338 \h </w:instrText>
            </w:r>
            <w:r w:rsidRPr="00D8141D">
              <w:rPr>
                <w:rFonts w:eastAsia="MS Mincho" w:cs="Calibri"/>
                <w:b/>
                <w:bCs/>
                <w:lang w:eastAsia="pt-BR"/>
              </w:rPr>
            </w:r>
            <w:r w:rsidRPr="00D8141D">
              <w:rPr>
                <w:rFonts w:eastAsia="MS Mincho" w:cs="Calibri"/>
                <w:b/>
                <w:bCs/>
                <w:lang w:eastAsia="pt-BR"/>
              </w:rPr>
              <w:fldChar w:fldCharType="separate"/>
            </w:r>
            <w:r w:rsidR="001166EA">
              <w:rPr>
                <w:b/>
                <w:noProof/>
              </w:rPr>
              <w:t>134</w:t>
            </w:r>
            <w:r w:rsidRPr="00D8141D">
              <w:rPr>
                <w:rFonts w:eastAsia="MS Mincho" w:cs="Calibri"/>
                <w:b/>
                <w:bCs/>
                <w:lang w:eastAsia="pt-BR"/>
              </w:rPr>
              <w:fldChar w:fldCharType="end"/>
            </w:r>
            <w:r w:rsidRPr="00566CD3">
              <w:rPr>
                <w:b/>
              </w:rPr>
              <w:t xml:space="preserve"> deste Prospecto</w:t>
            </w:r>
            <w:r w:rsidRPr="00566CD3">
              <w:t>.</w:t>
            </w:r>
          </w:p>
        </w:tc>
      </w:tr>
    </w:tbl>
    <w:p w14:paraId="5E14E35B" w14:textId="77777777" w:rsidR="00975EA1" w:rsidRDefault="00975EA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5"/>
        <w:gridCol w:w="5666"/>
      </w:tblGrid>
      <w:tr w:rsidR="008C76E3" w:rsidRPr="0082022E" w14:paraId="755C525C" w14:textId="77777777" w:rsidTr="00EC0CE3">
        <w:tc>
          <w:tcPr>
            <w:tcW w:w="1774" w:type="pct"/>
            <w:shd w:val="clear" w:color="auto" w:fill="auto"/>
            <w:noWrap/>
          </w:tcPr>
          <w:p w14:paraId="49EDF3E3" w14:textId="5A96966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“Resolução CMN 3.947”</w:t>
            </w:r>
          </w:p>
        </w:tc>
        <w:tc>
          <w:tcPr>
            <w:tcW w:w="3226" w:type="pct"/>
            <w:shd w:val="clear" w:color="auto" w:fill="auto"/>
            <w:noWrap/>
          </w:tcPr>
          <w:p w14:paraId="48B225AE"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Resolução do CMN nº 3.947, de 27 de janeiro de 2011.</w:t>
            </w:r>
          </w:p>
        </w:tc>
      </w:tr>
      <w:tr w:rsidR="008C76E3" w:rsidRPr="0082022E" w14:paraId="68B11A09" w14:textId="77777777" w:rsidTr="00EC0CE3">
        <w:tc>
          <w:tcPr>
            <w:tcW w:w="1774" w:type="pct"/>
            <w:shd w:val="clear" w:color="auto" w:fill="auto"/>
            <w:noWrap/>
          </w:tcPr>
          <w:p w14:paraId="71D07E91"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“Resolução CMN 4.373”</w:t>
            </w:r>
          </w:p>
        </w:tc>
        <w:tc>
          <w:tcPr>
            <w:tcW w:w="3226" w:type="pct"/>
            <w:shd w:val="clear" w:color="auto" w:fill="auto"/>
            <w:noWrap/>
          </w:tcPr>
          <w:p w14:paraId="66947749"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Resolução do CMN nº 4.373, de 29 de setembro de 2014.</w:t>
            </w:r>
          </w:p>
        </w:tc>
      </w:tr>
      <w:tr w:rsidR="008C76E3" w:rsidRPr="0082022E" w14:paraId="76ECAE6F" w14:textId="77777777" w:rsidTr="00EC0CE3">
        <w:tc>
          <w:tcPr>
            <w:tcW w:w="1774" w:type="pct"/>
            <w:shd w:val="clear" w:color="auto" w:fill="auto"/>
            <w:noWrap/>
          </w:tcPr>
          <w:p w14:paraId="6D40C866"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“Resolução CVM 4.571”</w:t>
            </w:r>
          </w:p>
        </w:tc>
        <w:tc>
          <w:tcPr>
            <w:tcW w:w="3226" w:type="pct"/>
            <w:shd w:val="clear" w:color="auto" w:fill="auto"/>
            <w:noWrap/>
          </w:tcPr>
          <w:p w14:paraId="6954D7EE"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Resolução do CMN nº 4.571, de 26 de maio de 2017.</w:t>
            </w:r>
          </w:p>
        </w:tc>
      </w:tr>
      <w:tr w:rsidR="008C76E3" w:rsidRPr="0082022E" w14:paraId="07EEC924" w14:textId="77777777" w:rsidTr="00EC0CE3">
        <w:tc>
          <w:tcPr>
            <w:tcW w:w="1774" w:type="pct"/>
            <w:shd w:val="clear" w:color="auto" w:fill="auto"/>
            <w:noWrap/>
          </w:tcPr>
          <w:p w14:paraId="70ECC485"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“Resolução CVM 17”</w:t>
            </w:r>
          </w:p>
        </w:tc>
        <w:tc>
          <w:tcPr>
            <w:tcW w:w="3226" w:type="pct"/>
            <w:shd w:val="clear" w:color="auto" w:fill="auto"/>
            <w:noWrap/>
          </w:tcPr>
          <w:p w14:paraId="463C073F"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 xml:space="preserve">Resolução da CVM nº 17, de 9 de fevereiro de 2021. </w:t>
            </w:r>
          </w:p>
        </w:tc>
      </w:tr>
      <w:tr w:rsidR="008C76E3" w:rsidRPr="0082022E" w14:paraId="4B0A163E" w14:textId="77777777" w:rsidTr="00EC0CE3">
        <w:tc>
          <w:tcPr>
            <w:tcW w:w="1774" w:type="pct"/>
            <w:shd w:val="clear" w:color="auto" w:fill="auto"/>
            <w:noWrap/>
          </w:tcPr>
          <w:p w14:paraId="6EA727F7"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“Resolução CVM 30”</w:t>
            </w:r>
          </w:p>
        </w:tc>
        <w:tc>
          <w:tcPr>
            <w:tcW w:w="3226" w:type="pct"/>
            <w:shd w:val="clear" w:color="auto" w:fill="auto"/>
            <w:noWrap/>
          </w:tcPr>
          <w:p w14:paraId="1DB53049"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Resolução da CVM nº 30, de 11 de maio de 2021.</w:t>
            </w:r>
          </w:p>
        </w:tc>
      </w:tr>
      <w:tr w:rsidR="008C76E3" w:rsidRPr="0082022E" w14:paraId="7F1D3DA9" w14:textId="77777777" w:rsidTr="00CF505B">
        <w:tc>
          <w:tcPr>
            <w:tcW w:w="1774" w:type="pct"/>
            <w:shd w:val="clear" w:color="auto" w:fill="auto"/>
          </w:tcPr>
          <w:p w14:paraId="5D042B6D"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“Resolução CVM 35”</w:t>
            </w:r>
          </w:p>
        </w:tc>
        <w:tc>
          <w:tcPr>
            <w:tcW w:w="3226" w:type="pct"/>
            <w:shd w:val="clear" w:color="auto" w:fill="auto"/>
          </w:tcPr>
          <w:p w14:paraId="0402EBD0"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Resolução da CVM nº 35, de 26 de maio de 2021.</w:t>
            </w:r>
          </w:p>
        </w:tc>
      </w:tr>
      <w:tr w:rsidR="008C76E3" w:rsidRPr="0082022E" w14:paraId="2A814DD2" w14:textId="77777777" w:rsidTr="00EC0CE3">
        <w:tc>
          <w:tcPr>
            <w:tcW w:w="1774" w:type="pct"/>
            <w:shd w:val="clear" w:color="auto" w:fill="auto"/>
            <w:noWrap/>
          </w:tcPr>
          <w:p w14:paraId="2E8C2FE9"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“SELIC”</w:t>
            </w:r>
          </w:p>
        </w:tc>
        <w:tc>
          <w:tcPr>
            <w:tcW w:w="3226" w:type="pct"/>
            <w:shd w:val="clear" w:color="auto" w:fill="auto"/>
            <w:noWrap/>
          </w:tcPr>
          <w:p w14:paraId="5316BDEF"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Sistema Especial de Liquidação e Custódia.</w:t>
            </w:r>
          </w:p>
        </w:tc>
      </w:tr>
      <w:tr w:rsidR="008C76E3" w:rsidRPr="0082022E" w14:paraId="1FEE3E1B" w14:textId="77777777" w:rsidTr="00EC0CE3">
        <w:tc>
          <w:tcPr>
            <w:tcW w:w="1774" w:type="pct"/>
            <w:shd w:val="clear" w:color="auto" w:fill="auto"/>
            <w:noWrap/>
          </w:tcPr>
          <w:p w14:paraId="3D933C84"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“Séries”</w:t>
            </w:r>
          </w:p>
        </w:tc>
        <w:tc>
          <w:tcPr>
            <w:tcW w:w="3226" w:type="pct"/>
            <w:shd w:val="clear" w:color="auto" w:fill="auto"/>
            <w:noWrap/>
          </w:tcPr>
          <w:p w14:paraId="54857BE1"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A Primeira Série e a Segunda Série, quando referidas em conjunto.</w:t>
            </w:r>
          </w:p>
        </w:tc>
      </w:tr>
      <w:tr w:rsidR="008C76E3" w:rsidRPr="0082022E" w14:paraId="556DC7CC" w14:textId="77777777" w:rsidTr="00EC0CE3">
        <w:tc>
          <w:tcPr>
            <w:tcW w:w="1774" w:type="pct"/>
            <w:shd w:val="clear" w:color="auto" w:fill="auto"/>
          </w:tcPr>
          <w:p w14:paraId="11D163B5"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“Sistema de Vasos Comunicantes”</w:t>
            </w:r>
          </w:p>
        </w:tc>
        <w:tc>
          <w:tcPr>
            <w:tcW w:w="3226" w:type="pct"/>
            <w:shd w:val="clear" w:color="auto" w:fill="auto"/>
          </w:tcPr>
          <w:p w14:paraId="28EADEB0" w14:textId="77777777" w:rsidR="008C76E3" w:rsidRPr="00D8141D" w:rsidRDefault="008C76E3" w:rsidP="008C76E3">
            <w:pPr>
              <w:pStyle w:val="HOMEBRBodyText"/>
              <w:keepLines w:val="0"/>
              <w:widowControl w:val="0"/>
              <w:spacing w:after="140" w:line="290" w:lineRule="auto"/>
              <w:jc w:val="both"/>
              <w:rPr>
                <w:rFonts w:eastAsia="Calibri" w:cs="Calibri"/>
                <w:lang w:val="pt-BR"/>
              </w:rPr>
            </w:pPr>
            <w:r w:rsidRPr="00D8141D">
              <w:rPr>
                <w:rFonts w:eastAsia="Calibri" w:cs="Calibri"/>
                <w:lang w:val="pt-BR"/>
              </w:rPr>
              <w:t xml:space="preserve">Sistema de alocação das Debêntures entre Debêntures da Primeira Série e Debêntures da Segunda Série, ou seja, a alocação da quantidade total de Debêntures entre Debêntures da Primeira Série e Debêntures da Segunda Série, observada a quantidade total de Debêntures e das Debêntures Adicionais, que foi definida no Procedimento de </w:t>
            </w:r>
            <w:r w:rsidRPr="00D8141D">
              <w:rPr>
                <w:rFonts w:eastAsia="Calibri" w:cs="Calibri"/>
                <w:i/>
                <w:iCs/>
                <w:lang w:val="pt-BR"/>
              </w:rPr>
              <w:t>Bookbuilding</w:t>
            </w:r>
            <w:r w:rsidRPr="00D8141D">
              <w:rPr>
                <w:rFonts w:eastAsia="Calibri" w:cs="Calibri"/>
                <w:lang w:val="pt-BR"/>
              </w:rPr>
              <w:t>, observado que  o somatório das Debêntures da Primeira Série e das Debêntures da Segunda Série não excedeu o Valor Total da Emissão, observada a emissão das Debêntures Adicionais.</w:t>
            </w:r>
          </w:p>
        </w:tc>
      </w:tr>
      <w:tr w:rsidR="008C76E3" w:rsidRPr="0082022E" w14:paraId="331F0C11" w14:textId="77777777" w:rsidTr="00EC0CE3">
        <w:tc>
          <w:tcPr>
            <w:tcW w:w="1774" w:type="pct"/>
            <w:shd w:val="clear" w:color="auto" w:fill="auto"/>
          </w:tcPr>
          <w:p w14:paraId="6F96D059"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“Taxa Substitutiva”</w:t>
            </w:r>
          </w:p>
        </w:tc>
        <w:tc>
          <w:tcPr>
            <w:tcW w:w="3226" w:type="pct"/>
            <w:shd w:val="clear" w:color="auto" w:fill="auto"/>
          </w:tcPr>
          <w:p w14:paraId="07C3CE1D" w14:textId="77777777" w:rsidR="008C76E3" w:rsidRPr="00B63002" w:rsidRDefault="008C76E3" w:rsidP="008C76E3">
            <w:pPr>
              <w:pStyle w:val="HOMEBRBodyText"/>
              <w:keepLines w:val="0"/>
              <w:widowControl w:val="0"/>
              <w:spacing w:after="140" w:line="290" w:lineRule="auto"/>
              <w:jc w:val="both"/>
              <w:rPr>
                <w:lang w:val="pt-BR"/>
              </w:rPr>
            </w:pPr>
            <w:r w:rsidRPr="00B63002">
              <w:rPr>
                <w:lang w:val="pt-BR"/>
              </w:rPr>
              <w:t xml:space="preserve">No Período de Ausência do IPCA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na Escritura de Emissão, conforme definidos na Cláusula </w:t>
            </w:r>
            <w:r w:rsidRPr="00D8141D">
              <w:rPr>
                <w:rFonts w:cs="Calibri"/>
                <w:bCs/>
                <w:iCs/>
                <w:lang w:val="pt-BR"/>
              </w:rPr>
              <w:t>11</w:t>
            </w:r>
            <w:r w:rsidRPr="00B63002">
              <w:rPr>
                <w:lang w:val="pt-BR"/>
              </w:rPr>
              <w:t xml:space="preserve"> da Escritura de Emissão, para os Debenturistas definirem, de comum acordo com a Emissora, observada a regulamentação aplicável, o novo parâmetro a ser aplicado, o qual deverá refletir parâmetros utilizados em operações similares existentes à época. Até a deliberação desse parâmetro será utilizada, para o cálculo do </w:t>
            </w:r>
            <w:r w:rsidRPr="00B63002">
              <w:rPr>
                <w:lang w:val="pt-BR"/>
              </w:rPr>
              <w:lastRenderedPageBreak/>
              <w:t>valor de quaisquer obrigações pecuniárias previstas na Escritura de Emissão e neste Prospecto, a mesma variação produzida pelo último IPCA divulgado até a data do cálculo, não sendo devidas quaisquer compensações financeiras, multas ou penalidades, tanto por parte da Emissora quanto pelos Debenturistas, quando da divulgação posterior do IPCA.</w:t>
            </w:r>
          </w:p>
          <w:p w14:paraId="7DC6D1AC" w14:textId="77777777" w:rsidR="008C76E3" w:rsidRPr="00B63002" w:rsidRDefault="008C76E3" w:rsidP="008C76E3">
            <w:pPr>
              <w:pStyle w:val="HOMEBRBodyText"/>
              <w:keepLines w:val="0"/>
              <w:widowControl w:val="0"/>
              <w:spacing w:after="140"/>
              <w:jc w:val="both"/>
              <w:rPr>
                <w:lang w:val="pt-BR"/>
              </w:rPr>
            </w:pPr>
            <w:r w:rsidRPr="00B63002">
              <w:rPr>
                <w:lang w:val="pt-BR"/>
              </w:rPr>
              <w:t xml:space="preserve">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 </w:t>
            </w:r>
          </w:p>
          <w:p w14:paraId="4F66BAF4" w14:textId="0F44D4D0" w:rsidR="008C76E3" w:rsidRPr="00D8141D" w:rsidRDefault="008C76E3" w:rsidP="008C76E3">
            <w:pPr>
              <w:pStyle w:val="HOMEBRBodyText"/>
              <w:keepLines w:val="0"/>
              <w:widowControl w:val="0"/>
              <w:spacing w:after="140" w:line="290" w:lineRule="auto"/>
              <w:jc w:val="both"/>
              <w:rPr>
                <w:rFonts w:eastAsia="Calibri" w:cs="Calibri"/>
                <w:b/>
                <w:bCs/>
                <w:lang w:val="pt-BR"/>
              </w:rPr>
            </w:pPr>
            <w:r w:rsidRPr="00D8141D">
              <w:rPr>
                <w:rFonts w:eastAsia="Calibri" w:cs="Calibri"/>
                <w:b/>
                <w:bCs/>
                <w:lang w:val="pt-BR"/>
              </w:rPr>
              <w:t xml:space="preserve">Para mais informações acerca da Taxa Substitutiva, veja a Seção “Características da Emissão e das Debêntures – Atualização Monetária das Debêntures – Indisponibilidade do IPCA”, na página </w:t>
            </w:r>
            <w:r w:rsidRPr="00D8141D">
              <w:rPr>
                <w:rFonts w:eastAsia="Calibri" w:cs="Calibri"/>
                <w:b/>
                <w:bCs/>
                <w:lang w:val="pt-BR"/>
              </w:rPr>
              <w:fldChar w:fldCharType="begin"/>
            </w:r>
            <w:r w:rsidRPr="00D8141D">
              <w:rPr>
                <w:rFonts w:eastAsia="Calibri" w:cs="Calibri"/>
                <w:b/>
                <w:bCs/>
                <w:lang w:val="pt-BR"/>
              </w:rPr>
              <w:instrText xml:space="preserve"> PAGEREF _Ref90056994 \h </w:instrText>
            </w:r>
            <w:r w:rsidRPr="00D8141D">
              <w:rPr>
                <w:rFonts w:eastAsia="Calibri" w:cs="Calibri"/>
                <w:b/>
                <w:bCs/>
                <w:lang w:val="pt-BR"/>
              </w:rPr>
            </w:r>
            <w:r w:rsidRPr="00D8141D">
              <w:rPr>
                <w:rFonts w:eastAsia="Calibri" w:cs="Calibri"/>
                <w:b/>
                <w:bCs/>
                <w:lang w:val="pt-BR"/>
              </w:rPr>
              <w:fldChar w:fldCharType="separate"/>
            </w:r>
            <w:r w:rsidR="001166EA">
              <w:rPr>
                <w:rFonts w:eastAsia="Calibri" w:cs="Calibri"/>
                <w:b/>
                <w:bCs/>
                <w:noProof/>
                <w:lang w:val="pt-BR"/>
              </w:rPr>
              <w:t>78</w:t>
            </w:r>
            <w:r w:rsidRPr="00D8141D">
              <w:rPr>
                <w:rFonts w:eastAsia="Calibri" w:cs="Calibri"/>
                <w:b/>
                <w:bCs/>
                <w:lang w:val="pt-BR"/>
              </w:rPr>
              <w:fldChar w:fldCharType="end"/>
            </w:r>
            <w:r w:rsidRPr="00D8141D">
              <w:rPr>
                <w:rFonts w:eastAsia="Calibri" w:cs="Calibri"/>
                <w:b/>
                <w:bCs/>
                <w:lang w:val="pt-BR"/>
              </w:rPr>
              <w:t xml:space="preserve"> deste Prospecto.</w:t>
            </w:r>
          </w:p>
        </w:tc>
      </w:tr>
      <w:tr w:rsidR="008C76E3" w:rsidRPr="0082022E" w14:paraId="166A6C2E" w14:textId="77777777" w:rsidTr="00C033C4">
        <w:tc>
          <w:tcPr>
            <w:tcW w:w="1774" w:type="pct"/>
            <w:shd w:val="clear" w:color="auto" w:fill="auto"/>
            <w:noWrap/>
          </w:tcPr>
          <w:p w14:paraId="491EB175"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“Valor Nominal Unitário”</w:t>
            </w:r>
          </w:p>
        </w:tc>
        <w:tc>
          <w:tcPr>
            <w:tcW w:w="3226" w:type="pct"/>
            <w:shd w:val="clear" w:color="auto" w:fill="auto"/>
            <w:noWrap/>
          </w:tcPr>
          <w:p w14:paraId="398AA1B5" w14:textId="77777777" w:rsidR="008C76E3" w:rsidRPr="00D8141D" w:rsidRDefault="008C76E3" w:rsidP="008C76E3">
            <w:pPr>
              <w:pStyle w:val="HOMEBRBodyText"/>
              <w:keepLines w:val="0"/>
              <w:widowControl w:val="0"/>
              <w:spacing w:after="140" w:line="290" w:lineRule="auto"/>
              <w:jc w:val="both"/>
              <w:rPr>
                <w:rFonts w:cs="Calibri"/>
                <w:lang w:val="pt-BR"/>
              </w:rPr>
            </w:pPr>
            <w:r w:rsidRPr="00D8141D">
              <w:rPr>
                <w:rFonts w:eastAsia="Calibri" w:cs="Calibri"/>
                <w:lang w:val="pt-BR"/>
              </w:rPr>
              <w:t>R$ 1.000,00 (mil reais), na Data de Emissão.</w:t>
            </w:r>
          </w:p>
        </w:tc>
      </w:tr>
      <w:tr w:rsidR="008C76E3" w:rsidRPr="0082022E" w14:paraId="07C0C063" w14:textId="77777777" w:rsidTr="00C033C4">
        <w:tc>
          <w:tcPr>
            <w:tcW w:w="1774" w:type="pct"/>
            <w:shd w:val="clear" w:color="auto" w:fill="auto"/>
            <w:noWrap/>
          </w:tcPr>
          <w:p w14:paraId="0BC4E8DF"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“Valor Nominal Unitário Atualizado”</w:t>
            </w:r>
          </w:p>
        </w:tc>
        <w:tc>
          <w:tcPr>
            <w:tcW w:w="3226" w:type="pct"/>
            <w:shd w:val="clear" w:color="auto" w:fill="auto"/>
            <w:noWrap/>
          </w:tcPr>
          <w:p w14:paraId="1C26636B" w14:textId="77777777" w:rsidR="008C76E3" w:rsidRPr="00D8141D" w:rsidRDefault="008C76E3" w:rsidP="008C76E3">
            <w:pPr>
              <w:pStyle w:val="HOMEBRBodyText"/>
              <w:keepLines w:val="0"/>
              <w:widowControl w:val="0"/>
              <w:spacing w:after="140" w:line="290" w:lineRule="auto"/>
              <w:jc w:val="both"/>
              <w:rPr>
                <w:rFonts w:eastAsia="Calibri" w:cs="Calibri"/>
                <w:b/>
                <w:lang w:val="pt-BR"/>
              </w:rPr>
            </w:pPr>
            <w:r w:rsidRPr="00D8141D">
              <w:rPr>
                <w:rFonts w:eastAsia="Calibri" w:cs="Calibri"/>
                <w:lang w:val="pt-BR"/>
              </w:rPr>
              <w:t>O Valor Nominal Unitário das Debêntures</w:t>
            </w:r>
            <w:r w:rsidRPr="00D8141D">
              <w:rPr>
                <w:rFonts w:cs="Calibri"/>
                <w:lang w:val="pt-BR"/>
              </w:rPr>
              <w:t xml:space="preserve"> ou saldo do Valor Nominal Unitário das Debêntures, conforme o caso,</w:t>
            </w:r>
            <w:r w:rsidRPr="00D8141D">
              <w:rPr>
                <w:rFonts w:eastAsia="Calibri" w:cs="Calibri"/>
                <w:lang w:val="pt-BR"/>
              </w:rPr>
              <w:t xml:space="preserve"> atualizado pela Atualização Monetária.</w:t>
            </w:r>
          </w:p>
        </w:tc>
      </w:tr>
      <w:tr w:rsidR="008C76E3" w:rsidRPr="0082022E" w14:paraId="4547C79F" w14:textId="77777777" w:rsidTr="00C033C4">
        <w:tc>
          <w:tcPr>
            <w:tcW w:w="1774" w:type="pct"/>
            <w:shd w:val="clear" w:color="auto" w:fill="auto"/>
            <w:noWrap/>
          </w:tcPr>
          <w:p w14:paraId="08A15881" w14:textId="77777777" w:rsidR="008C76E3" w:rsidRPr="00D8141D" w:rsidRDefault="008C76E3" w:rsidP="008C76E3">
            <w:pPr>
              <w:pStyle w:val="HOMEBRBodyText"/>
              <w:keepLines w:val="0"/>
              <w:widowControl w:val="0"/>
              <w:spacing w:after="140" w:line="290" w:lineRule="auto"/>
              <w:rPr>
                <w:rFonts w:eastAsia="Calibri" w:cs="Calibri"/>
                <w:b/>
                <w:lang w:val="pt-BR"/>
              </w:rPr>
            </w:pPr>
            <w:r w:rsidRPr="00D8141D">
              <w:rPr>
                <w:rFonts w:eastAsia="Calibri" w:cs="Calibri"/>
                <w:b/>
                <w:lang w:val="pt-BR"/>
              </w:rPr>
              <w:t>“Valor Total da Emissão”</w:t>
            </w:r>
          </w:p>
        </w:tc>
        <w:tc>
          <w:tcPr>
            <w:tcW w:w="3226" w:type="pct"/>
            <w:shd w:val="clear" w:color="auto" w:fill="auto"/>
            <w:noWrap/>
          </w:tcPr>
          <w:p w14:paraId="30CD0BBB" w14:textId="77777777" w:rsidR="008C76E3" w:rsidRPr="00D8141D" w:rsidRDefault="008C76E3" w:rsidP="008C76E3">
            <w:pPr>
              <w:pStyle w:val="HOMEBRBodyText"/>
              <w:keepLines w:val="0"/>
              <w:widowControl w:val="0"/>
              <w:spacing w:after="140" w:line="290" w:lineRule="auto"/>
              <w:jc w:val="both"/>
              <w:rPr>
                <w:rFonts w:cs="Calibri"/>
                <w:lang w:val="pt-BR"/>
              </w:rPr>
            </w:pPr>
            <w:r w:rsidRPr="00D8141D">
              <w:rPr>
                <w:rFonts w:cs="Calibri"/>
                <w:lang w:val="pt-BR"/>
              </w:rPr>
              <w:t>O valor total da Emissão será de R$ 1.200.000.000,00</w:t>
            </w:r>
            <w:r w:rsidRPr="00D8141D">
              <w:rPr>
                <w:rFonts w:eastAsia="Calibri" w:cs="Calibri"/>
                <w:lang w:val="pt-BR"/>
              </w:rPr>
              <w:t xml:space="preserve"> (um bilhão </w:t>
            </w:r>
            <w:r w:rsidRPr="00D8141D">
              <w:rPr>
                <w:rFonts w:cs="Calibri"/>
                <w:lang w:val="pt-BR"/>
              </w:rPr>
              <w:t xml:space="preserve">e duzentos milhões </w:t>
            </w:r>
            <w:r w:rsidRPr="00D8141D">
              <w:rPr>
                <w:rFonts w:eastAsia="Calibri" w:cs="Calibri"/>
                <w:lang w:val="pt-BR"/>
              </w:rPr>
              <w:t xml:space="preserve">de </w:t>
            </w:r>
            <w:r w:rsidRPr="00D8141D">
              <w:rPr>
                <w:rFonts w:cs="Calibri"/>
                <w:lang w:val="pt-BR"/>
              </w:rPr>
              <w:t>reais), na Data de Emissão, observado que o valor originalmente ofertado foi aumentado em 20% (vinte por cento), correspondente a R$ 200.000.000,00 (duzentos milhões de reais), em razão da colocação das Debêntures Adicionais.</w:t>
            </w:r>
          </w:p>
        </w:tc>
      </w:tr>
    </w:tbl>
    <w:p w14:paraId="6DC1EB90" w14:textId="77777777" w:rsidR="009F69E7" w:rsidRPr="00566CD3" w:rsidRDefault="009F69E7" w:rsidP="001A4356">
      <w:pPr>
        <w:spacing w:before="220" w:after="220"/>
        <w:jc w:val="center"/>
      </w:pPr>
      <w:bookmarkStart w:id="13" w:name="_Toc428306441"/>
      <w:bookmarkStart w:id="14" w:name="_Toc87002459"/>
      <w:bookmarkStart w:id="15" w:name="_Toc90045075"/>
    </w:p>
    <w:p w14:paraId="4376D41F" w14:textId="77777777" w:rsidR="009F69E7" w:rsidRPr="00566CD3" w:rsidRDefault="009F69E7" w:rsidP="009F69E7">
      <w:pPr>
        <w:spacing w:before="220" w:after="220"/>
        <w:jc w:val="center"/>
      </w:pPr>
      <w:r w:rsidRPr="00566CD3">
        <w:br w:type="page"/>
      </w:r>
    </w:p>
    <w:p w14:paraId="6B8465F7" w14:textId="5C477CC1" w:rsidR="00E8286C" w:rsidRPr="009E5F9A" w:rsidRDefault="00E8286C" w:rsidP="009E5F9A">
      <w:pPr>
        <w:pStyle w:val="Ttulo1"/>
        <w:keepNext w:val="0"/>
        <w:pageBreakBefore w:val="0"/>
        <w:widowControl w:val="0"/>
        <w:spacing w:after="140" w:line="290" w:lineRule="auto"/>
        <w:rPr>
          <w:rFonts w:cs="Calibri"/>
          <w:caps w:val="0"/>
          <w:szCs w:val="24"/>
        </w:rPr>
      </w:pPr>
      <w:bookmarkStart w:id="16" w:name="_Toc95928387"/>
      <w:r w:rsidRPr="009E5F9A">
        <w:rPr>
          <w:rFonts w:cs="Calibri"/>
          <w:caps w:val="0"/>
          <w:szCs w:val="24"/>
        </w:rPr>
        <w:lastRenderedPageBreak/>
        <w:t>INFORMAÇÕES CADASTRAIS DA EMISSORA</w:t>
      </w:r>
      <w:bookmarkEnd w:id="13"/>
      <w:bookmarkEnd w:id="14"/>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93"/>
        <w:gridCol w:w="5488"/>
      </w:tblGrid>
      <w:tr w:rsidR="00E8286C" w:rsidRPr="0082022E" w14:paraId="1AC6C899" w14:textId="77777777" w:rsidTr="000A1B3E">
        <w:tc>
          <w:tcPr>
            <w:tcW w:w="1875" w:type="pct"/>
            <w:shd w:val="clear" w:color="auto" w:fill="auto"/>
          </w:tcPr>
          <w:p w14:paraId="5148A51F" w14:textId="77777777" w:rsidR="00E8286C" w:rsidRPr="00D8141D" w:rsidRDefault="00E8286C" w:rsidP="00EC0CE3">
            <w:pPr>
              <w:pStyle w:val="HOMEBRBodyText"/>
              <w:keepLines w:val="0"/>
              <w:spacing w:after="140" w:line="290" w:lineRule="auto"/>
              <w:rPr>
                <w:rFonts w:eastAsia="Calibri" w:cs="Calibri"/>
                <w:b/>
                <w:lang w:val="pt-BR"/>
              </w:rPr>
            </w:pPr>
            <w:bookmarkStart w:id="17" w:name="_Hlk87003404"/>
            <w:r w:rsidRPr="00D8141D">
              <w:rPr>
                <w:rFonts w:eastAsia="Calibri" w:cs="Calibri"/>
                <w:b/>
                <w:lang w:val="pt-BR"/>
              </w:rPr>
              <w:t>Identificação</w:t>
            </w:r>
          </w:p>
        </w:tc>
        <w:tc>
          <w:tcPr>
            <w:tcW w:w="3125" w:type="pct"/>
            <w:shd w:val="clear" w:color="auto" w:fill="auto"/>
          </w:tcPr>
          <w:p w14:paraId="6AF381C8" w14:textId="77777777" w:rsidR="00E8286C" w:rsidRPr="00566CD3" w:rsidRDefault="00A42624" w:rsidP="00EC0CE3">
            <w:pPr>
              <w:autoSpaceDE w:val="0"/>
              <w:autoSpaceDN w:val="0"/>
              <w:adjustRightInd w:val="0"/>
              <w:spacing w:after="140" w:line="290" w:lineRule="auto"/>
              <w:jc w:val="both"/>
            </w:pPr>
            <w:r w:rsidRPr="00566CD3">
              <w:rPr>
                <w:b/>
                <w:color w:val="000000"/>
              </w:rPr>
              <w:t>SÃO MARTINHO S.A.</w:t>
            </w:r>
            <w:r w:rsidR="00656D27" w:rsidRPr="00566CD3">
              <w:t xml:space="preserve">, </w:t>
            </w:r>
            <w:r w:rsidRPr="00566CD3">
              <w:t>sociedade por ações, com registro de companhia aberta perante a CVM, c</w:t>
            </w:r>
            <w:r w:rsidR="009717B3" w:rsidRPr="00566CD3">
              <w:t>o</w:t>
            </w:r>
            <w:r w:rsidRPr="00566CD3">
              <w:t xml:space="preserve">m sede na Cidade de </w:t>
            </w:r>
            <w:r w:rsidR="00AA58A3" w:rsidRPr="00566CD3">
              <w:t>Pradópolis</w:t>
            </w:r>
            <w:r w:rsidRPr="00566CD3">
              <w:t>, Estado de São Paulo, na Fazenda São Martinho, s/n, inscrita no CNPJ</w:t>
            </w:r>
            <w:r w:rsidR="00C81040" w:rsidRPr="00566CD3">
              <w:t>/ME</w:t>
            </w:r>
            <w:r w:rsidRPr="00566CD3">
              <w:t xml:space="preserve"> sob o n° 51.466.860/0001-56</w:t>
            </w:r>
            <w:r w:rsidR="000A1B3E" w:rsidRPr="00566CD3">
              <w:t xml:space="preserve">, com seus atos constitutivos arquivados na JUCESP sob o NIRE </w:t>
            </w:r>
            <w:r w:rsidR="000E724B" w:rsidRPr="00566CD3">
              <w:t>35.300.010.485.</w:t>
            </w:r>
          </w:p>
        </w:tc>
      </w:tr>
      <w:tr w:rsidR="00E8286C" w:rsidRPr="0082022E" w14:paraId="5C40A8CA" w14:textId="77777777" w:rsidTr="000A1B3E">
        <w:tc>
          <w:tcPr>
            <w:tcW w:w="1875" w:type="pct"/>
            <w:shd w:val="clear" w:color="auto" w:fill="auto"/>
          </w:tcPr>
          <w:p w14:paraId="570A61A2" w14:textId="77777777" w:rsidR="00E8286C" w:rsidRPr="00D8141D" w:rsidRDefault="00E8286C" w:rsidP="00EC0CE3">
            <w:pPr>
              <w:pStyle w:val="HOMEBRBodyText"/>
              <w:keepLines w:val="0"/>
              <w:spacing w:after="140" w:line="290" w:lineRule="auto"/>
              <w:rPr>
                <w:rFonts w:eastAsia="Calibri" w:cs="Calibri"/>
                <w:b/>
                <w:lang w:val="pt-BR"/>
              </w:rPr>
            </w:pPr>
            <w:r w:rsidRPr="00D8141D">
              <w:rPr>
                <w:rFonts w:eastAsia="Calibri" w:cs="Calibri"/>
                <w:b/>
                <w:lang w:val="pt-BR"/>
              </w:rPr>
              <w:t>Registro na CVM</w:t>
            </w:r>
          </w:p>
        </w:tc>
        <w:tc>
          <w:tcPr>
            <w:tcW w:w="3125" w:type="pct"/>
            <w:shd w:val="clear" w:color="auto" w:fill="auto"/>
          </w:tcPr>
          <w:p w14:paraId="44506BB4" w14:textId="77777777" w:rsidR="00E8286C" w:rsidRPr="00566CD3" w:rsidRDefault="00E8286C" w:rsidP="008909E4">
            <w:pPr>
              <w:autoSpaceDE w:val="0"/>
              <w:autoSpaceDN w:val="0"/>
              <w:adjustRightInd w:val="0"/>
              <w:spacing w:after="140"/>
              <w:jc w:val="both"/>
              <w:rPr>
                <w:spacing w:val="2"/>
              </w:rPr>
            </w:pPr>
            <w:r w:rsidRPr="00566CD3">
              <w:rPr>
                <w:spacing w:val="2"/>
              </w:rPr>
              <w:t xml:space="preserve">Registro </w:t>
            </w:r>
            <w:r w:rsidR="00654AC1" w:rsidRPr="00566CD3">
              <w:rPr>
                <w:spacing w:val="2"/>
              </w:rPr>
              <w:t xml:space="preserve">na categoria </w:t>
            </w:r>
            <w:r w:rsidR="002A4B8C" w:rsidRPr="00566CD3">
              <w:rPr>
                <w:spacing w:val="2"/>
              </w:rPr>
              <w:t>“</w:t>
            </w:r>
            <w:r w:rsidR="00654AC1" w:rsidRPr="00566CD3">
              <w:rPr>
                <w:spacing w:val="2"/>
              </w:rPr>
              <w:t>A</w:t>
            </w:r>
            <w:r w:rsidR="002A4B8C" w:rsidRPr="00566CD3">
              <w:rPr>
                <w:spacing w:val="2"/>
              </w:rPr>
              <w:t>”</w:t>
            </w:r>
            <w:r w:rsidR="00654AC1" w:rsidRPr="00566CD3">
              <w:rPr>
                <w:spacing w:val="2"/>
              </w:rPr>
              <w:t xml:space="preserve"> </w:t>
            </w:r>
            <w:r w:rsidRPr="00566CD3">
              <w:rPr>
                <w:spacing w:val="2"/>
              </w:rPr>
              <w:t xml:space="preserve">obtido em </w:t>
            </w:r>
            <w:r w:rsidR="00AA58A3" w:rsidRPr="00566CD3">
              <w:t>07</w:t>
            </w:r>
            <w:r w:rsidR="00654AC1" w:rsidRPr="00566CD3">
              <w:rPr>
                <w:spacing w:val="2"/>
              </w:rPr>
              <w:t xml:space="preserve"> </w:t>
            </w:r>
            <w:r w:rsidRPr="00566CD3">
              <w:rPr>
                <w:spacing w:val="2"/>
              </w:rPr>
              <w:t xml:space="preserve">de </w:t>
            </w:r>
            <w:r w:rsidR="00AA58A3" w:rsidRPr="00566CD3">
              <w:rPr>
                <w:spacing w:val="2"/>
              </w:rPr>
              <w:t>fevereiro</w:t>
            </w:r>
            <w:r w:rsidR="00654AC1" w:rsidRPr="00566CD3">
              <w:rPr>
                <w:spacing w:val="2"/>
              </w:rPr>
              <w:t xml:space="preserve"> </w:t>
            </w:r>
            <w:r w:rsidRPr="00566CD3">
              <w:rPr>
                <w:spacing w:val="2"/>
              </w:rPr>
              <w:t xml:space="preserve">de </w:t>
            </w:r>
            <w:r w:rsidR="00AA58A3" w:rsidRPr="00566CD3">
              <w:t>2007</w:t>
            </w:r>
            <w:r w:rsidR="00AA58A3" w:rsidRPr="00566CD3">
              <w:rPr>
                <w:spacing w:val="2"/>
              </w:rPr>
              <w:t>.</w:t>
            </w:r>
          </w:p>
        </w:tc>
      </w:tr>
      <w:tr w:rsidR="00E8286C" w:rsidRPr="0082022E" w14:paraId="39C05534" w14:textId="77777777" w:rsidTr="000A1B3E">
        <w:tc>
          <w:tcPr>
            <w:tcW w:w="1875" w:type="pct"/>
            <w:shd w:val="clear" w:color="auto" w:fill="auto"/>
          </w:tcPr>
          <w:p w14:paraId="37982367" w14:textId="77777777" w:rsidR="00E8286C" w:rsidRPr="00D8141D" w:rsidRDefault="00E8286C" w:rsidP="00EC0CE3">
            <w:pPr>
              <w:pStyle w:val="HOMEBRBodyText"/>
              <w:keepLines w:val="0"/>
              <w:spacing w:after="140" w:line="290" w:lineRule="auto"/>
              <w:rPr>
                <w:rFonts w:eastAsia="Calibri" w:cs="Calibri"/>
                <w:b/>
                <w:lang w:val="pt-BR"/>
              </w:rPr>
            </w:pPr>
            <w:r w:rsidRPr="00D8141D">
              <w:rPr>
                <w:rFonts w:eastAsia="Calibri" w:cs="Calibri"/>
                <w:b/>
                <w:lang w:val="pt-BR"/>
              </w:rPr>
              <w:t>Sede</w:t>
            </w:r>
          </w:p>
        </w:tc>
        <w:tc>
          <w:tcPr>
            <w:tcW w:w="3125" w:type="pct"/>
            <w:shd w:val="clear" w:color="auto" w:fill="auto"/>
          </w:tcPr>
          <w:p w14:paraId="6292EDF9" w14:textId="77777777" w:rsidR="00E8286C" w:rsidRPr="00566CD3" w:rsidRDefault="000A1B3E" w:rsidP="008909E4">
            <w:pPr>
              <w:autoSpaceDE w:val="0"/>
              <w:autoSpaceDN w:val="0"/>
              <w:adjustRightInd w:val="0"/>
              <w:spacing w:after="140"/>
              <w:jc w:val="both"/>
              <w:rPr>
                <w:spacing w:val="2"/>
              </w:rPr>
            </w:pPr>
            <w:r w:rsidRPr="00566CD3">
              <w:t xml:space="preserve">Cidade de </w:t>
            </w:r>
            <w:r w:rsidR="00AA58A3" w:rsidRPr="00566CD3">
              <w:t>Pradópolis</w:t>
            </w:r>
            <w:r w:rsidRPr="00566CD3">
              <w:t>, Estado de São Paulo, na Fazenda São Martinho, s/n</w:t>
            </w:r>
            <w:r w:rsidR="00E8286C" w:rsidRPr="00566CD3">
              <w:rPr>
                <w:spacing w:val="2"/>
              </w:rPr>
              <w:t>.</w:t>
            </w:r>
          </w:p>
        </w:tc>
      </w:tr>
      <w:tr w:rsidR="00E8286C" w:rsidRPr="0082022E" w14:paraId="4764CC8C" w14:textId="77777777" w:rsidTr="000A1B3E">
        <w:tc>
          <w:tcPr>
            <w:tcW w:w="1875" w:type="pct"/>
            <w:shd w:val="clear" w:color="auto" w:fill="auto"/>
          </w:tcPr>
          <w:p w14:paraId="22918D60" w14:textId="77777777" w:rsidR="00E8286C" w:rsidRPr="00D8141D" w:rsidRDefault="00E8286C" w:rsidP="00EC0CE3">
            <w:pPr>
              <w:pStyle w:val="HOMEBRBodyText"/>
              <w:keepLines w:val="0"/>
              <w:spacing w:after="140" w:line="290" w:lineRule="auto"/>
              <w:rPr>
                <w:rFonts w:eastAsia="Calibri" w:cs="Calibri"/>
                <w:b/>
                <w:lang w:val="pt-BR"/>
              </w:rPr>
            </w:pPr>
            <w:r w:rsidRPr="00D8141D">
              <w:rPr>
                <w:rFonts w:eastAsia="Calibri" w:cs="Calibri"/>
                <w:b/>
                <w:lang w:val="pt-BR"/>
              </w:rPr>
              <w:t>Objeto Social</w:t>
            </w:r>
          </w:p>
        </w:tc>
        <w:tc>
          <w:tcPr>
            <w:tcW w:w="3125" w:type="pct"/>
            <w:shd w:val="clear" w:color="auto" w:fill="auto"/>
          </w:tcPr>
          <w:p w14:paraId="44E95B6A" w14:textId="77777777" w:rsidR="00E8286C" w:rsidRPr="00566CD3" w:rsidRDefault="00656D27" w:rsidP="006F1FAD">
            <w:pPr>
              <w:autoSpaceDE w:val="0"/>
              <w:autoSpaceDN w:val="0"/>
              <w:adjustRightInd w:val="0"/>
              <w:spacing w:after="140" w:line="320" w:lineRule="exact"/>
              <w:jc w:val="both"/>
              <w:rPr>
                <w:spacing w:val="2"/>
              </w:rPr>
            </w:pPr>
            <w:r w:rsidRPr="00566CD3">
              <w:t xml:space="preserve">Nos termos do artigo </w:t>
            </w:r>
            <w:r w:rsidR="00C81040" w:rsidRPr="00566CD3">
              <w:t>3</w:t>
            </w:r>
            <w:r w:rsidRPr="00566CD3">
              <w:t>º do Estatuto Social da Emissora, as atividades abaixo indicadas estão inseridas no objeto social da Emissora</w:t>
            </w:r>
            <w:r w:rsidR="00534E32" w:rsidRPr="00566CD3">
              <w:t>:</w:t>
            </w:r>
            <w:r w:rsidR="00534E32" w:rsidRPr="00566CD3">
              <w:rPr>
                <w:spacing w:val="2"/>
              </w:rPr>
              <w:t xml:space="preserve"> </w:t>
            </w:r>
            <w:r w:rsidR="00534E32" w:rsidRPr="00566CD3">
              <w:rPr>
                <w:b/>
                <w:spacing w:val="2"/>
              </w:rPr>
              <w:t>(i</w:t>
            </w:r>
            <w:r w:rsidR="005A5273" w:rsidRPr="00566CD3">
              <w:rPr>
                <w:b/>
                <w:spacing w:val="2"/>
              </w:rPr>
              <w:t>)</w:t>
            </w:r>
            <w:r w:rsidR="005A5273" w:rsidRPr="00566CD3">
              <w:rPr>
                <w:spacing w:val="2"/>
              </w:rPr>
              <w:t> </w:t>
            </w:r>
            <w:r w:rsidR="00C81040" w:rsidRPr="00566CD3">
              <w:rPr>
                <w:spacing w:val="2"/>
              </w:rPr>
              <w:t xml:space="preserve"> atividade agroindustrial de industrialização de cana-de açúcar, de produção própria e adquirida de terceiros, fabricação e comércio de açúcar, álcool e seus derivados e cogeração de energia elétrica; </w:t>
            </w:r>
            <w:r w:rsidR="00C81040" w:rsidRPr="00566CD3">
              <w:rPr>
                <w:b/>
                <w:spacing w:val="2"/>
              </w:rPr>
              <w:t xml:space="preserve">(ii) </w:t>
            </w:r>
            <w:r w:rsidR="00C81040" w:rsidRPr="00566CD3">
              <w:rPr>
                <w:spacing w:val="2"/>
              </w:rPr>
              <w:t xml:space="preserve">exploração agrícola e pecuária; </w:t>
            </w:r>
            <w:r w:rsidR="00C81040" w:rsidRPr="00566CD3">
              <w:rPr>
                <w:b/>
                <w:spacing w:val="2"/>
              </w:rPr>
              <w:t>(iii)</w:t>
            </w:r>
            <w:r w:rsidR="00C81040" w:rsidRPr="00566CD3">
              <w:rPr>
                <w:spacing w:val="2"/>
              </w:rPr>
              <w:t xml:space="preserve"> importação e exportação de bens, produtos e matéria-prima; </w:t>
            </w:r>
            <w:r w:rsidR="00C81040" w:rsidRPr="00566CD3">
              <w:rPr>
                <w:b/>
                <w:spacing w:val="2"/>
              </w:rPr>
              <w:t>(iv)</w:t>
            </w:r>
            <w:r w:rsidR="00C81040" w:rsidRPr="00566CD3">
              <w:rPr>
                <w:spacing w:val="2"/>
              </w:rPr>
              <w:t xml:space="preserve">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p>
        </w:tc>
      </w:tr>
      <w:tr w:rsidR="00E8286C" w:rsidRPr="0082022E" w14:paraId="7522BF95" w14:textId="77777777" w:rsidTr="000A1B3E">
        <w:tc>
          <w:tcPr>
            <w:tcW w:w="1875" w:type="pct"/>
            <w:shd w:val="clear" w:color="auto" w:fill="auto"/>
          </w:tcPr>
          <w:p w14:paraId="0107E4F0" w14:textId="77777777" w:rsidR="00E8286C" w:rsidRPr="00D8141D" w:rsidRDefault="00E8286C" w:rsidP="00EC0CE3">
            <w:pPr>
              <w:pStyle w:val="HOMEBRBodyText"/>
              <w:keepLines w:val="0"/>
              <w:spacing w:after="140" w:line="290" w:lineRule="auto"/>
              <w:rPr>
                <w:rFonts w:eastAsia="Calibri" w:cs="Calibri"/>
                <w:b/>
                <w:lang w:val="pt-BR"/>
              </w:rPr>
            </w:pPr>
            <w:r w:rsidRPr="00D8141D">
              <w:rPr>
                <w:rFonts w:eastAsia="Calibri" w:cs="Calibri"/>
                <w:b/>
                <w:lang w:val="pt-BR"/>
              </w:rPr>
              <w:t>Diretoria de Relações com Investidores</w:t>
            </w:r>
          </w:p>
        </w:tc>
        <w:tc>
          <w:tcPr>
            <w:tcW w:w="3125" w:type="pct"/>
            <w:shd w:val="clear" w:color="auto" w:fill="auto"/>
          </w:tcPr>
          <w:p w14:paraId="26E68901" w14:textId="77777777" w:rsidR="00E8286C" w:rsidRPr="00566CD3" w:rsidRDefault="00AA58A3" w:rsidP="008D7C7A">
            <w:pPr>
              <w:autoSpaceDE w:val="0"/>
              <w:autoSpaceDN w:val="0"/>
              <w:adjustRightInd w:val="0"/>
              <w:spacing w:after="140"/>
              <w:jc w:val="both"/>
              <w:rPr>
                <w:color w:val="000000"/>
              </w:rPr>
            </w:pPr>
            <w:r w:rsidRPr="00566CD3">
              <w:rPr>
                <w:spacing w:val="2"/>
              </w:rPr>
              <w:t>Localizada na</w:t>
            </w:r>
            <w:r w:rsidRPr="00566CD3">
              <w:t xml:space="preserve"> Rua Geraldo Flausino Gomes, nº 61, 13º andar, Brooklin, Cidade de São Paulo, Estado de São Paulo CEP 04575-060</w:t>
            </w:r>
            <w:r w:rsidRPr="00566CD3">
              <w:rPr>
                <w:spacing w:val="2"/>
              </w:rPr>
              <w:t>.</w:t>
            </w:r>
          </w:p>
        </w:tc>
      </w:tr>
      <w:tr w:rsidR="00E8286C" w:rsidRPr="0082022E" w14:paraId="6BA9046E" w14:textId="77777777" w:rsidTr="000A1B3E">
        <w:tc>
          <w:tcPr>
            <w:tcW w:w="1875" w:type="pct"/>
            <w:shd w:val="clear" w:color="auto" w:fill="auto"/>
          </w:tcPr>
          <w:p w14:paraId="511CA2C3" w14:textId="77777777" w:rsidR="00E8286C" w:rsidRPr="00D8141D" w:rsidRDefault="00E8286C" w:rsidP="00EC0CE3">
            <w:pPr>
              <w:pStyle w:val="HOMEBRBodyText"/>
              <w:keepLines w:val="0"/>
              <w:spacing w:after="140" w:line="290" w:lineRule="auto"/>
              <w:rPr>
                <w:rFonts w:eastAsia="Calibri" w:cs="Calibri"/>
                <w:b/>
                <w:lang w:val="pt-BR"/>
              </w:rPr>
            </w:pPr>
            <w:r w:rsidRPr="00D8141D">
              <w:rPr>
                <w:rFonts w:eastAsia="Calibri" w:cs="Calibri"/>
                <w:b/>
                <w:lang w:val="pt-BR"/>
              </w:rPr>
              <w:t>Escriturador das ações da Emissora</w:t>
            </w:r>
          </w:p>
        </w:tc>
        <w:tc>
          <w:tcPr>
            <w:tcW w:w="3125" w:type="pct"/>
            <w:shd w:val="clear" w:color="auto" w:fill="auto"/>
          </w:tcPr>
          <w:p w14:paraId="529CFD2A" w14:textId="77777777" w:rsidR="00E8286C" w:rsidRPr="00566CD3" w:rsidRDefault="00AA58A3" w:rsidP="008D7C7A">
            <w:pPr>
              <w:autoSpaceDE w:val="0"/>
              <w:autoSpaceDN w:val="0"/>
              <w:adjustRightInd w:val="0"/>
              <w:spacing w:after="140"/>
              <w:jc w:val="both"/>
              <w:rPr>
                <w:spacing w:val="2"/>
              </w:rPr>
            </w:pPr>
            <w:r w:rsidRPr="00566CD3">
              <w:rPr>
                <w:b/>
              </w:rPr>
              <w:t>BANCO BRADESCO S/A</w:t>
            </w:r>
            <w:r w:rsidRPr="00566CD3">
              <w:t>,</w:t>
            </w:r>
            <w:r w:rsidR="000E724B" w:rsidRPr="00566CD3">
              <w:t xml:space="preserve"> instituição financeira </w:t>
            </w:r>
            <w:r w:rsidRPr="00566CD3">
              <w:t>localizada</w:t>
            </w:r>
            <w:r w:rsidR="0093025D" w:rsidRPr="00566CD3">
              <w:t xml:space="preserve"> na cidade d</w:t>
            </w:r>
            <w:r w:rsidR="00ED4305" w:rsidRPr="00566CD3">
              <w:t xml:space="preserve">e </w:t>
            </w:r>
            <w:r w:rsidRPr="00566CD3">
              <w:t>Osasco</w:t>
            </w:r>
            <w:r w:rsidR="0093025D" w:rsidRPr="00566CD3">
              <w:t xml:space="preserve">, Estado do de São Paulo, </w:t>
            </w:r>
            <w:r w:rsidRPr="00566CD3">
              <w:t>Cidade de deus, Avenida Yara, s/nr., Vila Yara</w:t>
            </w:r>
            <w:r w:rsidR="0093025D" w:rsidRPr="00566CD3">
              <w:t xml:space="preserve">, inscrita no CNPJ/ME sob o nº </w:t>
            </w:r>
            <w:r w:rsidRPr="00566CD3">
              <w:t>60.746.948</w:t>
            </w:r>
            <w:r w:rsidR="0093025D" w:rsidRPr="00566CD3">
              <w:t>/0001-</w:t>
            </w:r>
            <w:r w:rsidRPr="00566CD3">
              <w:t>12</w:t>
            </w:r>
            <w:r w:rsidR="00EC54AC" w:rsidRPr="00566CD3">
              <w:t>.</w:t>
            </w:r>
          </w:p>
        </w:tc>
      </w:tr>
    </w:tbl>
    <w:p w14:paraId="4E1BD770" w14:textId="77777777" w:rsidR="002C2283" w:rsidRPr="00566CD3" w:rsidRDefault="002C2283" w:rsidP="00254113">
      <w:pPr>
        <w:spacing w:line="14" w:lineRule="auto"/>
        <w:rPr>
          <w:sz w:val="2"/>
        </w:rPr>
      </w:pPr>
      <w:bookmarkStart w:id="18" w:name="_DV_C364"/>
    </w:p>
    <w:p w14:paraId="1D24B7AF" w14:textId="77777777" w:rsidR="009E5F9A" w:rsidRPr="00566CD3" w:rsidRDefault="009E5F9A">
      <w:pPr>
        <w:rPr>
          <w:sz w:val="2"/>
        </w:rPr>
      </w:pPr>
      <w:r w:rsidRPr="00566CD3">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93"/>
        <w:gridCol w:w="5488"/>
      </w:tblGrid>
      <w:tr w:rsidR="00E8286C" w:rsidRPr="00D8141D" w14:paraId="24FAF76C" w14:textId="77777777" w:rsidTr="000A1B3E">
        <w:tc>
          <w:tcPr>
            <w:tcW w:w="1875" w:type="pct"/>
            <w:shd w:val="clear" w:color="auto" w:fill="auto"/>
          </w:tcPr>
          <w:p w14:paraId="24A77FCE" w14:textId="77777777" w:rsidR="00E8286C" w:rsidRPr="00D8141D" w:rsidRDefault="00E8286C" w:rsidP="00EC0CE3">
            <w:pPr>
              <w:pStyle w:val="HOMEBRBodyText"/>
              <w:keepLines w:val="0"/>
              <w:spacing w:after="140" w:line="290" w:lineRule="auto"/>
              <w:rPr>
                <w:rFonts w:eastAsia="Calibri" w:cs="Calibri"/>
                <w:b/>
                <w:lang w:val="pt-BR"/>
              </w:rPr>
            </w:pPr>
            <w:r w:rsidRPr="00D8141D">
              <w:rPr>
                <w:rStyle w:val="DeltaViewInsertion"/>
                <w:rFonts w:eastAsia="SimSun" w:cs="Calibri"/>
                <w:b/>
                <w:bCs/>
                <w:color w:val="auto"/>
                <w:w w:val="0"/>
                <w:u w:val="none"/>
                <w:lang w:val="pt-BR"/>
              </w:rPr>
              <w:lastRenderedPageBreak/>
              <w:t>Auditores Independentes</w:t>
            </w:r>
            <w:bookmarkEnd w:id="18"/>
          </w:p>
        </w:tc>
        <w:tc>
          <w:tcPr>
            <w:tcW w:w="3125" w:type="pct"/>
            <w:shd w:val="clear" w:color="auto" w:fill="auto"/>
          </w:tcPr>
          <w:p w14:paraId="48DEC366" w14:textId="77777777" w:rsidR="00E8286C" w:rsidRPr="00D8141D" w:rsidRDefault="00AA58A3" w:rsidP="00EC0CE3">
            <w:pPr>
              <w:pStyle w:val="HOMEBRBodyText"/>
              <w:keepLines w:val="0"/>
              <w:widowControl w:val="0"/>
              <w:spacing w:after="140" w:line="290" w:lineRule="auto"/>
              <w:jc w:val="both"/>
              <w:rPr>
                <w:rFonts w:cs="Calibri"/>
                <w:spacing w:val="2"/>
                <w:lang w:val="pt-BR"/>
              </w:rPr>
            </w:pPr>
            <w:r w:rsidRPr="00D8141D">
              <w:rPr>
                <w:rFonts w:cs="Calibri"/>
                <w:b/>
                <w:bCs/>
                <w:lang w:val="en-US"/>
              </w:rPr>
              <w:t>Ernst &amp; Young Auditores Independentes S.S.</w:t>
            </w:r>
            <w:r w:rsidRPr="00D8141D">
              <w:rPr>
                <w:rFonts w:cs="Calibri"/>
                <w:lang w:val="en-US"/>
              </w:rPr>
              <w:t xml:space="preserve"> e </w:t>
            </w:r>
            <w:r w:rsidR="007D01A9" w:rsidRPr="007D01A9">
              <w:rPr>
                <w:b/>
                <w:bCs/>
              </w:rPr>
              <w:t>Pricewaterhousecoopers Auditores Independentes</w:t>
            </w:r>
            <w:r>
              <w:rPr>
                <w:lang w:val="pt-BR"/>
              </w:rPr>
              <w:t>.</w:t>
            </w:r>
          </w:p>
        </w:tc>
      </w:tr>
      <w:tr w:rsidR="00A76890" w:rsidRPr="0082022E" w14:paraId="6937AE61" w14:textId="77777777" w:rsidTr="000A1B3E">
        <w:tc>
          <w:tcPr>
            <w:tcW w:w="1875" w:type="pct"/>
            <w:shd w:val="clear" w:color="auto" w:fill="auto"/>
          </w:tcPr>
          <w:p w14:paraId="4AF2BC21" w14:textId="77777777" w:rsidR="00A76890" w:rsidRPr="00D8141D" w:rsidRDefault="00A76890" w:rsidP="00A76890">
            <w:pPr>
              <w:pStyle w:val="HOMEBRBodyText"/>
              <w:keepLines w:val="0"/>
              <w:spacing w:after="140" w:line="290" w:lineRule="auto"/>
              <w:rPr>
                <w:rFonts w:eastAsia="Calibri" w:cs="Calibri"/>
                <w:b/>
                <w:lang w:val="pt-BR"/>
              </w:rPr>
            </w:pPr>
            <w:r w:rsidRPr="00D8141D">
              <w:rPr>
                <w:rFonts w:eastAsia="Calibri" w:cs="Calibri"/>
                <w:b/>
                <w:lang w:val="pt-BR"/>
              </w:rPr>
              <w:t>Jornais nos quais divulga informações</w:t>
            </w:r>
          </w:p>
        </w:tc>
        <w:tc>
          <w:tcPr>
            <w:tcW w:w="3125" w:type="pct"/>
            <w:shd w:val="clear" w:color="auto" w:fill="auto"/>
          </w:tcPr>
          <w:p w14:paraId="5D282C48" w14:textId="32248520" w:rsidR="00A76890" w:rsidRPr="00566CD3" w:rsidRDefault="00A76890" w:rsidP="00A76890">
            <w:pPr>
              <w:autoSpaceDE w:val="0"/>
              <w:autoSpaceDN w:val="0"/>
              <w:adjustRightInd w:val="0"/>
              <w:spacing w:after="140" w:line="290" w:lineRule="auto"/>
              <w:jc w:val="both"/>
            </w:pPr>
            <w:r w:rsidRPr="00D33DFE">
              <w:rPr>
                <w:rFonts w:cs="Calibri"/>
                <w:lang w:eastAsia="zh-CN"/>
              </w:rPr>
              <w:t xml:space="preserve">As informações referentes à Emissora, inclusive seus atos societários, são divulgadas no jornal </w:t>
            </w:r>
            <w:r w:rsidRPr="00D33DFE">
              <w:rPr>
                <w:rFonts w:cs="Calibri"/>
              </w:rPr>
              <w:t>“Valor Econômico”.</w:t>
            </w:r>
          </w:p>
        </w:tc>
      </w:tr>
      <w:tr w:rsidR="00E8286C" w:rsidRPr="0082022E" w14:paraId="25ABBA84" w14:textId="77777777" w:rsidTr="000A1B3E">
        <w:tc>
          <w:tcPr>
            <w:tcW w:w="1875" w:type="pct"/>
            <w:shd w:val="clear" w:color="auto" w:fill="auto"/>
          </w:tcPr>
          <w:p w14:paraId="1829B27B" w14:textId="77777777" w:rsidR="00E8286C" w:rsidRPr="00D8141D" w:rsidRDefault="00E8286C" w:rsidP="00EC0CE3">
            <w:pPr>
              <w:pStyle w:val="HOMEBRBodyText"/>
              <w:keepLines w:val="0"/>
              <w:spacing w:after="140" w:line="290" w:lineRule="auto"/>
              <w:rPr>
                <w:rFonts w:eastAsia="Calibri" w:cs="Calibri"/>
                <w:b/>
                <w:lang w:val="pt-BR"/>
              </w:rPr>
            </w:pPr>
            <w:r w:rsidRPr="00D8141D">
              <w:rPr>
                <w:rFonts w:eastAsia="Calibri" w:cs="Calibri"/>
                <w:b/>
                <w:lang w:val="pt-BR"/>
              </w:rPr>
              <w:t>Atendimento aos Debenturistas</w:t>
            </w:r>
          </w:p>
        </w:tc>
        <w:tc>
          <w:tcPr>
            <w:tcW w:w="3125" w:type="pct"/>
            <w:shd w:val="clear" w:color="auto" w:fill="auto"/>
          </w:tcPr>
          <w:p w14:paraId="12B0DA19" w14:textId="77777777" w:rsidR="00E8286C" w:rsidRPr="00566CD3" w:rsidRDefault="00E8286C" w:rsidP="00EC0CE3">
            <w:pPr>
              <w:autoSpaceDE w:val="0"/>
              <w:autoSpaceDN w:val="0"/>
              <w:adjustRightInd w:val="0"/>
              <w:spacing w:after="140" w:line="290" w:lineRule="auto"/>
              <w:jc w:val="both"/>
            </w:pPr>
            <w:r w:rsidRPr="00566CD3">
              <w:t xml:space="preserve">O atendimento aos Debenturistas é feito </w:t>
            </w:r>
            <w:r w:rsidR="007D01A9" w:rsidRPr="00566CD3">
              <w:t xml:space="preserve">através do </w:t>
            </w:r>
            <w:r w:rsidR="00DB205D" w:rsidRPr="00566CD3">
              <w:t>e-mail</w:t>
            </w:r>
            <w:r w:rsidR="007D01A9" w:rsidRPr="00566CD3">
              <w:t>: ri@saomartinho.com.br</w:t>
            </w:r>
            <w:r w:rsidRPr="00566CD3">
              <w:t>.</w:t>
            </w:r>
          </w:p>
        </w:tc>
      </w:tr>
      <w:tr w:rsidR="00E8286C" w:rsidRPr="0082022E" w14:paraId="4821AF8F" w14:textId="77777777" w:rsidTr="000A1B3E">
        <w:tc>
          <w:tcPr>
            <w:tcW w:w="1875" w:type="pct"/>
            <w:shd w:val="clear" w:color="auto" w:fill="auto"/>
          </w:tcPr>
          <w:p w14:paraId="481F0DBA" w14:textId="77777777" w:rsidR="00E8286C" w:rsidRPr="00D8141D" w:rsidRDefault="00E8286C" w:rsidP="00EC0CE3">
            <w:pPr>
              <w:pStyle w:val="HOMEBRBodyText"/>
              <w:keepLines w:val="0"/>
              <w:spacing w:after="140" w:line="290" w:lineRule="auto"/>
              <w:rPr>
                <w:rFonts w:eastAsia="Calibri" w:cs="Calibri"/>
                <w:b/>
                <w:i/>
                <w:iCs/>
                <w:lang w:val="pt-BR"/>
              </w:rPr>
            </w:pPr>
            <w:r w:rsidRPr="00D8141D">
              <w:rPr>
                <w:rFonts w:eastAsia="Calibri" w:cs="Calibri"/>
                <w:b/>
                <w:i/>
                <w:iCs/>
                <w:lang w:val="pt-BR"/>
              </w:rPr>
              <w:t>Website da Emissora</w:t>
            </w:r>
          </w:p>
        </w:tc>
        <w:tc>
          <w:tcPr>
            <w:tcW w:w="3125" w:type="pct"/>
            <w:shd w:val="clear" w:color="auto" w:fill="auto"/>
          </w:tcPr>
          <w:p w14:paraId="6A5E861D" w14:textId="77777777" w:rsidR="00E8286C" w:rsidRPr="00566CD3" w:rsidRDefault="00301B1D" w:rsidP="00EC0CE3">
            <w:pPr>
              <w:autoSpaceDE w:val="0"/>
              <w:autoSpaceDN w:val="0"/>
              <w:adjustRightInd w:val="0"/>
              <w:spacing w:after="140" w:line="290" w:lineRule="auto"/>
              <w:jc w:val="both"/>
            </w:pPr>
            <w:r w:rsidRPr="00566CD3">
              <w:t>https://www.saomartinho.com.br/</w:t>
            </w:r>
          </w:p>
          <w:p w14:paraId="474BF5CE" w14:textId="75117A89" w:rsidR="00E8286C" w:rsidRPr="00566CD3" w:rsidRDefault="00E8286C" w:rsidP="00EC0CE3">
            <w:pPr>
              <w:autoSpaceDE w:val="0"/>
              <w:autoSpaceDN w:val="0"/>
              <w:adjustRightInd w:val="0"/>
              <w:spacing w:after="140" w:line="290" w:lineRule="auto"/>
              <w:jc w:val="both"/>
            </w:pPr>
            <w:r w:rsidRPr="00566CD3">
              <w:t xml:space="preserve">Informações detalhadas sobre a Emissora, seus resultados, negócios e operações poderão ser encontradas no seu Formulário de Referência, elaborado nos termos da Instrução CVM 480, que se encontra disponível nos endereços indicados na seção </w:t>
            </w:r>
            <w:r w:rsidR="002A4B8C" w:rsidRPr="00566CD3">
              <w:t>“</w:t>
            </w:r>
            <w:r w:rsidRPr="00566CD3">
              <w:t>Documentos e Informações Incorporados a este Prospecto por Referência</w:t>
            </w:r>
            <w:r w:rsidR="002A4B8C" w:rsidRPr="00566CD3">
              <w:t>”</w:t>
            </w:r>
            <w:r w:rsidRPr="00566CD3">
              <w:t xml:space="preserve"> na página </w:t>
            </w:r>
            <w:r w:rsidR="001C096E" w:rsidRPr="00D8141D">
              <w:rPr>
                <w:rFonts w:cs="Calibri"/>
                <w:noProof/>
              </w:rPr>
              <w:fldChar w:fldCharType="begin"/>
            </w:r>
            <w:r w:rsidR="001C096E" w:rsidRPr="00566CD3">
              <w:instrText xml:space="preserve"> PAGEREF _Ref90056201 \h </w:instrText>
            </w:r>
            <w:r w:rsidR="001C096E" w:rsidRPr="00D8141D">
              <w:rPr>
                <w:rFonts w:cs="Calibri"/>
                <w:noProof/>
              </w:rPr>
            </w:r>
            <w:r w:rsidR="001C096E" w:rsidRPr="00D8141D">
              <w:rPr>
                <w:rFonts w:cs="Calibri"/>
                <w:noProof/>
              </w:rPr>
              <w:fldChar w:fldCharType="separate"/>
            </w:r>
            <w:r w:rsidR="001166EA">
              <w:rPr>
                <w:noProof/>
              </w:rPr>
              <w:t>33</w:t>
            </w:r>
            <w:r w:rsidR="001C096E" w:rsidRPr="00D8141D">
              <w:rPr>
                <w:rFonts w:cs="Calibri"/>
                <w:noProof/>
              </w:rPr>
              <w:fldChar w:fldCharType="end"/>
            </w:r>
            <w:r w:rsidRPr="00566CD3">
              <w:t xml:space="preserve"> deste Prospecto. As informações constantes no </w:t>
            </w:r>
            <w:r w:rsidRPr="00566CD3">
              <w:rPr>
                <w:i/>
              </w:rPr>
              <w:t>website</w:t>
            </w:r>
            <w:r w:rsidRPr="00566CD3">
              <w:t xml:space="preserve"> da Emissora não são parte integrante deste Prospecto e não estão a ele incorporadas por referência.</w:t>
            </w:r>
          </w:p>
        </w:tc>
      </w:tr>
      <w:tr w:rsidR="00E8286C" w:rsidRPr="0082022E" w14:paraId="003DB89C" w14:textId="77777777" w:rsidTr="000A1B3E">
        <w:tc>
          <w:tcPr>
            <w:tcW w:w="1875" w:type="pct"/>
            <w:shd w:val="clear" w:color="auto" w:fill="auto"/>
          </w:tcPr>
          <w:p w14:paraId="4F58E4FA" w14:textId="77777777" w:rsidR="00E8286C" w:rsidRPr="00D8141D" w:rsidRDefault="00E8286C" w:rsidP="00EC0CE3">
            <w:pPr>
              <w:pStyle w:val="HOMEBRBodyText"/>
              <w:keepLines w:val="0"/>
              <w:spacing w:after="140" w:line="290" w:lineRule="auto"/>
              <w:rPr>
                <w:rFonts w:eastAsia="Calibri" w:cs="Calibri"/>
                <w:b/>
                <w:iCs/>
                <w:lang w:val="pt-BR"/>
              </w:rPr>
            </w:pPr>
            <w:r w:rsidRPr="00D8141D">
              <w:rPr>
                <w:rFonts w:eastAsia="Calibri" w:cs="Calibri"/>
                <w:b/>
                <w:iCs/>
                <w:lang w:val="pt-BR"/>
              </w:rPr>
              <w:t>Informações Adicionais</w:t>
            </w:r>
          </w:p>
        </w:tc>
        <w:tc>
          <w:tcPr>
            <w:tcW w:w="3125" w:type="pct"/>
            <w:shd w:val="clear" w:color="auto" w:fill="auto"/>
          </w:tcPr>
          <w:p w14:paraId="20553778" w14:textId="48FB4E35" w:rsidR="00E8286C" w:rsidRPr="00566CD3" w:rsidRDefault="00E8286C" w:rsidP="00EC0CE3">
            <w:pPr>
              <w:autoSpaceDE w:val="0"/>
              <w:autoSpaceDN w:val="0"/>
              <w:adjustRightInd w:val="0"/>
              <w:spacing w:after="140" w:line="290" w:lineRule="auto"/>
              <w:jc w:val="both"/>
            </w:pPr>
            <w:r w:rsidRPr="00566CD3">
              <w:t xml:space="preserve">Informações adicionais sobre a Emissora, as Debêntures e a Oferta poderão ser obtidas no Formulário de Referência, incorporado por referência a este Prospecto, e junto à diretoria de relações com investidores da Emissora, </w:t>
            </w:r>
            <w:r w:rsidR="00560AC5" w:rsidRPr="00566CD3">
              <w:t>ao Coordenador Líder</w:t>
            </w:r>
            <w:r w:rsidRPr="00566CD3">
              <w:t xml:space="preserve">, à CVM, ao Agente Fiduciário, à </w:t>
            </w:r>
            <w:r w:rsidR="00F82651" w:rsidRPr="00566CD3">
              <w:t>B3</w:t>
            </w:r>
            <w:r w:rsidRPr="00566CD3">
              <w:t xml:space="preserve">, nos endereços e </w:t>
            </w:r>
            <w:r w:rsidRPr="00566CD3">
              <w:rPr>
                <w:i/>
              </w:rPr>
              <w:t>websites</w:t>
            </w:r>
            <w:r w:rsidR="004C6099" w:rsidRPr="00566CD3">
              <w:t>, conforme o caso,</w:t>
            </w:r>
            <w:r w:rsidRPr="00566CD3">
              <w:rPr>
                <w:i/>
              </w:rPr>
              <w:t xml:space="preserve"> </w:t>
            </w:r>
            <w:r w:rsidRPr="00566CD3">
              <w:t xml:space="preserve">indicados na seção </w:t>
            </w:r>
            <w:r w:rsidR="002A4B8C" w:rsidRPr="00566CD3">
              <w:t>“</w:t>
            </w:r>
            <w:r w:rsidRPr="00566CD3">
              <w:t>Informações Sobre a Emissora, o</w:t>
            </w:r>
            <w:r w:rsidR="00301B1D" w:rsidRPr="00566CD3">
              <w:t xml:space="preserve"> Coordenador Líder</w:t>
            </w:r>
            <w:r w:rsidRPr="00566CD3">
              <w:t xml:space="preserve">, os Consultores, o Agente Fiduciário, o </w:t>
            </w:r>
            <w:r w:rsidR="009D09A0" w:rsidRPr="00566CD3">
              <w:t>Agente de Liquidação</w:t>
            </w:r>
            <w:r w:rsidRPr="00566CD3">
              <w:t xml:space="preserve"> e Escriturador e os Auditores Independentes</w:t>
            </w:r>
            <w:r w:rsidR="002A4B8C" w:rsidRPr="00566CD3">
              <w:t>”</w:t>
            </w:r>
            <w:r w:rsidRPr="00566CD3">
              <w:t xml:space="preserve"> na página </w:t>
            </w:r>
            <w:r w:rsidR="001C096E" w:rsidRPr="00D8141D">
              <w:rPr>
                <w:rFonts w:cs="Calibri"/>
                <w:noProof/>
              </w:rPr>
              <w:fldChar w:fldCharType="begin"/>
            </w:r>
            <w:r w:rsidR="001C096E" w:rsidRPr="00566CD3">
              <w:instrText xml:space="preserve"> PAGEREF _Ref90056235 \h </w:instrText>
            </w:r>
            <w:r w:rsidR="001C096E" w:rsidRPr="00D8141D">
              <w:rPr>
                <w:rFonts w:cs="Calibri"/>
                <w:noProof/>
              </w:rPr>
            </w:r>
            <w:r w:rsidR="001C096E" w:rsidRPr="00D8141D">
              <w:rPr>
                <w:rFonts w:cs="Calibri"/>
                <w:noProof/>
              </w:rPr>
              <w:fldChar w:fldCharType="separate"/>
            </w:r>
            <w:r w:rsidR="001166EA">
              <w:rPr>
                <w:noProof/>
              </w:rPr>
              <w:t>143</w:t>
            </w:r>
            <w:r w:rsidR="001C096E" w:rsidRPr="00D8141D">
              <w:rPr>
                <w:rFonts w:cs="Calibri"/>
                <w:noProof/>
              </w:rPr>
              <w:fldChar w:fldCharType="end"/>
            </w:r>
            <w:r w:rsidRPr="00566CD3">
              <w:t xml:space="preserve"> deste Prospecto.</w:t>
            </w:r>
          </w:p>
        </w:tc>
      </w:tr>
    </w:tbl>
    <w:p w14:paraId="5ADFED1F" w14:textId="77777777" w:rsidR="009E5F9A" w:rsidRPr="00566CD3" w:rsidRDefault="009E5F9A" w:rsidP="009E5F9A">
      <w:pPr>
        <w:pStyle w:val="Ttulo1"/>
        <w:keepNext w:val="0"/>
        <w:pageBreakBefore w:val="0"/>
        <w:widowControl w:val="0"/>
        <w:spacing w:after="140" w:line="290" w:lineRule="auto"/>
        <w:rPr>
          <w:caps w:val="0"/>
        </w:rPr>
      </w:pPr>
      <w:bookmarkStart w:id="19" w:name="_Toc428306442"/>
      <w:bookmarkStart w:id="20" w:name="_Ref434935192"/>
      <w:bookmarkStart w:id="21" w:name="_Ref434935303"/>
      <w:bookmarkStart w:id="22" w:name="_Ref434935432"/>
      <w:bookmarkStart w:id="23" w:name="_Ref434937060"/>
      <w:bookmarkStart w:id="24" w:name="_Ref459515506"/>
      <w:bookmarkStart w:id="25" w:name="_Ref515314683"/>
      <w:bookmarkStart w:id="26" w:name="_Toc87002460"/>
      <w:bookmarkStart w:id="27" w:name="_Ref90046672"/>
      <w:bookmarkStart w:id="28" w:name="_Ref90052251"/>
      <w:bookmarkStart w:id="29" w:name="_Ref90056201"/>
      <w:bookmarkStart w:id="30" w:name="_Ref90060024"/>
      <w:bookmarkStart w:id="31" w:name="_Ref90071930"/>
      <w:bookmarkStart w:id="32" w:name="_Toc90045076"/>
      <w:bookmarkEnd w:id="17"/>
    </w:p>
    <w:p w14:paraId="5B989DCC" w14:textId="77777777" w:rsidR="00E8286C" w:rsidRPr="00566CD3" w:rsidRDefault="009E5F9A" w:rsidP="009E5F9A">
      <w:pPr>
        <w:pStyle w:val="Ttulo1"/>
        <w:keepNext w:val="0"/>
        <w:pageBreakBefore w:val="0"/>
        <w:widowControl w:val="0"/>
        <w:spacing w:after="140" w:line="290" w:lineRule="auto"/>
        <w:rPr>
          <w:caps w:val="0"/>
        </w:rPr>
      </w:pPr>
      <w:r w:rsidRPr="00566CD3">
        <w:rPr>
          <w:caps w:val="0"/>
        </w:rPr>
        <w:br w:type="page"/>
      </w:r>
      <w:bookmarkStart w:id="33" w:name="_Toc95928388"/>
      <w:r w:rsidR="00E8286C" w:rsidRPr="00566CD3">
        <w:rPr>
          <w:caps w:val="0"/>
        </w:rPr>
        <w:lastRenderedPageBreak/>
        <w:t>DOCUMENTOS E INFORMAÇÕES INCORPORADOS A ESTE PROSPECTO POR REFERÊNCIA</w:t>
      </w:r>
      <w:bookmarkStart w:id="34" w:name="_Toc36961398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8EA73AE" w14:textId="77777777" w:rsidR="00E8286C" w:rsidRPr="00566CD3" w:rsidRDefault="00E8286C" w:rsidP="002A7778">
      <w:pPr>
        <w:spacing w:after="140" w:line="290" w:lineRule="auto"/>
        <w:ind w:left="72" w:right="72"/>
        <w:jc w:val="both"/>
        <w:textAlignment w:val="baseline"/>
        <w:rPr>
          <w:color w:val="000000"/>
        </w:rPr>
      </w:pPr>
      <w:r w:rsidRPr="00566CD3">
        <w:rPr>
          <w:color w:val="000000"/>
        </w:rPr>
        <w:t>Os seguintes documentos, conforme arquivados na CVM, são incorporados por referência a este Prospecto:</w:t>
      </w:r>
    </w:p>
    <w:p w14:paraId="25648226" w14:textId="77777777" w:rsidR="00C12A0F" w:rsidRPr="00566CD3" w:rsidRDefault="00C12A0F" w:rsidP="002A7778">
      <w:pPr>
        <w:numPr>
          <w:ilvl w:val="0"/>
          <w:numId w:val="5"/>
        </w:numPr>
        <w:tabs>
          <w:tab w:val="clear" w:pos="360"/>
        </w:tabs>
        <w:spacing w:after="140" w:line="290" w:lineRule="auto"/>
        <w:ind w:left="567" w:right="72" w:hanging="567"/>
        <w:jc w:val="both"/>
        <w:textAlignment w:val="baseline"/>
        <w:rPr>
          <w:color w:val="000000"/>
        </w:rPr>
      </w:pPr>
      <w:r w:rsidRPr="00566CD3">
        <w:rPr>
          <w:color w:val="000000"/>
        </w:rPr>
        <w:t xml:space="preserve">o Estatuto Social da Emissora, conforme aprovado em Assembleia Geral Extraordinária </w:t>
      </w:r>
      <w:r w:rsidR="00DB205D" w:rsidRPr="00566CD3">
        <w:rPr>
          <w:color w:val="000000"/>
        </w:rPr>
        <w:t xml:space="preserve">e Ordinária </w:t>
      </w:r>
      <w:r w:rsidRPr="00566CD3">
        <w:rPr>
          <w:color w:val="000000"/>
        </w:rPr>
        <w:t xml:space="preserve">da Emissora, em </w:t>
      </w:r>
      <w:r w:rsidR="007D01A9" w:rsidRPr="00566CD3">
        <w:rPr>
          <w:color w:val="000000"/>
        </w:rPr>
        <w:t>30</w:t>
      </w:r>
      <w:r w:rsidRPr="00566CD3">
        <w:rPr>
          <w:color w:val="000000"/>
        </w:rPr>
        <w:t xml:space="preserve"> de </w:t>
      </w:r>
      <w:r w:rsidR="007D01A9" w:rsidRPr="00566CD3">
        <w:rPr>
          <w:color w:val="000000"/>
        </w:rPr>
        <w:t>julho</w:t>
      </w:r>
      <w:r w:rsidRPr="00566CD3">
        <w:rPr>
          <w:color w:val="000000"/>
        </w:rPr>
        <w:t xml:space="preserve"> de 2021;</w:t>
      </w:r>
    </w:p>
    <w:p w14:paraId="1BE1BE87" w14:textId="3E13DF76" w:rsidR="00E8286C" w:rsidRPr="00566CD3" w:rsidRDefault="00A76890" w:rsidP="002A7778">
      <w:pPr>
        <w:numPr>
          <w:ilvl w:val="0"/>
          <w:numId w:val="5"/>
        </w:numPr>
        <w:tabs>
          <w:tab w:val="clear" w:pos="360"/>
        </w:tabs>
        <w:spacing w:after="140" w:line="290" w:lineRule="auto"/>
        <w:ind w:left="567" w:right="72" w:hanging="567"/>
        <w:jc w:val="both"/>
        <w:textAlignment w:val="baseline"/>
        <w:rPr>
          <w:color w:val="000000"/>
        </w:rPr>
      </w:pPr>
      <w:r w:rsidRPr="00A76890">
        <w:rPr>
          <w:rFonts w:eastAsia="Tahoma" w:cs="Calibri"/>
          <w:color w:val="000000"/>
        </w:rPr>
        <w:t>o Formulário de Referência da Emissora, em sua versão 6, elaborado nos termos da Instrução CVM 480</w:t>
      </w:r>
      <w:r w:rsidR="00E8286C" w:rsidRPr="00566CD3">
        <w:rPr>
          <w:color w:val="000000"/>
        </w:rPr>
        <w:t>;</w:t>
      </w:r>
      <w:r w:rsidR="00820C33" w:rsidRPr="00566CD3">
        <w:rPr>
          <w:color w:val="000000"/>
        </w:rPr>
        <w:t xml:space="preserve"> </w:t>
      </w:r>
    </w:p>
    <w:p w14:paraId="3E5708E6" w14:textId="47CEEEE0" w:rsidR="007545D0" w:rsidRPr="00566CD3" w:rsidRDefault="00CE4D98" w:rsidP="002A7778">
      <w:pPr>
        <w:numPr>
          <w:ilvl w:val="0"/>
          <w:numId w:val="5"/>
        </w:numPr>
        <w:tabs>
          <w:tab w:val="clear" w:pos="360"/>
        </w:tabs>
        <w:spacing w:after="140" w:line="290" w:lineRule="auto"/>
        <w:ind w:left="567" w:right="72" w:hanging="567"/>
        <w:jc w:val="both"/>
        <w:textAlignment w:val="baseline"/>
        <w:rPr>
          <w:color w:val="000000"/>
        </w:rPr>
      </w:pPr>
      <w:r w:rsidRPr="00566CD3">
        <w:rPr>
          <w:color w:val="000000"/>
        </w:rPr>
        <w:t>as Informações Trimestrais</w:t>
      </w:r>
      <w:r w:rsidR="0037189A" w:rsidRPr="00566CD3">
        <w:rPr>
          <w:color w:val="000000"/>
        </w:rPr>
        <w:t xml:space="preserve"> da Emissora</w:t>
      </w:r>
      <w:r w:rsidR="00C81040" w:rsidRPr="00566CD3">
        <w:rPr>
          <w:color w:val="000000"/>
        </w:rPr>
        <w:t xml:space="preserve"> relativas ao trimestre encerrado em </w:t>
      </w:r>
      <w:r w:rsidR="00C81040" w:rsidRPr="0082022E">
        <w:rPr>
          <w:rFonts w:eastAsia="Tahoma" w:cs="Calibri"/>
          <w:color w:val="000000"/>
        </w:rPr>
        <w:t>3</w:t>
      </w:r>
      <w:r w:rsidR="008C76E3">
        <w:rPr>
          <w:rFonts w:eastAsia="Tahoma" w:cs="Calibri"/>
          <w:color w:val="000000"/>
        </w:rPr>
        <w:t>1</w:t>
      </w:r>
      <w:r w:rsidR="00C81040" w:rsidRPr="00566CD3">
        <w:rPr>
          <w:color w:val="000000"/>
        </w:rPr>
        <w:t xml:space="preserve"> de </w:t>
      </w:r>
      <w:r w:rsidR="008C76E3">
        <w:rPr>
          <w:rFonts w:eastAsia="Tahoma" w:cs="Calibri"/>
          <w:color w:val="000000"/>
        </w:rPr>
        <w:t>dezembro</w:t>
      </w:r>
      <w:r w:rsidR="008C76E3" w:rsidRPr="00566CD3">
        <w:rPr>
          <w:color w:val="000000"/>
        </w:rPr>
        <w:t xml:space="preserve"> </w:t>
      </w:r>
      <w:r w:rsidR="00C81040" w:rsidRPr="00566CD3">
        <w:rPr>
          <w:color w:val="000000"/>
        </w:rPr>
        <w:t>de 2021</w:t>
      </w:r>
      <w:r w:rsidRPr="00566CD3">
        <w:rPr>
          <w:color w:val="000000"/>
        </w:rPr>
        <w:t>, acompanhada das notas explicativas e do respectivo relatório de revisão do auditor independente</w:t>
      </w:r>
      <w:r w:rsidR="007545D0" w:rsidRPr="00566CD3">
        <w:rPr>
          <w:color w:val="000000"/>
        </w:rPr>
        <w:t>; e</w:t>
      </w:r>
    </w:p>
    <w:p w14:paraId="2BFD40D0" w14:textId="77777777" w:rsidR="00E8286C" w:rsidRPr="00566CD3" w:rsidRDefault="00CE4D98" w:rsidP="002A7778">
      <w:pPr>
        <w:numPr>
          <w:ilvl w:val="0"/>
          <w:numId w:val="5"/>
        </w:numPr>
        <w:tabs>
          <w:tab w:val="clear" w:pos="360"/>
        </w:tabs>
        <w:spacing w:after="140" w:line="290" w:lineRule="auto"/>
        <w:ind w:left="567" w:right="72" w:hanging="567"/>
        <w:jc w:val="both"/>
        <w:textAlignment w:val="baseline"/>
        <w:rPr>
          <w:color w:val="000000"/>
        </w:rPr>
      </w:pPr>
      <w:r w:rsidRPr="00566CD3">
        <w:rPr>
          <w:color w:val="000000"/>
        </w:rPr>
        <w:t xml:space="preserve">as demonstrações financeiras </w:t>
      </w:r>
      <w:r w:rsidR="006A3F13" w:rsidRPr="00566CD3">
        <w:rPr>
          <w:color w:val="000000"/>
        </w:rPr>
        <w:t xml:space="preserve">consolidadas </w:t>
      </w:r>
      <w:r w:rsidRPr="00566CD3">
        <w:rPr>
          <w:color w:val="000000"/>
        </w:rPr>
        <w:t xml:space="preserve">da Emissora relativas aos exercícios sociais encerrados em 31 de </w:t>
      </w:r>
      <w:r w:rsidR="007D01A9" w:rsidRPr="00566CD3">
        <w:rPr>
          <w:color w:val="000000"/>
        </w:rPr>
        <w:t>março</w:t>
      </w:r>
      <w:r w:rsidRPr="00566CD3">
        <w:rPr>
          <w:color w:val="000000"/>
        </w:rPr>
        <w:t xml:space="preserve"> de </w:t>
      </w:r>
      <w:r w:rsidR="006E43CC" w:rsidRPr="00566CD3">
        <w:rPr>
          <w:color w:val="000000"/>
        </w:rPr>
        <w:t>2019</w:t>
      </w:r>
      <w:r w:rsidR="007D01A9" w:rsidRPr="00566CD3">
        <w:rPr>
          <w:color w:val="000000"/>
        </w:rPr>
        <w:t>,</w:t>
      </w:r>
      <w:r w:rsidR="006E43CC" w:rsidRPr="00566CD3">
        <w:rPr>
          <w:color w:val="000000"/>
        </w:rPr>
        <w:t xml:space="preserve"> 2020</w:t>
      </w:r>
      <w:r w:rsidR="007D01A9" w:rsidRPr="00566CD3">
        <w:rPr>
          <w:color w:val="000000"/>
        </w:rPr>
        <w:t xml:space="preserve"> e 2021</w:t>
      </w:r>
      <w:r w:rsidRPr="00566CD3">
        <w:rPr>
          <w:color w:val="000000"/>
        </w:rPr>
        <w:t>, acompanhadas das notas explicativas e do</w:t>
      </w:r>
      <w:r w:rsidR="0050642E" w:rsidRPr="00566CD3">
        <w:rPr>
          <w:color w:val="000000"/>
        </w:rPr>
        <w:t>s</w:t>
      </w:r>
      <w:r w:rsidRPr="00566CD3">
        <w:rPr>
          <w:color w:val="000000"/>
        </w:rPr>
        <w:t xml:space="preserve"> respectivo</w:t>
      </w:r>
      <w:r w:rsidR="0050642E" w:rsidRPr="00566CD3">
        <w:rPr>
          <w:color w:val="000000"/>
        </w:rPr>
        <w:t>s</w:t>
      </w:r>
      <w:r w:rsidRPr="00566CD3">
        <w:rPr>
          <w:color w:val="000000"/>
        </w:rPr>
        <w:t xml:space="preserve"> relatório</w:t>
      </w:r>
      <w:r w:rsidR="0050642E" w:rsidRPr="00566CD3">
        <w:rPr>
          <w:color w:val="000000"/>
        </w:rPr>
        <w:t>s</w:t>
      </w:r>
      <w:r w:rsidRPr="00566CD3">
        <w:rPr>
          <w:color w:val="000000"/>
        </w:rPr>
        <w:t xml:space="preserve"> do auditor independente</w:t>
      </w:r>
      <w:r w:rsidR="00E8286C" w:rsidRPr="00566CD3">
        <w:rPr>
          <w:color w:val="000000"/>
        </w:rPr>
        <w:t>.</w:t>
      </w:r>
    </w:p>
    <w:p w14:paraId="2DAC3C90" w14:textId="77777777" w:rsidR="00E8286C" w:rsidRPr="00566CD3" w:rsidRDefault="00E8286C" w:rsidP="002A7778">
      <w:pPr>
        <w:spacing w:after="140" w:line="290" w:lineRule="auto"/>
        <w:ind w:left="72" w:right="72"/>
        <w:jc w:val="both"/>
        <w:textAlignment w:val="baseline"/>
        <w:rPr>
          <w:color w:val="000000"/>
        </w:rPr>
      </w:pPr>
      <w:r w:rsidRPr="00566CD3">
        <w:rPr>
          <w:color w:val="000000"/>
        </w:rPr>
        <w:t>Os documentos incorporados por referência a este Prospecto podem ser obtidos nos endereços indicados abaixo:</w:t>
      </w:r>
    </w:p>
    <w:p w14:paraId="439C215A" w14:textId="77777777" w:rsidR="008170A7" w:rsidRPr="00D8141D" w:rsidRDefault="00DB205D">
      <w:pPr>
        <w:spacing w:after="140" w:line="288" w:lineRule="auto"/>
        <w:ind w:left="72" w:right="72"/>
        <w:jc w:val="both"/>
        <w:textAlignment w:val="baseline"/>
        <w:rPr>
          <w:rFonts w:eastAsia="Tahoma" w:cs="Calibri"/>
          <w:b/>
          <w:color w:val="000000"/>
        </w:rPr>
      </w:pPr>
      <w:r w:rsidRPr="00D8141D">
        <w:rPr>
          <w:rFonts w:eastAsia="Tahoma" w:cs="Calibri"/>
          <w:b/>
          <w:color w:val="000000"/>
        </w:rPr>
        <w:t xml:space="preserve">Estatuto Social </w:t>
      </w:r>
    </w:p>
    <w:p w14:paraId="57B846A5" w14:textId="77777777" w:rsidR="008170A7" w:rsidRPr="00566CD3" w:rsidRDefault="00DB205D" w:rsidP="00254113">
      <w:pPr>
        <w:widowControl w:val="0"/>
        <w:numPr>
          <w:ilvl w:val="0"/>
          <w:numId w:val="6"/>
        </w:numPr>
        <w:tabs>
          <w:tab w:val="clear" w:pos="360"/>
          <w:tab w:val="left" w:pos="426"/>
        </w:tabs>
        <w:spacing w:after="140" w:line="288" w:lineRule="auto"/>
        <w:ind w:left="0" w:right="72"/>
        <w:jc w:val="both"/>
        <w:textAlignment w:val="baseline"/>
        <w:rPr>
          <w:color w:val="000000"/>
        </w:rPr>
      </w:pPr>
      <w:r w:rsidRPr="00566CD3">
        <w:rPr>
          <w:b/>
          <w:spacing w:val="7"/>
        </w:rPr>
        <w:t>Emissora</w:t>
      </w:r>
      <w:r w:rsidRPr="00566CD3">
        <w:rPr>
          <w:spacing w:val="7"/>
        </w:rPr>
        <w:t xml:space="preserve">: </w:t>
      </w:r>
      <w:r w:rsidRPr="00566CD3">
        <w:t>https://ri.saomartinho.com.br/ (neste website, acessar “Governança Corporativa”, “Atas e Assembleias”, selecionar “Ata de Assembleia Geral Extraordinária e Ordinária realizada em 30 de julho de 2021”).</w:t>
      </w:r>
    </w:p>
    <w:p w14:paraId="537B16AF" w14:textId="77777777" w:rsidR="008170A7" w:rsidRPr="00566CD3" w:rsidRDefault="00DB205D" w:rsidP="00254113">
      <w:pPr>
        <w:widowControl w:val="0"/>
        <w:numPr>
          <w:ilvl w:val="0"/>
          <w:numId w:val="6"/>
        </w:numPr>
        <w:tabs>
          <w:tab w:val="clear" w:pos="360"/>
          <w:tab w:val="left" w:pos="426"/>
        </w:tabs>
        <w:spacing w:after="140"/>
        <w:ind w:left="0" w:right="72"/>
        <w:jc w:val="both"/>
        <w:textAlignment w:val="baseline"/>
        <w:rPr>
          <w:color w:val="000000"/>
        </w:rPr>
      </w:pPr>
      <w:r w:rsidRPr="00566CD3">
        <w:rPr>
          <w:b/>
          <w:spacing w:val="7"/>
        </w:rPr>
        <w:t>CVM:</w:t>
      </w:r>
      <w:r w:rsidRPr="00566CD3">
        <w:rPr>
          <w:color w:val="000000"/>
        </w:rPr>
        <w:t xml:space="preserve"> </w:t>
      </w:r>
      <w:r w:rsidRPr="00566CD3">
        <w:t>www.cvm.gov.br (neste website, acessar em “Informações de Regulados” ao lado esquerdo da tela, clicar em “Companhias”, clicar em “Informações Periódicas e Eventuais de Companhias”, clicar em “Informações periódicas e eventuais (ITR, DFs, Fatos Relevantes, Comunicados ao Mercados, entre outros)” buscar por “SÃO MARTINHO S.A.” no campo disponível. Em seguida, acessar “SÃO MARTINHO S.A.”</w:t>
      </w:r>
      <w:r w:rsidRPr="00566CD3">
        <w:rPr>
          <w:spacing w:val="6"/>
        </w:rPr>
        <w:t>. Na página seguinte, selecionar o “Período de Entrega” desejado, no campo “Categoria” selecionar “Estatuto Social” e clicar em “Consultar”. Na sequência, clicar em “Visualizar o Documento” na versão mais recente do documento).</w:t>
      </w:r>
    </w:p>
    <w:p w14:paraId="3422233F" w14:textId="77777777" w:rsidR="00E8286C" w:rsidRPr="00D8141D" w:rsidRDefault="00E8286C" w:rsidP="00583F6E">
      <w:pPr>
        <w:spacing w:after="140" w:line="290" w:lineRule="auto"/>
        <w:ind w:left="72" w:right="72"/>
        <w:textAlignment w:val="baseline"/>
        <w:rPr>
          <w:rFonts w:eastAsia="Arial" w:cs="Calibri"/>
          <w:b/>
          <w:color w:val="000000"/>
          <w:spacing w:val="-3"/>
        </w:rPr>
      </w:pPr>
      <w:r w:rsidRPr="00D8141D">
        <w:rPr>
          <w:rFonts w:eastAsia="Arial" w:cs="Calibri"/>
          <w:b/>
          <w:color w:val="000000"/>
          <w:spacing w:val="-3"/>
        </w:rPr>
        <w:t>Formulário de Referência</w:t>
      </w:r>
    </w:p>
    <w:p w14:paraId="1CAF0267" w14:textId="68AED5AC" w:rsidR="00E8286C" w:rsidRPr="00566CD3" w:rsidRDefault="00E8286C" w:rsidP="00254113">
      <w:pPr>
        <w:widowControl w:val="0"/>
        <w:numPr>
          <w:ilvl w:val="0"/>
          <w:numId w:val="6"/>
        </w:numPr>
        <w:tabs>
          <w:tab w:val="clear" w:pos="360"/>
          <w:tab w:val="left" w:pos="284"/>
        </w:tabs>
        <w:spacing w:after="140" w:line="290" w:lineRule="auto"/>
        <w:ind w:left="0" w:right="72"/>
        <w:jc w:val="both"/>
        <w:textAlignment w:val="baseline"/>
        <w:rPr>
          <w:b/>
          <w:spacing w:val="7"/>
        </w:rPr>
      </w:pPr>
      <w:r w:rsidRPr="00566CD3">
        <w:rPr>
          <w:b/>
          <w:spacing w:val="7"/>
        </w:rPr>
        <w:t>Emissora</w:t>
      </w:r>
      <w:r w:rsidRPr="00566CD3">
        <w:rPr>
          <w:spacing w:val="7"/>
        </w:rPr>
        <w:t xml:space="preserve">: </w:t>
      </w:r>
      <w:r w:rsidR="00A76890" w:rsidRPr="00A76890">
        <w:rPr>
          <w:rFonts w:cs="Calibri"/>
        </w:rPr>
        <w:t>https://ri.saomartinho.com.br/ (neste website, acessar “Informações aos Investidores”, “Documentos Entregues à CVM”, em seguida, clicar “Filtrar por ano”, selecionar “2022” e, na página seguinte, acessar “Formulário de Referência”)</w:t>
      </w:r>
      <w:r w:rsidR="00A76890" w:rsidRPr="00A76890">
        <w:rPr>
          <w:rFonts w:eastAsia="Tahoma" w:cs="Calibri"/>
          <w:spacing w:val="6"/>
        </w:rPr>
        <w:t>.</w:t>
      </w:r>
    </w:p>
    <w:p w14:paraId="00FBED15" w14:textId="77777777" w:rsidR="00E8286C" w:rsidRPr="00566CD3" w:rsidRDefault="00E8286C" w:rsidP="00254113">
      <w:pPr>
        <w:widowControl w:val="0"/>
        <w:numPr>
          <w:ilvl w:val="0"/>
          <w:numId w:val="6"/>
        </w:numPr>
        <w:tabs>
          <w:tab w:val="clear" w:pos="360"/>
          <w:tab w:val="left" w:pos="284"/>
        </w:tabs>
        <w:spacing w:after="140" w:line="290" w:lineRule="auto"/>
        <w:ind w:left="0" w:right="72"/>
        <w:jc w:val="both"/>
        <w:textAlignment w:val="baseline"/>
        <w:rPr>
          <w:b/>
          <w:spacing w:val="7"/>
        </w:rPr>
      </w:pPr>
      <w:r w:rsidRPr="00566CD3">
        <w:rPr>
          <w:b/>
          <w:spacing w:val="7"/>
        </w:rPr>
        <w:t>CVM</w:t>
      </w:r>
      <w:r w:rsidRPr="00566CD3">
        <w:rPr>
          <w:spacing w:val="7"/>
        </w:rPr>
        <w:t xml:space="preserve">: </w:t>
      </w:r>
      <w:r w:rsidR="00D876E0" w:rsidRPr="00566CD3">
        <w:t xml:space="preserve">www.cvm.gov.br (neste website, acessar em “Informações de Regulados” ao lado esquerdo da tela, clicar em “Companhias”, clicar em “Informações Periódicas e Eventuais de Companhias”, clicar em “Informações periódicas e eventuais (ITR, DFs, Fatos Relevantes, </w:t>
      </w:r>
      <w:r w:rsidR="00D876E0" w:rsidRPr="00566CD3">
        <w:lastRenderedPageBreak/>
        <w:t>Comunicados ao Mercados, entre outros)” buscar por “</w:t>
      </w:r>
      <w:r w:rsidR="006E43CC" w:rsidRPr="00566CD3">
        <w:t>SÃO MARTINHO</w:t>
      </w:r>
      <w:r w:rsidR="00D876E0" w:rsidRPr="00566CD3">
        <w:t xml:space="preserve"> S.A.” no campo disponível. Em seguida, acessar “</w:t>
      </w:r>
      <w:r w:rsidR="006E43CC" w:rsidRPr="00566CD3">
        <w:t>SÃO MARTINHO</w:t>
      </w:r>
      <w:r w:rsidR="00D876E0" w:rsidRPr="00566CD3">
        <w:t xml:space="preserve"> S.A.”</w:t>
      </w:r>
      <w:r w:rsidRPr="00566CD3">
        <w:rPr>
          <w:spacing w:val="6"/>
        </w:rPr>
        <w:t xml:space="preserve">. Na </w:t>
      </w:r>
      <w:r w:rsidR="004B3CFA" w:rsidRPr="00566CD3">
        <w:rPr>
          <w:spacing w:val="6"/>
        </w:rPr>
        <w:t>página seguinte</w:t>
      </w:r>
      <w:r w:rsidRPr="00566CD3">
        <w:rPr>
          <w:spacing w:val="6"/>
        </w:rPr>
        <w:t xml:space="preserve">, </w:t>
      </w:r>
      <w:r w:rsidR="004B3CFA" w:rsidRPr="00566CD3">
        <w:rPr>
          <w:spacing w:val="6"/>
        </w:rPr>
        <w:t xml:space="preserve">selecionar o “Período de Entrega” desejado, no campo “Categoria” </w:t>
      </w:r>
      <w:r w:rsidRPr="00566CD3">
        <w:rPr>
          <w:spacing w:val="6"/>
        </w:rPr>
        <w:t xml:space="preserve">selecionar </w:t>
      </w:r>
      <w:r w:rsidR="002A4B8C" w:rsidRPr="00566CD3">
        <w:rPr>
          <w:spacing w:val="6"/>
        </w:rPr>
        <w:t>“</w:t>
      </w:r>
      <w:r w:rsidRPr="00566CD3">
        <w:rPr>
          <w:spacing w:val="6"/>
        </w:rPr>
        <w:t>Formulário de Referência</w:t>
      </w:r>
      <w:r w:rsidR="002A4B8C" w:rsidRPr="00566CD3">
        <w:rPr>
          <w:spacing w:val="6"/>
        </w:rPr>
        <w:t>”</w:t>
      </w:r>
      <w:r w:rsidRPr="00566CD3">
        <w:rPr>
          <w:spacing w:val="6"/>
        </w:rPr>
        <w:t xml:space="preserve"> e</w:t>
      </w:r>
      <w:r w:rsidR="004B3CFA" w:rsidRPr="00566CD3">
        <w:rPr>
          <w:spacing w:val="6"/>
        </w:rPr>
        <w:t xml:space="preserve"> clicar em “Consultar”. Na sequência</w:t>
      </w:r>
      <w:r w:rsidRPr="00566CD3">
        <w:rPr>
          <w:spacing w:val="6"/>
        </w:rPr>
        <w:t xml:space="preserve">, clicar em </w:t>
      </w:r>
      <w:r w:rsidR="002A4B8C" w:rsidRPr="00566CD3">
        <w:rPr>
          <w:spacing w:val="6"/>
        </w:rPr>
        <w:t>“</w:t>
      </w:r>
      <w:r w:rsidR="004B3CFA" w:rsidRPr="00566CD3">
        <w:rPr>
          <w:spacing w:val="6"/>
        </w:rPr>
        <w:t>Visualizar o Documento</w:t>
      </w:r>
      <w:r w:rsidR="002A4B8C" w:rsidRPr="00566CD3">
        <w:rPr>
          <w:spacing w:val="6"/>
        </w:rPr>
        <w:t>”</w:t>
      </w:r>
      <w:r w:rsidRPr="00566CD3">
        <w:rPr>
          <w:spacing w:val="6"/>
        </w:rPr>
        <w:t xml:space="preserve"> na versão mais recente do documento).</w:t>
      </w:r>
    </w:p>
    <w:p w14:paraId="5BC2F2ED" w14:textId="77777777" w:rsidR="00E8286C" w:rsidRPr="00566CD3" w:rsidRDefault="00F82651" w:rsidP="00254113">
      <w:pPr>
        <w:widowControl w:val="0"/>
        <w:numPr>
          <w:ilvl w:val="0"/>
          <w:numId w:val="6"/>
        </w:numPr>
        <w:tabs>
          <w:tab w:val="clear" w:pos="360"/>
          <w:tab w:val="left" w:pos="284"/>
        </w:tabs>
        <w:spacing w:after="140" w:line="290" w:lineRule="auto"/>
        <w:ind w:left="0" w:right="72"/>
        <w:jc w:val="both"/>
        <w:textAlignment w:val="baseline"/>
        <w:rPr>
          <w:b/>
        </w:rPr>
      </w:pPr>
      <w:r w:rsidRPr="00566CD3">
        <w:rPr>
          <w:b/>
        </w:rPr>
        <w:t>B3</w:t>
      </w:r>
      <w:r w:rsidR="00E8286C" w:rsidRPr="00566CD3">
        <w:rPr>
          <w:spacing w:val="6"/>
        </w:rPr>
        <w:t>:</w:t>
      </w:r>
      <w:r w:rsidR="00C81040" w:rsidRPr="00566CD3">
        <w:t>http://www.b3.com.br/pt_br/produtos-e-servicos/negociacao/renda-variavel/empresas-listadas.htm</w:t>
      </w:r>
      <w:r w:rsidR="00E36131" w:rsidRPr="00566CD3">
        <w:t xml:space="preserve"> (neste website, buscar por “</w:t>
      </w:r>
      <w:r w:rsidR="006E43CC" w:rsidRPr="00566CD3">
        <w:t>SÃO MARTINHO</w:t>
      </w:r>
      <w:r w:rsidR="00E36131" w:rsidRPr="00566CD3">
        <w:t xml:space="preserve"> S.A.” no campo disponível, em seguida acessar “</w:t>
      </w:r>
      <w:r w:rsidR="006E43CC" w:rsidRPr="00566CD3">
        <w:t>SÃO MARTINHO</w:t>
      </w:r>
      <w:r w:rsidR="00E36131" w:rsidRPr="00566CD3">
        <w:t xml:space="preserve"> S.A.”, posteriormente, clicar em “Relatórios Estruturados” e em seguida, na seção “Formulário de Referência”, acessar o Formulário de Referência com a data mais recente).</w:t>
      </w:r>
    </w:p>
    <w:p w14:paraId="60EE660F" w14:textId="77777777" w:rsidR="00E8286C" w:rsidRPr="00566CD3" w:rsidRDefault="00E8286C" w:rsidP="00C9390C">
      <w:pPr>
        <w:spacing w:after="140" w:line="290" w:lineRule="auto"/>
        <w:ind w:left="72" w:right="72"/>
        <w:jc w:val="both"/>
        <w:textAlignment w:val="baseline"/>
        <w:rPr>
          <w:b/>
          <w:color w:val="000000"/>
          <w:spacing w:val="-5"/>
        </w:rPr>
      </w:pPr>
      <w:r w:rsidRPr="00566CD3">
        <w:rPr>
          <w:b/>
          <w:color w:val="000000"/>
          <w:spacing w:val="-5"/>
        </w:rPr>
        <w:t>Demonstrações Financeiras</w:t>
      </w:r>
      <w:r w:rsidR="00DD0FB4" w:rsidRPr="00566CD3">
        <w:rPr>
          <w:b/>
          <w:color w:val="000000"/>
          <w:spacing w:val="-5"/>
        </w:rPr>
        <w:t xml:space="preserve"> da Emissora</w:t>
      </w:r>
      <w:r w:rsidRPr="00566CD3">
        <w:rPr>
          <w:b/>
          <w:color w:val="000000"/>
          <w:spacing w:val="-5"/>
        </w:rPr>
        <w:t xml:space="preserve"> relativas aos exercícios sociais encerrados em 31 de </w:t>
      </w:r>
      <w:r w:rsidR="007D01A9" w:rsidRPr="00566CD3">
        <w:rPr>
          <w:b/>
          <w:color w:val="000000"/>
          <w:spacing w:val="-5"/>
        </w:rPr>
        <w:t>março</w:t>
      </w:r>
      <w:r w:rsidRPr="00566CD3">
        <w:rPr>
          <w:b/>
          <w:color w:val="000000"/>
          <w:spacing w:val="-5"/>
        </w:rPr>
        <w:t xml:space="preserve"> de </w:t>
      </w:r>
      <w:r w:rsidR="006E43CC" w:rsidRPr="00566CD3">
        <w:rPr>
          <w:b/>
          <w:color w:val="000000"/>
          <w:spacing w:val="-5"/>
        </w:rPr>
        <w:t>2019</w:t>
      </w:r>
      <w:r w:rsidR="007D01A9" w:rsidRPr="00566CD3">
        <w:rPr>
          <w:b/>
          <w:color w:val="000000"/>
          <w:spacing w:val="-5"/>
        </w:rPr>
        <w:t>,</w:t>
      </w:r>
      <w:r w:rsidR="006E43CC" w:rsidRPr="00566CD3">
        <w:rPr>
          <w:b/>
          <w:color w:val="000000"/>
          <w:spacing w:val="-5"/>
        </w:rPr>
        <w:t xml:space="preserve"> 2020</w:t>
      </w:r>
      <w:r w:rsidR="007D01A9" w:rsidRPr="00566CD3">
        <w:rPr>
          <w:b/>
          <w:color w:val="000000"/>
          <w:spacing w:val="-5"/>
        </w:rPr>
        <w:t xml:space="preserve"> e 2021.</w:t>
      </w:r>
    </w:p>
    <w:p w14:paraId="34CE2B56" w14:textId="77777777" w:rsidR="00E36131" w:rsidRPr="00566CD3" w:rsidRDefault="00E8286C" w:rsidP="00254113">
      <w:pPr>
        <w:widowControl w:val="0"/>
        <w:numPr>
          <w:ilvl w:val="0"/>
          <w:numId w:val="6"/>
        </w:numPr>
        <w:tabs>
          <w:tab w:val="clear" w:pos="360"/>
          <w:tab w:val="left" w:pos="432"/>
        </w:tabs>
        <w:spacing w:after="140" w:line="290" w:lineRule="auto"/>
        <w:ind w:left="0" w:right="74"/>
        <w:jc w:val="both"/>
        <w:textAlignment w:val="baseline"/>
        <w:rPr>
          <w:b/>
          <w:spacing w:val="9"/>
        </w:rPr>
      </w:pPr>
      <w:r w:rsidRPr="00566CD3">
        <w:rPr>
          <w:b/>
          <w:spacing w:val="9"/>
        </w:rPr>
        <w:t>Emissora</w:t>
      </w:r>
      <w:r w:rsidRPr="00566CD3">
        <w:rPr>
          <w:spacing w:val="6"/>
        </w:rPr>
        <w:t xml:space="preserve">: </w:t>
      </w:r>
      <w:r w:rsidR="006E43CC" w:rsidRPr="00566CD3">
        <w:t xml:space="preserve">https://ri.saomartinho.com.br </w:t>
      </w:r>
      <w:r w:rsidR="00E36131" w:rsidRPr="00566CD3">
        <w:t>(neste website,</w:t>
      </w:r>
      <w:r w:rsidR="006E43CC" w:rsidRPr="00566CD3">
        <w:t xml:space="preserve"> acessar</w:t>
      </w:r>
      <w:r w:rsidR="007D01A9" w:rsidRPr="00566CD3">
        <w:t xml:space="preserve"> “Informações aos Investidores”,</w:t>
      </w:r>
      <w:r w:rsidR="00E36131" w:rsidRPr="00566CD3">
        <w:t xml:space="preserve"> </w:t>
      </w:r>
      <w:r w:rsidR="006E43CC" w:rsidRPr="00566CD3">
        <w:t>“Documentos Entregues à CVM”, em seguida, clicar “Filtrar por ano”, selecionar o ano desejado e, na página seguinte, acessar “Demonstrações Financeiras</w:t>
      </w:r>
      <w:r w:rsidR="00E36131" w:rsidRPr="00566CD3">
        <w:rPr>
          <w:color w:val="000000"/>
          <w:spacing w:val="6"/>
        </w:rPr>
        <w:t>”, conforme o caso, relativas ao respectivo período</w:t>
      </w:r>
      <w:r w:rsidR="007D01A9" w:rsidRPr="00566CD3">
        <w:t>)</w:t>
      </w:r>
      <w:r w:rsidR="007D01A9" w:rsidRPr="00566CD3">
        <w:rPr>
          <w:spacing w:val="6"/>
        </w:rPr>
        <w:t>.</w:t>
      </w:r>
      <w:r w:rsidR="00505BD2" w:rsidRPr="00566CD3">
        <w:rPr>
          <w:rStyle w:val="Refdenotaderodap"/>
          <w:spacing w:val="6"/>
        </w:rPr>
        <w:t xml:space="preserve"> </w:t>
      </w:r>
    </w:p>
    <w:p w14:paraId="64614C92" w14:textId="77777777" w:rsidR="004B3CFA" w:rsidRPr="00566CD3" w:rsidRDefault="00E8286C" w:rsidP="00254113">
      <w:pPr>
        <w:numPr>
          <w:ilvl w:val="0"/>
          <w:numId w:val="6"/>
        </w:numPr>
        <w:tabs>
          <w:tab w:val="clear" w:pos="360"/>
          <w:tab w:val="left" w:pos="432"/>
        </w:tabs>
        <w:spacing w:after="140" w:line="290" w:lineRule="auto"/>
        <w:ind w:left="0" w:right="72"/>
        <w:jc w:val="both"/>
        <w:textAlignment w:val="baseline"/>
        <w:rPr>
          <w:b/>
          <w:color w:val="000000"/>
          <w:spacing w:val="7"/>
        </w:rPr>
      </w:pPr>
      <w:r w:rsidRPr="00566CD3">
        <w:rPr>
          <w:b/>
          <w:color w:val="000000"/>
          <w:spacing w:val="7"/>
        </w:rPr>
        <w:t>CVM</w:t>
      </w:r>
      <w:r w:rsidRPr="00566CD3">
        <w:rPr>
          <w:color w:val="000000"/>
          <w:spacing w:val="6"/>
        </w:rPr>
        <w:t xml:space="preserve">: </w:t>
      </w:r>
      <w:r w:rsidR="00E36131" w:rsidRPr="00566CD3">
        <w:t>www.cvm.gov.br (neste website, acessar em “Informações de Regulados” ao lado esquerdo da tela, clicar em “Companhias”, clicar em “Informações Periódicas e Eventuais de Companhias”, clicar em “Informações periódicas e eventuais (ITR, DFs, Fatos Relevantes, Comunicados ao Mercados, entre outros)” buscar por “</w:t>
      </w:r>
      <w:r w:rsidR="006E43CC" w:rsidRPr="00566CD3">
        <w:t>SÃO MARTINHO S.A</w:t>
      </w:r>
      <w:r w:rsidR="00E36131" w:rsidRPr="00566CD3">
        <w:t>.” no campo disponível. Em seguida, acessar “</w:t>
      </w:r>
      <w:r w:rsidR="006E43CC" w:rsidRPr="00566CD3">
        <w:t>SÃO MARTINHO S.A</w:t>
      </w:r>
      <w:r w:rsidR="00E36131" w:rsidRPr="00566CD3">
        <w:t>”</w:t>
      </w:r>
      <w:r w:rsidR="00E36131" w:rsidRPr="00566CD3">
        <w:rPr>
          <w:spacing w:val="6"/>
        </w:rPr>
        <w:t xml:space="preserve">. </w:t>
      </w:r>
      <w:r w:rsidR="004B3CFA" w:rsidRPr="00566CD3">
        <w:rPr>
          <w:spacing w:val="6"/>
        </w:rPr>
        <w:t>Na página seguinte, selecionar o “Período de Entrega” desejado, no campo “Categoria” selecionar “</w:t>
      </w:r>
      <w:r w:rsidR="004B3CFA" w:rsidRPr="00566CD3">
        <w:rPr>
          <w:color w:val="000000"/>
          <w:spacing w:val="6"/>
        </w:rPr>
        <w:t>Dados Econômico-Financeiros</w:t>
      </w:r>
      <w:r w:rsidR="004B3CFA" w:rsidRPr="00566CD3">
        <w:rPr>
          <w:spacing w:val="6"/>
        </w:rPr>
        <w:t xml:space="preserve">” e clicar em “Consultar”. Na sequência, clicar em “Visualizar o Documento” </w:t>
      </w:r>
      <w:r w:rsidR="004B3CFA" w:rsidRPr="00566CD3">
        <w:rPr>
          <w:color w:val="000000"/>
          <w:spacing w:val="6"/>
        </w:rPr>
        <w:t>do item “Demonstrações Financeiras Anuais Completas” relativo ao respectivo período</w:t>
      </w:r>
      <w:r w:rsidR="004B3CFA" w:rsidRPr="00566CD3">
        <w:rPr>
          <w:spacing w:val="6"/>
        </w:rPr>
        <w:t>).</w:t>
      </w:r>
    </w:p>
    <w:p w14:paraId="03C35E13" w14:textId="681648E5" w:rsidR="00E36131" w:rsidRPr="00566CD3" w:rsidRDefault="00F82651" w:rsidP="00254113">
      <w:pPr>
        <w:widowControl w:val="0"/>
        <w:numPr>
          <w:ilvl w:val="0"/>
          <w:numId w:val="6"/>
        </w:numPr>
        <w:tabs>
          <w:tab w:val="clear" w:pos="360"/>
          <w:tab w:val="left" w:pos="432"/>
        </w:tabs>
        <w:spacing w:after="140" w:line="290" w:lineRule="auto"/>
        <w:ind w:left="0" w:right="74"/>
        <w:jc w:val="both"/>
        <w:textAlignment w:val="baseline"/>
        <w:rPr>
          <w:b/>
          <w:spacing w:val="4"/>
        </w:rPr>
      </w:pPr>
      <w:r w:rsidRPr="00566CD3">
        <w:rPr>
          <w:b/>
          <w:spacing w:val="4"/>
        </w:rPr>
        <w:t>B3</w:t>
      </w:r>
      <w:r w:rsidR="00E8286C" w:rsidRPr="00566CD3">
        <w:rPr>
          <w:spacing w:val="6"/>
        </w:rPr>
        <w:t>:</w:t>
      </w:r>
      <w:r w:rsidR="00A76890" w:rsidRPr="00D33DFE">
        <w:rPr>
          <w:rFonts w:cs="Calibri"/>
          <w:spacing w:val="-4"/>
        </w:rPr>
        <w:t xml:space="preserve"> </w:t>
      </w:r>
      <w:r w:rsidR="00A76890" w:rsidRPr="00A76890">
        <w:rPr>
          <w:rFonts w:cs="Calibri"/>
          <w:spacing w:val="-4"/>
        </w:rPr>
        <w:t>http://www.b3.com.br/pt_br/produtos-e-servicos/negociacao/renda-variavel/empresas-listadas.htm</w:t>
      </w:r>
      <w:r w:rsidR="00A76890" w:rsidRPr="00A76890">
        <w:rPr>
          <w:rFonts w:cs="Calibri"/>
          <w:spacing w:val="4"/>
        </w:rPr>
        <w:t xml:space="preserve"> (neste website, buscar por “</w:t>
      </w:r>
      <w:r w:rsidR="00A76890" w:rsidRPr="00A76890">
        <w:rPr>
          <w:rFonts w:cs="Calibri"/>
          <w:bCs/>
          <w:spacing w:val="4"/>
        </w:rPr>
        <w:t>SÃO MARTINHO S.A.</w:t>
      </w:r>
      <w:r w:rsidR="00A76890" w:rsidRPr="00A76890">
        <w:rPr>
          <w:rFonts w:cs="Calibri"/>
          <w:spacing w:val="4"/>
        </w:rPr>
        <w:t>” no campo disponível, em seguida acessar “</w:t>
      </w:r>
      <w:r w:rsidR="00A76890" w:rsidRPr="00A76890">
        <w:rPr>
          <w:rFonts w:cs="Calibri"/>
          <w:bCs/>
          <w:spacing w:val="4"/>
        </w:rPr>
        <w:t>SÃO MARTINHO S.A”</w:t>
      </w:r>
      <w:r w:rsidR="00A76890" w:rsidRPr="00A76890">
        <w:rPr>
          <w:rFonts w:cs="Calibri"/>
          <w:spacing w:val="4"/>
        </w:rPr>
        <w:t xml:space="preserve"> posteriormente, clicar em “Relatórios Estruturados” e em seguida, (i) selecionar “2021” e, na seção “Demonstrações Financeiras”, efetuar o </w:t>
      </w:r>
      <w:r w:rsidR="00A76890" w:rsidRPr="00A76890">
        <w:rPr>
          <w:rFonts w:cs="Calibri"/>
          <w:i/>
          <w:spacing w:val="4"/>
        </w:rPr>
        <w:t>download</w:t>
      </w:r>
      <w:r w:rsidR="00A76890" w:rsidRPr="00A76890">
        <w:rPr>
          <w:rFonts w:cs="Calibri"/>
          <w:spacing w:val="4"/>
        </w:rPr>
        <w:t xml:space="preserve"> das Demonstrações Financeiras com data de referência de 31/03/2021; (ii) selecionar “2020” e, na seção “Demonstrações Financeiras”, efetuar o </w:t>
      </w:r>
      <w:r w:rsidR="00A76890" w:rsidRPr="00A76890">
        <w:rPr>
          <w:rFonts w:cs="Calibri"/>
          <w:i/>
          <w:spacing w:val="4"/>
        </w:rPr>
        <w:t>download</w:t>
      </w:r>
      <w:r w:rsidR="00A76890" w:rsidRPr="00A76890">
        <w:rPr>
          <w:rFonts w:cs="Calibri"/>
          <w:spacing w:val="4"/>
        </w:rPr>
        <w:t xml:space="preserve"> das Demonstrações Financeiras com data de referência de 31/03/2020; e (iii) selecionar “2019” e, na seção “Demonstrações Financeiras”, efetuar o </w:t>
      </w:r>
      <w:r w:rsidR="00A76890" w:rsidRPr="00A76890">
        <w:rPr>
          <w:rFonts w:cs="Calibri"/>
          <w:i/>
          <w:spacing w:val="4"/>
        </w:rPr>
        <w:t>download</w:t>
      </w:r>
      <w:r w:rsidR="00A76890" w:rsidRPr="00A76890">
        <w:rPr>
          <w:rFonts w:cs="Calibri"/>
          <w:spacing w:val="4"/>
        </w:rPr>
        <w:t xml:space="preserve"> das Demonstrações Financeiras com data de referência de 31/03/2019)</w:t>
      </w:r>
      <w:r w:rsidR="00E36131" w:rsidRPr="00566CD3">
        <w:rPr>
          <w:spacing w:val="4"/>
        </w:rPr>
        <w:t>.</w:t>
      </w:r>
    </w:p>
    <w:p w14:paraId="78FCBAFE" w14:textId="632E50AC" w:rsidR="00B15691" w:rsidRPr="00566CD3" w:rsidRDefault="00E8286C" w:rsidP="00C9390C">
      <w:pPr>
        <w:spacing w:after="140" w:line="290" w:lineRule="auto"/>
        <w:jc w:val="both"/>
        <w:rPr>
          <w:b/>
          <w:color w:val="000000"/>
          <w:spacing w:val="-3"/>
        </w:rPr>
      </w:pPr>
      <w:r w:rsidRPr="00566CD3">
        <w:rPr>
          <w:b/>
          <w:color w:val="000000"/>
          <w:spacing w:val="-3"/>
        </w:rPr>
        <w:t xml:space="preserve">Informações contábeis intermediárias da </w:t>
      </w:r>
      <w:r w:rsidR="00DD0FB4" w:rsidRPr="00566CD3">
        <w:rPr>
          <w:b/>
          <w:color w:val="000000"/>
          <w:spacing w:val="-3"/>
        </w:rPr>
        <w:t>Emissora</w:t>
      </w:r>
      <w:r w:rsidRPr="00566CD3">
        <w:rPr>
          <w:b/>
          <w:color w:val="000000"/>
          <w:spacing w:val="-3"/>
        </w:rPr>
        <w:t xml:space="preserve">, contidas nas Informações Trimestrais – ITR referente </w:t>
      </w:r>
      <w:r w:rsidR="00011E50" w:rsidRPr="00566CD3">
        <w:rPr>
          <w:b/>
          <w:color w:val="000000"/>
          <w:spacing w:val="-3"/>
        </w:rPr>
        <w:t>ao período de</w:t>
      </w:r>
      <w:r w:rsidR="008C76E3" w:rsidRPr="00566CD3">
        <w:rPr>
          <w:b/>
          <w:color w:val="000000"/>
          <w:spacing w:val="-3"/>
        </w:rPr>
        <w:t xml:space="preserve"> </w:t>
      </w:r>
      <w:r w:rsidR="008C76E3">
        <w:rPr>
          <w:rFonts w:eastAsia="Arial" w:cs="Calibri"/>
          <w:b/>
          <w:color w:val="000000"/>
          <w:spacing w:val="-3"/>
        </w:rPr>
        <w:t>nove</w:t>
      </w:r>
      <w:r w:rsidR="00011E50" w:rsidRPr="00566CD3">
        <w:rPr>
          <w:b/>
          <w:color w:val="000000"/>
          <w:spacing w:val="-3"/>
        </w:rPr>
        <w:t xml:space="preserve"> meses findo em </w:t>
      </w:r>
      <w:r w:rsidR="00011E50" w:rsidRPr="0082022E">
        <w:rPr>
          <w:rFonts w:eastAsia="Arial" w:cs="Calibri"/>
          <w:b/>
          <w:color w:val="000000"/>
          <w:spacing w:val="-3"/>
        </w:rPr>
        <w:t>3</w:t>
      </w:r>
      <w:r w:rsidR="008C76E3">
        <w:rPr>
          <w:rFonts w:eastAsia="Arial" w:cs="Calibri"/>
          <w:b/>
          <w:color w:val="000000"/>
          <w:spacing w:val="-3"/>
        </w:rPr>
        <w:t>1</w:t>
      </w:r>
      <w:r w:rsidR="00011E50" w:rsidRPr="00566CD3">
        <w:rPr>
          <w:b/>
          <w:color w:val="000000"/>
          <w:spacing w:val="-3"/>
        </w:rPr>
        <w:t xml:space="preserve"> de </w:t>
      </w:r>
      <w:r w:rsidR="008C76E3">
        <w:rPr>
          <w:rFonts w:eastAsia="Arial" w:cs="Calibri"/>
          <w:b/>
          <w:color w:val="000000"/>
          <w:spacing w:val="-3"/>
        </w:rPr>
        <w:t>dezembro</w:t>
      </w:r>
      <w:r w:rsidR="008C76E3" w:rsidRPr="00566CD3">
        <w:rPr>
          <w:b/>
          <w:color w:val="000000"/>
          <w:spacing w:val="-3"/>
        </w:rPr>
        <w:t xml:space="preserve"> </w:t>
      </w:r>
      <w:r w:rsidR="00011E50" w:rsidRPr="00566CD3">
        <w:rPr>
          <w:b/>
          <w:color w:val="000000"/>
          <w:spacing w:val="-3"/>
        </w:rPr>
        <w:t xml:space="preserve">de </w:t>
      </w:r>
      <w:r w:rsidR="007D01A9" w:rsidRPr="00566CD3">
        <w:rPr>
          <w:b/>
          <w:color w:val="000000"/>
          <w:spacing w:val="-3"/>
        </w:rPr>
        <w:t>202</w:t>
      </w:r>
      <w:r w:rsidR="004B4FD8" w:rsidRPr="00566CD3">
        <w:rPr>
          <w:b/>
          <w:color w:val="000000"/>
          <w:spacing w:val="-3"/>
        </w:rPr>
        <w:t>1</w:t>
      </w:r>
      <w:r w:rsidR="00011E50" w:rsidRPr="00566CD3">
        <w:rPr>
          <w:b/>
          <w:color w:val="000000"/>
          <w:spacing w:val="-3"/>
        </w:rPr>
        <w:t xml:space="preserve">, que inclui as informações contábeis consolidadas comparativas apresentadas como valores correspondentes referente ao período de </w:t>
      </w:r>
      <w:r w:rsidR="008C76E3">
        <w:rPr>
          <w:rFonts w:eastAsia="Arial" w:cs="Calibri"/>
          <w:b/>
          <w:color w:val="000000"/>
          <w:spacing w:val="-3"/>
        </w:rPr>
        <w:t>nove</w:t>
      </w:r>
      <w:r w:rsidR="008C76E3" w:rsidRPr="00566CD3">
        <w:rPr>
          <w:b/>
          <w:color w:val="000000"/>
          <w:spacing w:val="-3"/>
        </w:rPr>
        <w:t xml:space="preserve"> </w:t>
      </w:r>
      <w:r w:rsidR="00011E50" w:rsidRPr="00566CD3">
        <w:rPr>
          <w:b/>
          <w:color w:val="000000"/>
          <w:spacing w:val="-3"/>
        </w:rPr>
        <w:t xml:space="preserve">meses encerrado em </w:t>
      </w:r>
      <w:r w:rsidR="00011E50" w:rsidRPr="0082022E">
        <w:rPr>
          <w:rFonts w:eastAsia="Arial" w:cs="Calibri"/>
          <w:b/>
          <w:color w:val="000000"/>
          <w:spacing w:val="-3"/>
        </w:rPr>
        <w:t>3</w:t>
      </w:r>
      <w:r w:rsidR="008C76E3">
        <w:rPr>
          <w:rFonts w:eastAsia="Arial" w:cs="Calibri"/>
          <w:b/>
          <w:color w:val="000000"/>
          <w:spacing w:val="-3"/>
        </w:rPr>
        <w:t>1</w:t>
      </w:r>
      <w:r w:rsidR="00011E50" w:rsidRPr="00566CD3">
        <w:rPr>
          <w:b/>
          <w:color w:val="000000"/>
          <w:spacing w:val="-3"/>
        </w:rPr>
        <w:t xml:space="preserve"> de </w:t>
      </w:r>
      <w:r w:rsidR="008C76E3">
        <w:rPr>
          <w:rFonts w:eastAsia="Arial" w:cs="Calibri"/>
          <w:b/>
          <w:color w:val="000000"/>
          <w:spacing w:val="-3"/>
        </w:rPr>
        <w:t>dezembro</w:t>
      </w:r>
      <w:r w:rsidR="008C76E3" w:rsidRPr="00566CD3">
        <w:rPr>
          <w:b/>
          <w:color w:val="000000"/>
          <w:spacing w:val="-3"/>
        </w:rPr>
        <w:t xml:space="preserve"> </w:t>
      </w:r>
      <w:r w:rsidR="00011E50" w:rsidRPr="00566CD3">
        <w:rPr>
          <w:b/>
          <w:color w:val="000000"/>
          <w:spacing w:val="-3"/>
        </w:rPr>
        <w:t xml:space="preserve">de </w:t>
      </w:r>
      <w:r w:rsidR="007D01A9" w:rsidRPr="0082022E">
        <w:rPr>
          <w:rFonts w:eastAsia="Arial" w:cs="Calibri"/>
          <w:b/>
          <w:color w:val="000000"/>
          <w:spacing w:val="-3"/>
        </w:rPr>
        <w:t>202</w:t>
      </w:r>
      <w:r w:rsidR="002310F6">
        <w:rPr>
          <w:rFonts w:eastAsia="Arial" w:cs="Calibri"/>
          <w:b/>
          <w:color w:val="000000"/>
          <w:spacing w:val="-3"/>
        </w:rPr>
        <w:t>0</w:t>
      </w:r>
      <w:r w:rsidR="007D01A9" w:rsidRPr="00566CD3">
        <w:rPr>
          <w:b/>
          <w:color w:val="000000"/>
          <w:spacing w:val="-3"/>
        </w:rPr>
        <w:t>.</w:t>
      </w:r>
    </w:p>
    <w:p w14:paraId="129E960A" w14:textId="77777777" w:rsidR="00B96D09" w:rsidRPr="00566CD3" w:rsidRDefault="00E8286C" w:rsidP="00254113">
      <w:pPr>
        <w:widowControl w:val="0"/>
        <w:numPr>
          <w:ilvl w:val="0"/>
          <w:numId w:val="6"/>
        </w:numPr>
        <w:tabs>
          <w:tab w:val="clear" w:pos="360"/>
          <w:tab w:val="left" w:pos="284"/>
        </w:tabs>
        <w:spacing w:after="140" w:line="290" w:lineRule="auto"/>
        <w:ind w:left="0" w:right="74"/>
        <w:jc w:val="both"/>
        <w:textAlignment w:val="baseline"/>
        <w:rPr>
          <w:b/>
        </w:rPr>
      </w:pPr>
      <w:r w:rsidRPr="00566CD3">
        <w:rPr>
          <w:b/>
        </w:rPr>
        <w:lastRenderedPageBreak/>
        <w:t>Emissora</w:t>
      </w:r>
      <w:r w:rsidRPr="00566CD3">
        <w:rPr>
          <w:spacing w:val="6"/>
        </w:rPr>
        <w:t xml:space="preserve">: </w:t>
      </w:r>
      <w:r w:rsidR="000A4DC0" w:rsidRPr="00566CD3">
        <w:t>https://ri.saomartinho.com.br</w:t>
      </w:r>
      <w:r w:rsidR="00B96D09" w:rsidRPr="00566CD3">
        <w:t xml:space="preserve"> (neste website, acessar </w:t>
      </w:r>
      <w:r w:rsidR="00525FF2" w:rsidRPr="00566CD3">
        <w:t xml:space="preserve">“Informações aos Investidores”, “Documentos Entregues à </w:t>
      </w:r>
      <w:r w:rsidRPr="00566CD3">
        <w:rPr>
          <w:b/>
          <w:color w:val="000000"/>
          <w:spacing w:val="7"/>
        </w:rPr>
        <w:t>CVM</w:t>
      </w:r>
      <w:r w:rsidR="00525FF2" w:rsidRPr="00566CD3">
        <w:t xml:space="preserve">”, em seguida, clicar “Filtrar por ano”, selecionar o </w:t>
      </w:r>
      <w:r w:rsidR="00DB205D" w:rsidRPr="00566CD3">
        <w:t>período</w:t>
      </w:r>
      <w:r w:rsidR="00525FF2" w:rsidRPr="00566CD3">
        <w:t xml:space="preserve"> desejado e, na página seguinte, acessar “Demonstrações Financeiras</w:t>
      </w:r>
      <w:r w:rsidR="00525FF2" w:rsidRPr="00566CD3">
        <w:rPr>
          <w:color w:val="000000"/>
          <w:spacing w:val="6"/>
        </w:rPr>
        <w:t>”, conforme o caso, relativas ao respectivo período</w:t>
      </w:r>
      <w:r w:rsidR="00525FF2" w:rsidRPr="00566CD3">
        <w:t>)</w:t>
      </w:r>
      <w:r w:rsidR="00525FF2" w:rsidRPr="00566CD3">
        <w:rPr>
          <w:spacing w:val="6"/>
        </w:rPr>
        <w:t>.</w:t>
      </w:r>
      <w:r w:rsidR="00505BD2" w:rsidRPr="00566CD3">
        <w:rPr>
          <w:rStyle w:val="Refdenotaderodap"/>
          <w:spacing w:val="6"/>
        </w:rPr>
        <w:t xml:space="preserve"> </w:t>
      </w:r>
    </w:p>
    <w:p w14:paraId="68EEC988" w14:textId="5286B2A6" w:rsidR="004B3CFA" w:rsidRPr="00566CD3" w:rsidRDefault="00E8286C" w:rsidP="00254113">
      <w:pPr>
        <w:numPr>
          <w:ilvl w:val="0"/>
          <w:numId w:val="6"/>
        </w:numPr>
        <w:tabs>
          <w:tab w:val="clear" w:pos="360"/>
          <w:tab w:val="left" w:pos="284"/>
        </w:tabs>
        <w:spacing w:after="140" w:line="290" w:lineRule="auto"/>
        <w:ind w:left="0" w:right="72"/>
        <w:jc w:val="both"/>
        <w:textAlignment w:val="baseline"/>
        <w:rPr>
          <w:b/>
          <w:color w:val="000000"/>
          <w:spacing w:val="7"/>
        </w:rPr>
      </w:pPr>
      <w:r w:rsidRPr="00566CD3">
        <w:rPr>
          <w:b/>
          <w:color w:val="000000"/>
          <w:spacing w:val="7"/>
        </w:rPr>
        <w:t>CVM</w:t>
      </w:r>
      <w:r w:rsidRPr="00566CD3">
        <w:rPr>
          <w:color w:val="000000"/>
          <w:spacing w:val="6"/>
        </w:rPr>
        <w:t xml:space="preserve">: </w:t>
      </w:r>
      <w:r w:rsidR="00A76890" w:rsidRPr="00A76890">
        <w:rPr>
          <w:rFonts w:cs="Calibri"/>
        </w:rPr>
        <w:t>www.cvm.gov.br</w:t>
      </w:r>
      <w:r w:rsidR="00A76890" w:rsidRPr="00A76890">
        <w:rPr>
          <w:rFonts w:cs="Calibri"/>
          <w:bCs/>
        </w:rPr>
        <w:t xml:space="preserve"> (neste website, acessar em “Informações de Regulados” ao lado esquerdo da tela, clicar em “Companhias”, clicar em “Informações Periódicas e Eventuais de Companhias”, clicar em “Informações periódicas e eventuais (ITR, DFs, Fatos Relevantes, Comunicados ao Mercados, entre outros)” buscar por “SÃO MARTINHO S.A” no campo disponível. Em seguida, acessar “SÃO MARTINHO S.A”</w:t>
      </w:r>
      <w:r w:rsidR="00A76890" w:rsidRPr="00A76890">
        <w:rPr>
          <w:rFonts w:eastAsia="Tahoma" w:cs="Calibri"/>
          <w:spacing w:val="6"/>
        </w:rPr>
        <w:t>. Na página seguinte, selecionar o “Período de Entrega” desejado, no campo “Categoria” selecionar “</w:t>
      </w:r>
      <w:r w:rsidR="00A76890" w:rsidRPr="00A76890">
        <w:rPr>
          <w:rFonts w:eastAsia="Tahoma" w:cs="Calibri"/>
          <w:color w:val="000000"/>
          <w:spacing w:val="6"/>
        </w:rPr>
        <w:t>ITR</w:t>
      </w:r>
      <w:r w:rsidR="00A76890" w:rsidRPr="00A76890">
        <w:rPr>
          <w:rFonts w:eastAsia="Tahoma" w:cs="Calibri"/>
          <w:spacing w:val="6"/>
        </w:rPr>
        <w:t xml:space="preserve">” e clicar em “Consultar”. Na sequência, clicar em “Visualizar o Documento” </w:t>
      </w:r>
      <w:r w:rsidR="00A76890" w:rsidRPr="00A76890">
        <w:rPr>
          <w:rFonts w:eastAsia="Tahoma" w:cs="Calibri"/>
          <w:color w:val="000000"/>
          <w:spacing w:val="6"/>
        </w:rPr>
        <w:t>no ITR com data de encerramento 31/12/2021</w:t>
      </w:r>
      <w:r w:rsidR="004B3CFA" w:rsidRPr="00566CD3">
        <w:rPr>
          <w:color w:val="000000"/>
          <w:spacing w:val="6"/>
        </w:rPr>
        <w:t>.</w:t>
      </w:r>
    </w:p>
    <w:p w14:paraId="2BB666AF" w14:textId="03F28BC1" w:rsidR="00B96D09" w:rsidRPr="00566CD3" w:rsidRDefault="00F82651" w:rsidP="00254113">
      <w:pPr>
        <w:numPr>
          <w:ilvl w:val="0"/>
          <w:numId w:val="6"/>
        </w:numPr>
        <w:tabs>
          <w:tab w:val="clear" w:pos="360"/>
          <w:tab w:val="left" w:pos="284"/>
        </w:tabs>
        <w:spacing w:after="140" w:line="290" w:lineRule="auto"/>
        <w:ind w:left="0" w:right="72"/>
        <w:jc w:val="both"/>
        <w:textAlignment w:val="baseline"/>
        <w:rPr>
          <w:b/>
          <w:color w:val="000000"/>
          <w:spacing w:val="-4"/>
        </w:rPr>
      </w:pPr>
      <w:r w:rsidRPr="00566CD3">
        <w:rPr>
          <w:b/>
          <w:color w:val="000000"/>
        </w:rPr>
        <w:t>B3</w:t>
      </w:r>
      <w:r w:rsidR="00E8286C" w:rsidRPr="00566CD3">
        <w:rPr>
          <w:color w:val="000000"/>
          <w:spacing w:val="6"/>
        </w:rPr>
        <w:t>:</w:t>
      </w:r>
      <w:r w:rsidR="00A76890" w:rsidRPr="00D33DFE">
        <w:rPr>
          <w:rFonts w:cs="Calibri"/>
          <w:spacing w:val="-4"/>
        </w:rPr>
        <w:t xml:space="preserve"> </w:t>
      </w:r>
      <w:r w:rsidR="00A76890" w:rsidRPr="00A76890">
        <w:rPr>
          <w:rFonts w:cs="Calibri"/>
          <w:spacing w:val="-4"/>
        </w:rPr>
        <w:t>http://www.b3.com.br/pt_br/produtos-e-servicos/negociacao/renda-variavel/empresas-listadas.htm (neste website, buscar por “</w:t>
      </w:r>
      <w:r w:rsidR="00A76890" w:rsidRPr="00A76890">
        <w:rPr>
          <w:rFonts w:cs="Calibri"/>
          <w:bCs/>
          <w:spacing w:val="-4"/>
        </w:rPr>
        <w:t>SÃO MARTINHO S.A.</w:t>
      </w:r>
      <w:r w:rsidR="00A76890" w:rsidRPr="00A76890">
        <w:rPr>
          <w:rFonts w:cs="Calibri"/>
          <w:spacing w:val="-4"/>
        </w:rPr>
        <w:t>” no campo disponível, em seguida acessar “</w:t>
      </w:r>
      <w:r w:rsidR="00A76890" w:rsidRPr="00A76890">
        <w:rPr>
          <w:rFonts w:cs="Calibri"/>
          <w:bCs/>
          <w:spacing w:val="-4"/>
        </w:rPr>
        <w:t>SÃO MARTINHO S.A.</w:t>
      </w:r>
      <w:r w:rsidR="00A76890" w:rsidRPr="00A76890">
        <w:rPr>
          <w:rFonts w:cs="Calibri"/>
          <w:spacing w:val="-4"/>
        </w:rPr>
        <w:t xml:space="preserve">”, posteriormente, clicar em “Relatórios Estruturados” e em seguida, selecionar “2021” e, na seção “Informações Trimestrais – ITR”, efetuar o </w:t>
      </w:r>
      <w:r w:rsidR="00A76890" w:rsidRPr="00A76890">
        <w:rPr>
          <w:rFonts w:cs="Calibri"/>
          <w:i/>
          <w:spacing w:val="-4"/>
        </w:rPr>
        <w:t>download</w:t>
      </w:r>
      <w:r w:rsidR="00A76890" w:rsidRPr="00A76890">
        <w:rPr>
          <w:rFonts w:cs="Calibri"/>
          <w:spacing w:val="-4"/>
        </w:rPr>
        <w:t xml:space="preserve"> das Informações Trimestrais com data de referência de 31/12/2021)</w:t>
      </w:r>
      <w:r w:rsidR="00586F62" w:rsidRPr="00566CD3">
        <w:rPr>
          <w:spacing w:val="-4"/>
        </w:rPr>
        <w:t>.</w:t>
      </w:r>
    </w:p>
    <w:p w14:paraId="0F8E2038" w14:textId="46E784F0" w:rsidR="00566CD3" w:rsidRDefault="00E8286C" w:rsidP="00C9390C">
      <w:pPr>
        <w:spacing w:after="140" w:line="290" w:lineRule="auto"/>
        <w:jc w:val="both"/>
        <w:rPr>
          <w:b/>
          <w:color w:val="000000"/>
        </w:rPr>
      </w:pPr>
      <w:r w:rsidRPr="00566CD3">
        <w:rPr>
          <w:b/>
          <w:color w:val="000000"/>
        </w:rPr>
        <w:t xml:space="preserve">OS INVESTIDORES DEVEM LER A SEÇÃO </w:t>
      </w:r>
      <w:r w:rsidR="002A4B8C" w:rsidRPr="00566CD3">
        <w:rPr>
          <w:b/>
          <w:color w:val="000000"/>
        </w:rPr>
        <w:t>“</w:t>
      </w:r>
      <w:r w:rsidRPr="00566CD3">
        <w:rPr>
          <w:b/>
          <w:color w:val="000000"/>
        </w:rPr>
        <w:t>4. FATORES DE RISCO</w:t>
      </w:r>
      <w:r w:rsidR="002A4B8C" w:rsidRPr="00566CD3">
        <w:rPr>
          <w:b/>
          <w:color w:val="000000"/>
        </w:rPr>
        <w:t>”</w:t>
      </w:r>
      <w:r w:rsidRPr="00566CD3">
        <w:rPr>
          <w:b/>
          <w:color w:val="000000"/>
        </w:rPr>
        <w:t xml:space="preserve"> DO FORMULÁRIO DE REFERÊNCIA E A SEÇÃO </w:t>
      </w:r>
      <w:r w:rsidR="002A4B8C" w:rsidRPr="00566CD3">
        <w:rPr>
          <w:b/>
          <w:color w:val="000000"/>
        </w:rPr>
        <w:t>“</w:t>
      </w:r>
      <w:r w:rsidRPr="00566CD3">
        <w:rPr>
          <w:b/>
          <w:color w:val="000000"/>
        </w:rPr>
        <w:t>FATORES DE RISCO RELACIONADOS À OFERTA E ÀS DEBÊNTURES</w:t>
      </w:r>
      <w:r w:rsidR="002A4B8C" w:rsidRPr="00566CD3">
        <w:rPr>
          <w:b/>
          <w:color w:val="000000"/>
        </w:rPr>
        <w:t>”</w:t>
      </w:r>
      <w:r w:rsidRPr="00566CD3">
        <w:rPr>
          <w:b/>
          <w:color w:val="000000"/>
        </w:rPr>
        <w:t xml:space="preserve">, NAS PÁGINAS </w:t>
      </w:r>
      <w:r w:rsidR="004B3CC9">
        <w:rPr>
          <w:rFonts w:eastAsia="Arial" w:cs="Calibri"/>
          <w:b/>
          <w:bCs/>
          <w:noProof/>
          <w:color w:val="000000"/>
        </w:rPr>
        <w:fldChar w:fldCharType="begin"/>
      </w:r>
      <w:r w:rsidR="004B3CC9" w:rsidRPr="00566CD3">
        <w:rPr>
          <w:b/>
          <w:color w:val="000000"/>
        </w:rPr>
        <w:instrText xml:space="preserve"> PAGEREF _Ref93411956 \h </w:instrText>
      </w:r>
      <w:r w:rsidR="004B3CC9">
        <w:rPr>
          <w:rFonts w:eastAsia="Arial" w:cs="Calibri"/>
          <w:b/>
          <w:bCs/>
          <w:noProof/>
          <w:color w:val="000000"/>
        </w:rPr>
      </w:r>
      <w:r w:rsidR="004B3CC9">
        <w:rPr>
          <w:rFonts w:eastAsia="Arial" w:cs="Calibri"/>
          <w:b/>
          <w:bCs/>
          <w:noProof/>
          <w:color w:val="000000"/>
        </w:rPr>
        <w:fldChar w:fldCharType="separate"/>
      </w:r>
      <w:r w:rsidR="001166EA">
        <w:rPr>
          <w:b/>
          <w:noProof/>
          <w:color w:val="000000"/>
        </w:rPr>
        <w:t>128</w:t>
      </w:r>
      <w:r w:rsidR="004B3CC9">
        <w:rPr>
          <w:rFonts w:eastAsia="Arial" w:cs="Calibri"/>
          <w:b/>
          <w:bCs/>
          <w:noProof/>
          <w:color w:val="000000"/>
        </w:rPr>
        <w:fldChar w:fldCharType="end"/>
      </w:r>
      <w:r w:rsidRPr="00566CD3">
        <w:rPr>
          <w:b/>
          <w:color w:val="000000"/>
        </w:rPr>
        <w:t xml:space="preserve"> A </w:t>
      </w:r>
      <w:r w:rsidR="00137FB1">
        <w:rPr>
          <w:rFonts w:eastAsia="Arial" w:cs="Calibri"/>
          <w:b/>
          <w:bCs/>
          <w:noProof/>
          <w:color w:val="000000"/>
        </w:rPr>
        <w:fldChar w:fldCharType="begin"/>
      </w:r>
      <w:r w:rsidR="00137FB1" w:rsidRPr="00566CD3">
        <w:rPr>
          <w:b/>
          <w:color w:val="000000"/>
        </w:rPr>
        <w:instrText xml:space="preserve"> PAGEREF fator_de_risco_taxa_subs \h </w:instrText>
      </w:r>
      <w:r w:rsidR="00137FB1">
        <w:rPr>
          <w:rFonts w:eastAsia="Arial" w:cs="Calibri"/>
          <w:b/>
          <w:bCs/>
          <w:noProof/>
          <w:color w:val="000000"/>
        </w:rPr>
      </w:r>
      <w:r w:rsidR="00137FB1">
        <w:rPr>
          <w:rFonts w:eastAsia="Arial" w:cs="Calibri"/>
          <w:b/>
          <w:bCs/>
          <w:noProof/>
          <w:color w:val="000000"/>
        </w:rPr>
        <w:fldChar w:fldCharType="separate"/>
      </w:r>
      <w:r w:rsidR="001166EA">
        <w:rPr>
          <w:b/>
          <w:noProof/>
          <w:color w:val="000000"/>
        </w:rPr>
        <w:t>138</w:t>
      </w:r>
      <w:r w:rsidR="00137FB1">
        <w:rPr>
          <w:rFonts w:eastAsia="Arial" w:cs="Calibri"/>
          <w:b/>
          <w:bCs/>
          <w:noProof/>
          <w:color w:val="000000"/>
        </w:rPr>
        <w:fldChar w:fldCharType="end"/>
      </w:r>
      <w:r w:rsidRPr="00566CD3">
        <w:rPr>
          <w:b/>
          <w:color w:val="000000"/>
        </w:rPr>
        <w:t xml:space="preserve"> DESTE PROSPECTO, PARA CIÊNCIA DE CERTOS FATORES DE RISCO QUE DEVEM SER CONSIDERADOS COM RELAÇÃO AO INVESTIMENTO NAS DEBÊNTURES.</w:t>
      </w:r>
    </w:p>
    <w:p w14:paraId="04FEC072" w14:textId="77777777" w:rsidR="00566CD3" w:rsidRDefault="00566CD3">
      <w:pPr>
        <w:spacing w:after="0" w:line="240" w:lineRule="auto"/>
        <w:rPr>
          <w:b/>
          <w:color w:val="000000"/>
        </w:rPr>
      </w:pPr>
      <w:r>
        <w:rPr>
          <w:b/>
          <w:color w:val="000000"/>
        </w:rPr>
        <w:br w:type="page"/>
      </w:r>
    </w:p>
    <w:p w14:paraId="5A76B33F" w14:textId="0AE81441" w:rsidR="00F20295" w:rsidRPr="00566CD3" w:rsidRDefault="00F20295" w:rsidP="00F20295">
      <w:pPr>
        <w:spacing w:before="220" w:after="220"/>
        <w:jc w:val="center"/>
      </w:pPr>
    </w:p>
    <w:p w14:paraId="16C76CDA" w14:textId="77777777" w:rsidR="00F20295" w:rsidRPr="00566CD3" w:rsidRDefault="00F20295" w:rsidP="00F20295">
      <w:pPr>
        <w:spacing w:before="220" w:after="220"/>
        <w:jc w:val="center"/>
      </w:pPr>
    </w:p>
    <w:p w14:paraId="7BA7AF6C" w14:textId="77777777" w:rsidR="00F20295" w:rsidRPr="00566CD3" w:rsidRDefault="00F20295" w:rsidP="00F20295">
      <w:pPr>
        <w:spacing w:before="220" w:after="220"/>
        <w:jc w:val="center"/>
      </w:pPr>
    </w:p>
    <w:p w14:paraId="6B01C655" w14:textId="77777777" w:rsidR="00F20295" w:rsidRPr="00566CD3" w:rsidRDefault="00F20295" w:rsidP="00F20295">
      <w:pPr>
        <w:spacing w:before="220" w:after="220"/>
        <w:jc w:val="center"/>
      </w:pPr>
    </w:p>
    <w:p w14:paraId="3E228DB6" w14:textId="77777777" w:rsidR="00F20295" w:rsidRPr="00566CD3" w:rsidRDefault="00F20295" w:rsidP="00F20295">
      <w:pPr>
        <w:spacing w:before="220" w:after="220"/>
        <w:jc w:val="center"/>
      </w:pPr>
    </w:p>
    <w:p w14:paraId="4EA34912" w14:textId="77777777" w:rsidR="00F20295" w:rsidRPr="00566CD3" w:rsidRDefault="00F20295" w:rsidP="00F20295">
      <w:pPr>
        <w:spacing w:before="220" w:after="220"/>
        <w:jc w:val="center"/>
      </w:pPr>
    </w:p>
    <w:p w14:paraId="69371C17" w14:textId="77777777" w:rsidR="00F20295" w:rsidRPr="00566CD3" w:rsidRDefault="00F20295" w:rsidP="00F20295">
      <w:pPr>
        <w:spacing w:before="220" w:after="220"/>
        <w:jc w:val="center"/>
      </w:pPr>
    </w:p>
    <w:p w14:paraId="023D956C" w14:textId="77777777" w:rsidR="00F20295" w:rsidRPr="00566CD3" w:rsidRDefault="00F20295" w:rsidP="00F20295">
      <w:pPr>
        <w:spacing w:before="220" w:after="220"/>
        <w:jc w:val="center"/>
      </w:pPr>
    </w:p>
    <w:p w14:paraId="0F99F567" w14:textId="77777777" w:rsidR="00F20295" w:rsidRPr="00566CD3" w:rsidRDefault="00F20295" w:rsidP="00F20295">
      <w:pPr>
        <w:spacing w:before="220" w:after="220"/>
        <w:jc w:val="center"/>
      </w:pPr>
    </w:p>
    <w:p w14:paraId="2068277F" w14:textId="77777777" w:rsidR="00F20295" w:rsidRPr="00566CD3" w:rsidRDefault="00F20295" w:rsidP="00F20295">
      <w:pPr>
        <w:spacing w:before="220" w:after="220"/>
        <w:jc w:val="center"/>
      </w:pPr>
    </w:p>
    <w:p w14:paraId="56BFEAA8" w14:textId="77777777" w:rsidR="00F20295" w:rsidRPr="00566CD3" w:rsidRDefault="00F20295" w:rsidP="00F20295">
      <w:pPr>
        <w:spacing w:before="220" w:after="220"/>
        <w:jc w:val="center"/>
      </w:pPr>
    </w:p>
    <w:p w14:paraId="1B9A1FBA" w14:textId="77777777" w:rsidR="00F20295" w:rsidRPr="00566CD3" w:rsidRDefault="00F20295" w:rsidP="00F20295">
      <w:pPr>
        <w:spacing w:before="220" w:after="220"/>
        <w:jc w:val="center"/>
      </w:pPr>
    </w:p>
    <w:p w14:paraId="15974F9E" w14:textId="77777777" w:rsidR="00F20295" w:rsidRPr="00566CD3" w:rsidRDefault="00F20295" w:rsidP="00F20295">
      <w:pPr>
        <w:spacing w:before="240" w:after="240"/>
        <w:jc w:val="center"/>
      </w:pPr>
      <w:r w:rsidRPr="00566CD3">
        <w:t xml:space="preserve"> (Esta página foi intencionalmente deixada em branco)</w:t>
      </w:r>
    </w:p>
    <w:p w14:paraId="68D62DCD" w14:textId="77777777" w:rsidR="00E8286C" w:rsidRPr="00566CD3" w:rsidRDefault="00F20295" w:rsidP="009E5F9A">
      <w:pPr>
        <w:pStyle w:val="Ttulo1"/>
        <w:keepNext w:val="0"/>
        <w:pageBreakBefore w:val="0"/>
        <w:widowControl w:val="0"/>
        <w:spacing w:after="140" w:line="290" w:lineRule="auto"/>
        <w:rPr>
          <w:caps w:val="0"/>
        </w:rPr>
      </w:pPr>
      <w:r w:rsidRPr="00566CD3">
        <w:br w:type="page"/>
      </w:r>
      <w:bookmarkStart w:id="35" w:name="_Toc428306443"/>
      <w:bookmarkStart w:id="36" w:name="_Toc87002461"/>
      <w:bookmarkStart w:id="37" w:name="_Toc90045077"/>
      <w:bookmarkStart w:id="38" w:name="_Toc95928389"/>
      <w:r w:rsidR="00E8286C" w:rsidRPr="00566CD3">
        <w:rPr>
          <w:caps w:val="0"/>
        </w:rPr>
        <w:lastRenderedPageBreak/>
        <w:t>CONSIDERAÇÕES SOBRE ESTIMATIVAS E DECLARAÇÕES ACERCA DO FUTURO</w:t>
      </w:r>
      <w:bookmarkEnd w:id="35"/>
      <w:bookmarkEnd w:id="36"/>
      <w:bookmarkEnd w:id="37"/>
      <w:bookmarkEnd w:id="38"/>
    </w:p>
    <w:p w14:paraId="7BA7F44D" w14:textId="1749FAF8" w:rsidR="00E8286C" w:rsidRPr="00566CD3" w:rsidRDefault="00E8286C" w:rsidP="00C9390C">
      <w:pPr>
        <w:spacing w:after="140" w:line="290" w:lineRule="auto"/>
        <w:jc w:val="both"/>
        <w:rPr>
          <w:b/>
          <w:kern w:val="20"/>
        </w:rPr>
      </w:pPr>
      <w:r w:rsidRPr="00566CD3">
        <w:rPr>
          <w:b/>
          <w:kern w:val="20"/>
        </w:rPr>
        <w:t xml:space="preserve">Este Prospecto e o Formulário de Referência, incorporado por referência a este Prospecto, incluem estimativas e declarações acerca do futuro, inclusive, mas não se limitando, na seção </w:t>
      </w:r>
      <w:r w:rsidR="002A4B8C" w:rsidRPr="00566CD3">
        <w:rPr>
          <w:b/>
          <w:kern w:val="20"/>
        </w:rPr>
        <w:t>“</w:t>
      </w:r>
      <w:r w:rsidRPr="00566CD3">
        <w:rPr>
          <w:b/>
          <w:kern w:val="20"/>
        </w:rPr>
        <w:t xml:space="preserve">Fatores de Risco Relacionados à Oferta e às </w:t>
      </w:r>
      <w:r w:rsidR="000E2EDC" w:rsidRPr="00566CD3">
        <w:rPr>
          <w:b/>
          <w:kern w:val="20"/>
        </w:rPr>
        <w:t>Debêntures</w:t>
      </w:r>
      <w:r w:rsidR="002A4B8C" w:rsidRPr="00566CD3">
        <w:rPr>
          <w:b/>
          <w:kern w:val="20"/>
        </w:rPr>
        <w:t>”</w:t>
      </w:r>
      <w:r w:rsidRPr="00566CD3">
        <w:rPr>
          <w:b/>
          <w:kern w:val="20"/>
        </w:rPr>
        <w:t xml:space="preserve"> nas páginas </w:t>
      </w:r>
      <w:r w:rsidR="0023138E" w:rsidRPr="00D8141D">
        <w:rPr>
          <w:rFonts w:eastAsia="Times New Roman" w:cs="Calibri"/>
          <w:b/>
          <w:bCs/>
          <w:noProof/>
          <w:kern w:val="20"/>
          <w:lang w:eastAsia="pt-BR"/>
        </w:rPr>
        <w:fldChar w:fldCharType="begin"/>
      </w:r>
      <w:r w:rsidR="0023138E" w:rsidRPr="00566CD3">
        <w:rPr>
          <w:b/>
          <w:kern w:val="20"/>
        </w:rPr>
        <w:instrText xml:space="preserve"> PAGEREF _Ref90056635 \h </w:instrText>
      </w:r>
      <w:r w:rsidR="0023138E" w:rsidRPr="00D8141D">
        <w:rPr>
          <w:rFonts w:eastAsia="Times New Roman" w:cs="Calibri"/>
          <w:b/>
          <w:bCs/>
          <w:noProof/>
          <w:kern w:val="20"/>
          <w:lang w:eastAsia="pt-BR"/>
        </w:rPr>
      </w:r>
      <w:r w:rsidR="0023138E" w:rsidRPr="00D8141D">
        <w:rPr>
          <w:rFonts w:eastAsia="Times New Roman" w:cs="Calibri"/>
          <w:b/>
          <w:bCs/>
          <w:noProof/>
          <w:kern w:val="20"/>
          <w:lang w:eastAsia="pt-BR"/>
        </w:rPr>
        <w:fldChar w:fldCharType="separate"/>
      </w:r>
      <w:r w:rsidR="001166EA">
        <w:rPr>
          <w:b/>
          <w:noProof/>
          <w:kern w:val="20"/>
        </w:rPr>
        <w:t>128</w:t>
      </w:r>
      <w:r w:rsidR="0023138E" w:rsidRPr="00D8141D">
        <w:rPr>
          <w:rFonts w:eastAsia="Times New Roman" w:cs="Calibri"/>
          <w:b/>
          <w:bCs/>
          <w:noProof/>
          <w:kern w:val="20"/>
          <w:lang w:eastAsia="pt-BR"/>
        </w:rPr>
        <w:fldChar w:fldCharType="end"/>
      </w:r>
      <w:r w:rsidRPr="00566CD3">
        <w:rPr>
          <w:b/>
          <w:kern w:val="20"/>
        </w:rPr>
        <w:t xml:space="preserve"> a </w:t>
      </w:r>
      <w:r w:rsidR="00137FB1">
        <w:rPr>
          <w:rFonts w:eastAsia="Times New Roman" w:cs="Calibri"/>
          <w:b/>
          <w:bCs/>
          <w:noProof/>
          <w:kern w:val="20"/>
          <w:lang w:eastAsia="pt-BR"/>
        </w:rPr>
        <w:fldChar w:fldCharType="begin"/>
      </w:r>
      <w:r w:rsidR="00137FB1" w:rsidRPr="00566CD3">
        <w:rPr>
          <w:b/>
          <w:kern w:val="20"/>
        </w:rPr>
        <w:instrText xml:space="preserve"> PAGEREF fator_de_risco_taxa_subs \h </w:instrText>
      </w:r>
      <w:r w:rsidR="00137FB1">
        <w:rPr>
          <w:rFonts w:eastAsia="Times New Roman" w:cs="Calibri"/>
          <w:b/>
          <w:bCs/>
          <w:noProof/>
          <w:kern w:val="20"/>
          <w:lang w:eastAsia="pt-BR"/>
        </w:rPr>
      </w:r>
      <w:r w:rsidR="00137FB1">
        <w:rPr>
          <w:rFonts w:eastAsia="Times New Roman" w:cs="Calibri"/>
          <w:b/>
          <w:bCs/>
          <w:noProof/>
          <w:kern w:val="20"/>
          <w:lang w:eastAsia="pt-BR"/>
        </w:rPr>
        <w:fldChar w:fldCharType="separate"/>
      </w:r>
      <w:r w:rsidR="001166EA">
        <w:rPr>
          <w:b/>
          <w:noProof/>
          <w:kern w:val="20"/>
        </w:rPr>
        <w:t>138</w:t>
      </w:r>
      <w:r w:rsidR="00137FB1">
        <w:rPr>
          <w:rFonts w:eastAsia="Times New Roman" w:cs="Calibri"/>
          <w:b/>
          <w:bCs/>
          <w:noProof/>
          <w:kern w:val="20"/>
          <w:lang w:eastAsia="pt-BR"/>
        </w:rPr>
        <w:fldChar w:fldCharType="end"/>
      </w:r>
      <w:r w:rsidRPr="00566CD3">
        <w:rPr>
          <w:b/>
          <w:kern w:val="20"/>
        </w:rPr>
        <w:t xml:space="preserve"> deste Prospecto, e no</w:t>
      </w:r>
      <w:r w:rsidR="00F46A71" w:rsidRPr="00566CD3">
        <w:rPr>
          <w:b/>
          <w:kern w:val="20"/>
        </w:rPr>
        <w:t>s</w:t>
      </w:r>
      <w:r w:rsidRPr="00566CD3">
        <w:rPr>
          <w:b/>
          <w:kern w:val="20"/>
        </w:rPr>
        <w:t xml:space="preserve"> itens </w:t>
      </w:r>
      <w:r w:rsidR="002A4B8C" w:rsidRPr="00566CD3">
        <w:rPr>
          <w:b/>
          <w:kern w:val="20"/>
        </w:rPr>
        <w:t>“</w:t>
      </w:r>
      <w:r w:rsidRPr="00566CD3">
        <w:rPr>
          <w:b/>
          <w:kern w:val="20"/>
        </w:rPr>
        <w:t>4. Fatores de Risco</w:t>
      </w:r>
      <w:r w:rsidR="002A4B8C" w:rsidRPr="00566CD3">
        <w:rPr>
          <w:b/>
          <w:kern w:val="20"/>
        </w:rPr>
        <w:t>”</w:t>
      </w:r>
      <w:r w:rsidRPr="00566CD3">
        <w:rPr>
          <w:b/>
          <w:kern w:val="20"/>
        </w:rPr>
        <w:t xml:space="preserve">, </w:t>
      </w:r>
      <w:r w:rsidR="002A4B8C" w:rsidRPr="00566CD3">
        <w:rPr>
          <w:b/>
          <w:kern w:val="20"/>
        </w:rPr>
        <w:t>“</w:t>
      </w:r>
      <w:r w:rsidRPr="00566CD3">
        <w:rPr>
          <w:b/>
          <w:kern w:val="20"/>
        </w:rPr>
        <w:t>5. Gerenciamento de Riscos e Controles Internos</w:t>
      </w:r>
      <w:r w:rsidR="002A4B8C" w:rsidRPr="00566CD3">
        <w:rPr>
          <w:b/>
          <w:kern w:val="20"/>
        </w:rPr>
        <w:t>”</w:t>
      </w:r>
      <w:r w:rsidRPr="00566CD3">
        <w:rPr>
          <w:b/>
          <w:kern w:val="20"/>
        </w:rPr>
        <w:t xml:space="preserve">, </w:t>
      </w:r>
      <w:r w:rsidR="002A4B8C" w:rsidRPr="00566CD3">
        <w:rPr>
          <w:b/>
          <w:kern w:val="20"/>
        </w:rPr>
        <w:t>“</w:t>
      </w:r>
      <w:r w:rsidRPr="00566CD3">
        <w:rPr>
          <w:b/>
          <w:kern w:val="20"/>
        </w:rPr>
        <w:t>6. Histórico do Emissor</w:t>
      </w:r>
      <w:r w:rsidR="002A4B8C" w:rsidRPr="00566CD3">
        <w:rPr>
          <w:b/>
          <w:kern w:val="20"/>
        </w:rPr>
        <w:t>”</w:t>
      </w:r>
      <w:r w:rsidRPr="00566CD3">
        <w:rPr>
          <w:b/>
          <w:kern w:val="20"/>
        </w:rPr>
        <w:t xml:space="preserve">, </w:t>
      </w:r>
      <w:r w:rsidR="002A4B8C" w:rsidRPr="00566CD3">
        <w:rPr>
          <w:b/>
          <w:kern w:val="20"/>
        </w:rPr>
        <w:t>“</w:t>
      </w:r>
      <w:r w:rsidRPr="00566CD3">
        <w:rPr>
          <w:b/>
          <w:kern w:val="20"/>
        </w:rPr>
        <w:t>7. Atividades do Emissor</w:t>
      </w:r>
      <w:r w:rsidR="002A4B8C" w:rsidRPr="00566CD3">
        <w:rPr>
          <w:b/>
          <w:kern w:val="20"/>
        </w:rPr>
        <w:t>”</w:t>
      </w:r>
      <w:r w:rsidRPr="00566CD3">
        <w:rPr>
          <w:b/>
          <w:kern w:val="20"/>
        </w:rPr>
        <w:t xml:space="preserve"> e </w:t>
      </w:r>
      <w:r w:rsidR="002A4B8C" w:rsidRPr="00566CD3">
        <w:rPr>
          <w:b/>
          <w:kern w:val="20"/>
        </w:rPr>
        <w:t>“</w:t>
      </w:r>
      <w:r w:rsidRPr="00566CD3">
        <w:rPr>
          <w:b/>
          <w:kern w:val="20"/>
        </w:rPr>
        <w:t>10. Comentários dos Diretores</w:t>
      </w:r>
      <w:r w:rsidR="002A4B8C" w:rsidRPr="00566CD3">
        <w:rPr>
          <w:b/>
          <w:kern w:val="20"/>
        </w:rPr>
        <w:t>”</w:t>
      </w:r>
      <w:r w:rsidRPr="00566CD3">
        <w:rPr>
          <w:b/>
          <w:kern w:val="20"/>
        </w:rPr>
        <w:t xml:space="preserve"> do Formulário de Referência, que envolvem riscos e incertezas e, portanto, não constituem garantias dos resultados da Emissora.</w:t>
      </w:r>
    </w:p>
    <w:p w14:paraId="75541E36" w14:textId="77777777" w:rsidR="00E8286C" w:rsidRPr="00566CD3" w:rsidRDefault="00E8286C" w:rsidP="00C9390C">
      <w:pPr>
        <w:spacing w:after="140" w:line="290" w:lineRule="auto"/>
        <w:jc w:val="both"/>
        <w:rPr>
          <w:kern w:val="20"/>
        </w:rPr>
      </w:pPr>
      <w:r w:rsidRPr="00566CD3">
        <w:rPr>
          <w:kern w:val="20"/>
        </w:rPr>
        <w:t xml:space="preserve">As </w:t>
      </w:r>
      <w:r w:rsidR="00C12A0F" w:rsidRPr="00566CD3">
        <w:rPr>
          <w:kern w:val="20"/>
        </w:rPr>
        <w:t xml:space="preserve">considerações sobre </w:t>
      </w:r>
      <w:r w:rsidRPr="00566CD3">
        <w:rPr>
          <w:kern w:val="20"/>
        </w:rPr>
        <w:t>estimativas</w:t>
      </w:r>
      <w:r w:rsidR="00C12A0F" w:rsidRPr="00566CD3">
        <w:rPr>
          <w:kern w:val="20"/>
        </w:rPr>
        <w:t>, perspectivas</w:t>
      </w:r>
      <w:r w:rsidRPr="00566CD3">
        <w:rPr>
          <w:kern w:val="20"/>
        </w:rPr>
        <w:t xml:space="preserve"> e declarações futuras têm por embasamento, em grande parte, as expectativas atuais</w:t>
      </w:r>
      <w:r w:rsidR="00C12A0F" w:rsidRPr="00566CD3">
        <w:rPr>
          <w:kern w:val="20"/>
        </w:rPr>
        <w:t xml:space="preserve"> da Emissora</w:t>
      </w:r>
      <w:r w:rsidRPr="00566CD3">
        <w:rPr>
          <w:kern w:val="20"/>
        </w:rPr>
        <w:t>, projeções futuras</w:t>
      </w:r>
      <w:r w:rsidR="00C12A0F" w:rsidRPr="00566CD3">
        <w:rPr>
          <w:kern w:val="20"/>
        </w:rPr>
        <w:t>, estratégias</w:t>
      </w:r>
      <w:r w:rsidRPr="00566CD3">
        <w:rPr>
          <w:kern w:val="20"/>
        </w:rPr>
        <w:t xml:space="preserve"> e tendências </w:t>
      </w:r>
      <w:r w:rsidR="00C12A0F" w:rsidRPr="00566CD3">
        <w:rPr>
          <w:kern w:val="20"/>
        </w:rPr>
        <w:t xml:space="preserve">financeiras </w:t>
      </w:r>
      <w:r w:rsidRPr="00566CD3">
        <w:rPr>
          <w:kern w:val="20"/>
        </w:rPr>
        <w:t xml:space="preserve">que afetam ou podem potencialmente vir a afetar os </w:t>
      </w:r>
      <w:r w:rsidR="00C12A0F" w:rsidRPr="00566CD3">
        <w:rPr>
          <w:kern w:val="20"/>
        </w:rPr>
        <w:t xml:space="preserve">seus negócios operacionais, o setor de atuação da Emissora, bem com sua participação de mercado, reputação, negócios, situação financeira, o resultado de suas operações, margens e/ou fluxo de caixa. As estimativas e perspectivas sobre o futuro estão sujeitas a diversos riscos e incertezas e foram efetuadas somente com base nas informações disponíveis atualmente e, portanto, não constituem garantia de resultado. Muitos fatores importantes, além daqueles discutidos neste Prospecto, tais como previstos nas estimativas e perspectivas sobre o futuro, podem impactar adversamente os resultados da Emissora e/ou podem fazer com que essas estimativas e declarações futuras </w:t>
      </w:r>
      <w:r w:rsidR="00761953" w:rsidRPr="00566CD3">
        <w:rPr>
          <w:kern w:val="20"/>
        </w:rPr>
        <w:t>encontrem</w:t>
      </w:r>
      <w:r w:rsidR="00C12A0F" w:rsidRPr="00566CD3">
        <w:rPr>
          <w:kern w:val="20"/>
        </w:rPr>
        <w:t>-se baseadas em premissas razoáveis, estas estimativas e declarações estão sujeitas a diversos riscos, incertezas e suposições e são feitas com base nas informações atualmente disponíveis.</w:t>
      </w:r>
    </w:p>
    <w:p w14:paraId="371801B7" w14:textId="77777777" w:rsidR="00E8286C" w:rsidRPr="00566CD3" w:rsidRDefault="00E8286C" w:rsidP="00C9390C">
      <w:pPr>
        <w:spacing w:after="140" w:line="290" w:lineRule="auto"/>
        <w:jc w:val="both"/>
        <w:rPr>
          <w:kern w:val="20"/>
        </w:rPr>
      </w:pPr>
      <w:r w:rsidRPr="00566CD3">
        <w:t xml:space="preserve">Além de outros itens discutidos em outras seções deste Prospecto, há uma série de fatores que podem fazer com que as estimativas e declarações da Emissora não ocorram. Tais riscos e incertezas incluem, entre outras situações, as seguintes: </w:t>
      </w:r>
    </w:p>
    <w:p w14:paraId="2F06AC50" w14:textId="77777777" w:rsidR="00E8286C" w:rsidRPr="00566CD3" w:rsidRDefault="00C12A0F" w:rsidP="00C9390C">
      <w:pPr>
        <w:numPr>
          <w:ilvl w:val="0"/>
          <w:numId w:val="1"/>
        </w:numPr>
        <w:tabs>
          <w:tab w:val="clear" w:pos="720"/>
        </w:tabs>
        <w:spacing w:after="140" w:line="290" w:lineRule="auto"/>
        <w:ind w:left="360"/>
        <w:jc w:val="both"/>
        <w:rPr>
          <w:kern w:val="20"/>
        </w:rPr>
      </w:pPr>
      <w:r w:rsidRPr="00566CD3">
        <w:rPr>
          <w:kern w:val="20"/>
        </w:rPr>
        <w:t>condições econômicas, políticas e comerciais gerais no Brasil e no exterior, incluindo, no Brasil, certos desenvolvimentos e a percepção de riscos relacionados à corrupção em curso e investigações, além do aumento das relações conflituosas e lutas internas da administração do Presidente Bolsonaro, bem como certas políticas passíveis de mudanças no tratamento desses assuntos, incluindo reformas econômicas, fiscais e a resposta aos efeitos contínuos da pandemia do COVID-19 que possa afetar negativamente as perspectivas de crescimento da economia brasileira como um todo</w:t>
      </w:r>
      <w:r w:rsidR="00E8286C" w:rsidRPr="00566CD3">
        <w:rPr>
          <w:kern w:val="20"/>
        </w:rPr>
        <w:t>;</w:t>
      </w:r>
    </w:p>
    <w:p w14:paraId="2E0D42F1" w14:textId="77777777" w:rsidR="00E8286C" w:rsidRPr="00566CD3" w:rsidRDefault="00C12A0F" w:rsidP="00C12A0F">
      <w:pPr>
        <w:numPr>
          <w:ilvl w:val="0"/>
          <w:numId w:val="1"/>
        </w:numPr>
        <w:tabs>
          <w:tab w:val="clear" w:pos="720"/>
        </w:tabs>
        <w:spacing w:after="140" w:line="290" w:lineRule="auto"/>
        <w:ind w:left="360"/>
        <w:jc w:val="both"/>
        <w:rPr>
          <w:kern w:val="20"/>
        </w:rPr>
      </w:pPr>
      <w:r w:rsidRPr="00566CD3">
        <w:rPr>
          <w:kern w:val="20"/>
        </w:rPr>
        <w:t>o impacto do surto de coronavírus (COVID-19) (ou outras pandemias, epidemias ou crises semelhantes) na economia e condições de negócio no Brasil e no mundo e quaisquer medidas restritivas impostas por autoridades governamentais no combate ao surto ou outras pandemias, epidemias e crises semelhante;</w:t>
      </w:r>
    </w:p>
    <w:p w14:paraId="4DCDF523" w14:textId="77777777" w:rsidR="00E8286C" w:rsidRPr="00566CD3" w:rsidRDefault="00C12A0F" w:rsidP="00C9390C">
      <w:pPr>
        <w:numPr>
          <w:ilvl w:val="0"/>
          <w:numId w:val="1"/>
        </w:numPr>
        <w:tabs>
          <w:tab w:val="clear" w:pos="720"/>
        </w:tabs>
        <w:spacing w:after="140" w:line="290" w:lineRule="auto"/>
        <w:ind w:left="360"/>
        <w:jc w:val="both"/>
        <w:rPr>
          <w:kern w:val="20"/>
        </w:rPr>
      </w:pPr>
      <w:r w:rsidRPr="00566CD3">
        <w:rPr>
          <w:kern w:val="20"/>
        </w:rPr>
        <w:lastRenderedPageBreak/>
        <w:t>conjuntura econômica, política e de negócios no Brasil e, em especial, nos mercados em que a Emissora atua</w:t>
      </w:r>
      <w:r w:rsidR="00E8286C" w:rsidRPr="00566CD3">
        <w:rPr>
          <w:kern w:val="20"/>
        </w:rPr>
        <w:t>;</w:t>
      </w:r>
    </w:p>
    <w:p w14:paraId="71421488" w14:textId="77777777" w:rsidR="003B3CA5" w:rsidRPr="00566CD3" w:rsidRDefault="003B3CA5" w:rsidP="00C9390C">
      <w:pPr>
        <w:numPr>
          <w:ilvl w:val="0"/>
          <w:numId w:val="1"/>
        </w:numPr>
        <w:tabs>
          <w:tab w:val="clear" w:pos="720"/>
        </w:tabs>
        <w:spacing w:after="140" w:line="290" w:lineRule="auto"/>
        <w:ind w:left="360"/>
        <w:jc w:val="both"/>
        <w:rPr>
          <w:kern w:val="20"/>
        </w:rPr>
      </w:pPr>
      <w:r w:rsidRPr="00566CD3">
        <w:rPr>
          <w:kern w:val="20"/>
        </w:rPr>
        <w:t>alterações nas condições gerais da economia, incluindo, exemplificativamente, inflação, flutuações na taxa de juros, variações na taxa de câmbio do Real em relação ao Dólar, aumento ou alterações do preço dos produtos da Emissora, em especial do açúcar, aumento dos níveis de desemprego, crescimento ou diminuição do produto interno bruto (PIB) e da população;</w:t>
      </w:r>
    </w:p>
    <w:p w14:paraId="0F1A96ED" w14:textId="77777777" w:rsidR="003B3CA5" w:rsidRPr="00566CD3" w:rsidRDefault="003B3CA5" w:rsidP="00C9390C">
      <w:pPr>
        <w:numPr>
          <w:ilvl w:val="0"/>
          <w:numId w:val="1"/>
        </w:numPr>
        <w:tabs>
          <w:tab w:val="clear" w:pos="720"/>
        </w:tabs>
        <w:spacing w:after="140" w:line="290" w:lineRule="auto"/>
        <w:ind w:left="360"/>
        <w:jc w:val="both"/>
        <w:rPr>
          <w:kern w:val="20"/>
        </w:rPr>
      </w:pPr>
      <w:r w:rsidRPr="00566CD3">
        <w:rPr>
          <w:kern w:val="20"/>
        </w:rPr>
        <w:t>administração e operações futuras da Emissora;</w:t>
      </w:r>
    </w:p>
    <w:p w14:paraId="0A1CBCC5" w14:textId="77777777" w:rsidR="00E8286C" w:rsidRPr="00566CD3" w:rsidRDefault="00E8286C" w:rsidP="00C9390C">
      <w:pPr>
        <w:numPr>
          <w:ilvl w:val="0"/>
          <w:numId w:val="1"/>
        </w:numPr>
        <w:tabs>
          <w:tab w:val="clear" w:pos="720"/>
        </w:tabs>
        <w:spacing w:after="140" w:line="290" w:lineRule="auto"/>
        <w:ind w:left="360"/>
        <w:jc w:val="both"/>
        <w:rPr>
          <w:kern w:val="20"/>
        </w:rPr>
      </w:pPr>
      <w:r w:rsidRPr="00566CD3">
        <w:rPr>
          <w:kern w:val="20"/>
        </w:rPr>
        <w:t>nível de endividamento e demais obrigações financeiras da Emissora;</w:t>
      </w:r>
    </w:p>
    <w:p w14:paraId="0B828DAA" w14:textId="77777777" w:rsidR="00E8286C" w:rsidRPr="00566CD3" w:rsidRDefault="00E8286C" w:rsidP="00C9390C">
      <w:pPr>
        <w:numPr>
          <w:ilvl w:val="0"/>
          <w:numId w:val="1"/>
        </w:numPr>
        <w:tabs>
          <w:tab w:val="clear" w:pos="720"/>
        </w:tabs>
        <w:spacing w:after="140" w:line="290" w:lineRule="auto"/>
        <w:ind w:left="360"/>
        <w:jc w:val="both"/>
        <w:rPr>
          <w:kern w:val="20"/>
        </w:rPr>
      </w:pPr>
      <w:r w:rsidRPr="00566CD3">
        <w:rPr>
          <w:kern w:val="20"/>
        </w:rPr>
        <w:t>capacidade da Emissora de implementar seus planos de investimento;</w:t>
      </w:r>
    </w:p>
    <w:p w14:paraId="2A8159CC" w14:textId="77777777" w:rsidR="00E8286C" w:rsidRPr="00566CD3" w:rsidRDefault="00E8286C" w:rsidP="00C9390C">
      <w:pPr>
        <w:numPr>
          <w:ilvl w:val="0"/>
          <w:numId w:val="1"/>
        </w:numPr>
        <w:tabs>
          <w:tab w:val="clear" w:pos="720"/>
        </w:tabs>
        <w:spacing w:after="140" w:line="290" w:lineRule="auto"/>
        <w:ind w:left="360"/>
        <w:jc w:val="both"/>
        <w:rPr>
          <w:kern w:val="20"/>
        </w:rPr>
      </w:pPr>
      <w:r w:rsidRPr="00566CD3">
        <w:rPr>
          <w:kern w:val="20"/>
        </w:rPr>
        <w:t xml:space="preserve">capacidade da Emissora de acompanhar e se adaptar às mudanças tecnológicas </w:t>
      </w:r>
      <w:r w:rsidR="003F31C0" w:rsidRPr="00566CD3">
        <w:rPr>
          <w:kern w:val="20"/>
        </w:rPr>
        <w:t>em seu setor de atuação</w:t>
      </w:r>
      <w:r w:rsidRPr="00566CD3">
        <w:rPr>
          <w:kern w:val="20"/>
        </w:rPr>
        <w:t>;</w:t>
      </w:r>
    </w:p>
    <w:p w14:paraId="3F5EB2F0" w14:textId="77777777" w:rsidR="00E8286C" w:rsidRPr="00566CD3" w:rsidRDefault="00E8286C" w:rsidP="00C9390C">
      <w:pPr>
        <w:numPr>
          <w:ilvl w:val="0"/>
          <w:numId w:val="1"/>
        </w:numPr>
        <w:tabs>
          <w:tab w:val="clear" w:pos="720"/>
        </w:tabs>
        <w:spacing w:after="140" w:line="290" w:lineRule="auto"/>
        <w:ind w:left="360"/>
        <w:jc w:val="both"/>
        <w:rPr>
          <w:kern w:val="20"/>
        </w:rPr>
      </w:pPr>
      <w:r w:rsidRPr="00566CD3">
        <w:rPr>
          <w:kern w:val="20"/>
        </w:rPr>
        <w:t>leis e regulamentos existentes e futuros;</w:t>
      </w:r>
    </w:p>
    <w:p w14:paraId="2F037422" w14:textId="77777777" w:rsidR="00E8286C" w:rsidRPr="00566CD3" w:rsidRDefault="00E8286C" w:rsidP="00C9390C">
      <w:pPr>
        <w:numPr>
          <w:ilvl w:val="0"/>
          <w:numId w:val="1"/>
        </w:numPr>
        <w:tabs>
          <w:tab w:val="clear" w:pos="720"/>
        </w:tabs>
        <w:spacing w:after="140" w:line="290" w:lineRule="auto"/>
        <w:ind w:left="360"/>
        <w:jc w:val="both"/>
        <w:rPr>
          <w:kern w:val="20"/>
        </w:rPr>
      </w:pPr>
      <w:r w:rsidRPr="00566CD3">
        <w:rPr>
          <w:kern w:val="20"/>
        </w:rPr>
        <w:t>alterações na legislação e regulamentação brasileira aplicáveis às atividades</w:t>
      </w:r>
      <w:r w:rsidR="009A299A" w:rsidRPr="00566CD3">
        <w:rPr>
          <w:kern w:val="20"/>
        </w:rPr>
        <w:t xml:space="preserve"> da Emissora</w:t>
      </w:r>
      <w:r w:rsidR="003B3CA5" w:rsidRPr="00566CD3">
        <w:rPr>
          <w:kern w:val="20"/>
        </w:rPr>
        <w:t xml:space="preserve"> e ao seu setor de atuação</w:t>
      </w:r>
      <w:r w:rsidRPr="00566CD3">
        <w:rPr>
          <w:kern w:val="20"/>
        </w:rPr>
        <w:t>, incluindo</w:t>
      </w:r>
      <w:r w:rsidR="003F31C0" w:rsidRPr="00566CD3">
        <w:rPr>
          <w:kern w:val="20"/>
        </w:rPr>
        <w:t>,</w:t>
      </w:r>
      <w:r w:rsidRPr="00566CD3">
        <w:rPr>
          <w:kern w:val="20"/>
        </w:rPr>
        <w:t xml:space="preserve"> mas não se limitando, as leis e os regulamentos existentes e futuros, inclusive sobre o </w:t>
      </w:r>
      <w:r w:rsidR="003F31C0" w:rsidRPr="00566CD3">
        <w:rPr>
          <w:kern w:val="20"/>
        </w:rPr>
        <w:t>seu setor de atuação</w:t>
      </w:r>
      <w:r w:rsidRPr="00566CD3">
        <w:rPr>
          <w:kern w:val="20"/>
        </w:rPr>
        <w:t>;</w:t>
      </w:r>
    </w:p>
    <w:p w14:paraId="328B191D" w14:textId="77777777" w:rsidR="00E8286C" w:rsidRPr="00566CD3" w:rsidRDefault="00E8286C" w:rsidP="00C9390C">
      <w:pPr>
        <w:numPr>
          <w:ilvl w:val="0"/>
          <w:numId w:val="1"/>
        </w:numPr>
        <w:tabs>
          <w:tab w:val="clear" w:pos="720"/>
        </w:tabs>
        <w:spacing w:after="140" w:line="290" w:lineRule="auto"/>
        <w:ind w:left="360"/>
        <w:jc w:val="both"/>
        <w:rPr>
          <w:kern w:val="20"/>
        </w:rPr>
      </w:pPr>
      <w:r w:rsidRPr="00566CD3">
        <w:rPr>
          <w:kern w:val="20"/>
        </w:rPr>
        <w:t xml:space="preserve">as intervenções do governo no setor </w:t>
      </w:r>
      <w:r w:rsidR="003B3CA5" w:rsidRPr="00566CD3">
        <w:rPr>
          <w:kern w:val="20"/>
        </w:rPr>
        <w:t xml:space="preserve">de atuação da Emissora, as quais </w:t>
      </w:r>
      <w:r w:rsidRPr="00566CD3">
        <w:rPr>
          <w:kern w:val="20"/>
        </w:rPr>
        <w:t xml:space="preserve">poderão resultar em mudanças no ambiente econômico, tributário, tarifário ou regulador </w:t>
      </w:r>
      <w:r w:rsidR="003B3CA5" w:rsidRPr="00566CD3">
        <w:rPr>
          <w:kern w:val="20"/>
        </w:rPr>
        <w:t>aplicável</w:t>
      </w:r>
      <w:r w:rsidRPr="00566CD3">
        <w:rPr>
          <w:kern w:val="20"/>
        </w:rPr>
        <w:t>;</w:t>
      </w:r>
    </w:p>
    <w:p w14:paraId="1D4F426E" w14:textId="77777777" w:rsidR="00E8286C" w:rsidRPr="00566CD3" w:rsidRDefault="00E8286C" w:rsidP="00C9390C">
      <w:pPr>
        <w:numPr>
          <w:ilvl w:val="0"/>
          <w:numId w:val="1"/>
        </w:numPr>
        <w:tabs>
          <w:tab w:val="clear" w:pos="720"/>
        </w:tabs>
        <w:spacing w:after="140" w:line="290" w:lineRule="auto"/>
        <w:ind w:left="360"/>
        <w:jc w:val="both"/>
        <w:rPr>
          <w:kern w:val="20"/>
        </w:rPr>
      </w:pPr>
      <w:r w:rsidRPr="00566CD3">
        <w:rPr>
          <w:kern w:val="20"/>
        </w:rPr>
        <w:t>incapacidade de obter ou manter licenças e autorizações governamentais para a operação da Emissora;</w:t>
      </w:r>
    </w:p>
    <w:p w14:paraId="04B44816" w14:textId="77777777" w:rsidR="003B3CA5" w:rsidRPr="00566CD3" w:rsidRDefault="003B3CA5" w:rsidP="00C9390C">
      <w:pPr>
        <w:numPr>
          <w:ilvl w:val="0"/>
          <w:numId w:val="1"/>
        </w:numPr>
        <w:tabs>
          <w:tab w:val="clear" w:pos="720"/>
        </w:tabs>
        <w:spacing w:after="140" w:line="290" w:lineRule="auto"/>
        <w:ind w:left="360"/>
        <w:jc w:val="both"/>
        <w:rPr>
          <w:kern w:val="20"/>
        </w:rPr>
      </w:pPr>
      <w:r w:rsidRPr="00566CD3">
        <w:rPr>
          <w:kern w:val="20"/>
        </w:rPr>
        <w:t>outros fatores que possam afetar a condição financeira, a reputação, a liquidez e os resultados das operações da Emissora;</w:t>
      </w:r>
    </w:p>
    <w:p w14:paraId="133E2A78" w14:textId="77777777" w:rsidR="003B3CA5" w:rsidRPr="00D8141D" w:rsidRDefault="003B3CA5" w:rsidP="00C9390C">
      <w:pPr>
        <w:numPr>
          <w:ilvl w:val="0"/>
          <w:numId w:val="1"/>
        </w:numPr>
        <w:tabs>
          <w:tab w:val="clear" w:pos="720"/>
        </w:tabs>
        <w:spacing w:after="140" w:line="290" w:lineRule="auto"/>
        <w:ind w:left="360"/>
        <w:jc w:val="both"/>
        <w:rPr>
          <w:rFonts w:eastAsia="Times New Roman" w:cs="Calibri"/>
          <w:bCs/>
          <w:kern w:val="20"/>
          <w:lang w:eastAsia="pt-BR"/>
        </w:rPr>
      </w:pPr>
      <w:r w:rsidRPr="00D8141D">
        <w:rPr>
          <w:rFonts w:eastAsia="Times New Roman" w:cs="Calibri"/>
          <w:bCs/>
          <w:kern w:val="20"/>
          <w:lang w:eastAsia="pt-BR"/>
        </w:rPr>
        <w:t xml:space="preserve">eventos de força maior; </w:t>
      </w:r>
    </w:p>
    <w:p w14:paraId="52EFF317" w14:textId="77777777" w:rsidR="00E8286C" w:rsidRPr="00566CD3" w:rsidRDefault="00E8286C" w:rsidP="00C9390C">
      <w:pPr>
        <w:numPr>
          <w:ilvl w:val="0"/>
          <w:numId w:val="1"/>
        </w:numPr>
        <w:tabs>
          <w:tab w:val="clear" w:pos="720"/>
        </w:tabs>
        <w:spacing w:after="140" w:line="290" w:lineRule="auto"/>
        <w:ind w:left="360"/>
        <w:jc w:val="both"/>
        <w:rPr>
          <w:kern w:val="20"/>
        </w:rPr>
      </w:pPr>
      <w:r w:rsidRPr="00566CD3">
        <w:rPr>
          <w:kern w:val="20"/>
        </w:rPr>
        <w:t>sucesso na implementação da estratégia da Emissora;</w:t>
      </w:r>
      <w:r w:rsidRPr="00566CD3" w:rsidDel="00E2135B">
        <w:rPr>
          <w:kern w:val="20"/>
        </w:rPr>
        <w:t xml:space="preserve"> </w:t>
      </w:r>
      <w:r w:rsidRPr="00566CD3">
        <w:rPr>
          <w:kern w:val="20"/>
        </w:rPr>
        <w:t>e</w:t>
      </w:r>
    </w:p>
    <w:p w14:paraId="5A4DADB8" w14:textId="74E28272" w:rsidR="00E8286C" w:rsidRPr="00566CD3" w:rsidRDefault="00E8286C" w:rsidP="00C9390C">
      <w:pPr>
        <w:numPr>
          <w:ilvl w:val="0"/>
          <w:numId w:val="1"/>
        </w:numPr>
        <w:tabs>
          <w:tab w:val="clear" w:pos="720"/>
        </w:tabs>
        <w:spacing w:after="140" w:line="290" w:lineRule="auto"/>
        <w:ind w:left="360"/>
        <w:jc w:val="both"/>
        <w:rPr>
          <w:kern w:val="20"/>
        </w:rPr>
      </w:pPr>
      <w:r w:rsidRPr="00566CD3">
        <w:rPr>
          <w:b/>
          <w:kern w:val="20"/>
        </w:rPr>
        <w:t xml:space="preserve">outros fatores de risco discutidos na seção </w:t>
      </w:r>
      <w:r w:rsidR="002A4B8C" w:rsidRPr="00566CD3">
        <w:rPr>
          <w:b/>
          <w:kern w:val="20"/>
        </w:rPr>
        <w:t>“</w:t>
      </w:r>
      <w:r w:rsidRPr="00566CD3">
        <w:rPr>
          <w:b/>
          <w:kern w:val="20"/>
        </w:rPr>
        <w:t>Fatores de Risco Relacionados à Oferta e às Debêntures</w:t>
      </w:r>
      <w:r w:rsidR="002A4B8C" w:rsidRPr="00566CD3">
        <w:rPr>
          <w:b/>
          <w:kern w:val="20"/>
        </w:rPr>
        <w:t>”</w:t>
      </w:r>
      <w:r w:rsidRPr="00566CD3">
        <w:rPr>
          <w:b/>
          <w:kern w:val="20"/>
        </w:rPr>
        <w:t xml:space="preserve">, nas páginas </w:t>
      </w:r>
      <w:r w:rsidR="0023138E" w:rsidRPr="00D8141D">
        <w:rPr>
          <w:rFonts w:eastAsia="Times New Roman" w:cs="Calibri"/>
          <w:b/>
          <w:bCs/>
          <w:kern w:val="20"/>
          <w:lang w:eastAsia="pt-BR"/>
        </w:rPr>
        <w:fldChar w:fldCharType="begin"/>
      </w:r>
      <w:r w:rsidR="0023138E" w:rsidRPr="00566CD3">
        <w:rPr>
          <w:b/>
          <w:kern w:val="20"/>
        </w:rPr>
        <w:instrText xml:space="preserve"> PAGEREF _Ref90056663 \h </w:instrText>
      </w:r>
      <w:r w:rsidR="0023138E" w:rsidRPr="00D8141D">
        <w:rPr>
          <w:rFonts w:eastAsia="Times New Roman" w:cs="Calibri"/>
          <w:b/>
          <w:bCs/>
          <w:kern w:val="20"/>
          <w:lang w:eastAsia="pt-BR"/>
        </w:rPr>
      </w:r>
      <w:r w:rsidR="0023138E" w:rsidRPr="00D8141D">
        <w:rPr>
          <w:rFonts w:eastAsia="Times New Roman" w:cs="Calibri"/>
          <w:b/>
          <w:bCs/>
          <w:kern w:val="20"/>
          <w:lang w:eastAsia="pt-BR"/>
        </w:rPr>
        <w:fldChar w:fldCharType="separate"/>
      </w:r>
      <w:r w:rsidR="001166EA">
        <w:rPr>
          <w:b/>
          <w:noProof/>
          <w:kern w:val="20"/>
        </w:rPr>
        <w:t>128</w:t>
      </w:r>
      <w:r w:rsidR="0023138E" w:rsidRPr="00D8141D">
        <w:rPr>
          <w:rFonts w:eastAsia="Times New Roman" w:cs="Calibri"/>
          <w:b/>
          <w:bCs/>
          <w:kern w:val="20"/>
          <w:lang w:eastAsia="pt-BR"/>
        </w:rPr>
        <w:fldChar w:fldCharType="end"/>
      </w:r>
      <w:r w:rsidR="00566A00" w:rsidRPr="00566CD3">
        <w:rPr>
          <w:b/>
          <w:kern w:val="20"/>
        </w:rPr>
        <w:t xml:space="preserve"> </w:t>
      </w:r>
      <w:r w:rsidRPr="00566CD3">
        <w:rPr>
          <w:b/>
          <w:kern w:val="20"/>
        </w:rPr>
        <w:t xml:space="preserve">a </w:t>
      </w:r>
      <w:r w:rsidR="00137FB1">
        <w:rPr>
          <w:rFonts w:eastAsia="Times New Roman" w:cs="Calibri"/>
          <w:b/>
          <w:bCs/>
          <w:kern w:val="20"/>
          <w:lang w:eastAsia="pt-BR"/>
        </w:rPr>
        <w:fldChar w:fldCharType="begin"/>
      </w:r>
      <w:r w:rsidR="00137FB1" w:rsidRPr="00566CD3">
        <w:rPr>
          <w:b/>
          <w:kern w:val="20"/>
        </w:rPr>
        <w:instrText xml:space="preserve"> PAGEREF fator_de_risco_taxa_subs \h </w:instrText>
      </w:r>
      <w:r w:rsidR="00137FB1">
        <w:rPr>
          <w:rFonts w:eastAsia="Times New Roman" w:cs="Calibri"/>
          <w:b/>
          <w:bCs/>
          <w:kern w:val="20"/>
          <w:lang w:eastAsia="pt-BR"/>
        </w:rPr>
      </w:r>
      <w:r w:rsidR="00137FB1">
        <w:rPr>
          <w:rFonts w:eastAsia="Times New Roman" w:cs="Calibri"/>
          <w:b/>
          <w:bCs/>
          <w:kern w:val="20"/>
          <w:lang w:eastAsia="pt-BR"/>
        </w:rPr>
        <w:fldChar w:fldCharType="separate"/>
      </w:r>
      <w:r w:rsidR="001166EA">
        <w:rPr>
          <w:b/>
          <w:noProof/>
          <w:kern w:val="20"/>
        </w:rPr>
        <w:t>138</w:t>
      </w:r>
      <w:r w:rsidR="00137FB1">
        <w:rPr>
          <w:rFonts w:eastAsia="Times New Roman" w:cs="Calibri"/>
          <w:b/>
          <w:bCs/>
          <w:kern w:val="20"/>
          <w:lang w:eastAsia="pt-BR"/>
        </w:rPr>
        <w:fldChar w:fldCharType="end"/>
      </w:r>
      <w:r w:rsidRPr="00566CD3">
        <w:rPr>
          <w:b/>
          <w:kern w:val="20"/>
        </w:rPr>
        <w:t xml:space="preserve"> deste Prospecto, bem como na seção </w:t>
      </w:r>
      <w:r w:rsidR="002A4B8C" w:rsidRPr="00566CD3">
        <w:rPr>
          <w:b/>
          <w:kern w:val="20"/>
        </w:rPr>
        <w:t>“</w:t>
      </w:r>
      <w:r w:rsidRPr="00566CD3">
        <w:rPr>
          <w:b/>
          <w:kern w:val="20"/>
        </w:rPr>
        <w:t>4. Fatores de Risco</w:t>
      </w:r>
      <w:r w:rsidR="002A4B8C" w:rsidRPr="00566CD3">
        <w:rPr>
          <w:b/>
          <w:kern w:val="20"/>
        </w:rPr>
        <w:t>”</w:t>
      </w:r>
      <w:r w:rsidRPr="00566CD3">
        <w:rPr>
          <w:b/>
          <w:kern w:val="20"/>
        </w:rPr>
        <w:t xml:space="preserve"> do Formulário de Referência, incorporado por referência a este Prospecto.</w:t>
      </w:r>
    </w:p>
    <w:p w14:paraId="710E490D" w14:textId="77777777" w:rsidR="00E8286C" w:rsidRPr="00566CD3" w:rsidRDefault="00E8286C" w:rsidP="00C9390C">
      <w:pPr>
        <w:spacing w:after="140" w:line="290" w:lineRule="auto"/>
        <w:jc w:val="both"/>
        <w:rPr>
          <w:kern w:val="20"/>
        </w:rPr>
      </w:pPr>
      <w:r w:rsidRPr="00566CD3">
        <w:rPr>
          <w:kern w:val="20"/>
        </w:rPr>
        <w:t>Essa lista de fatores de risco não é exaustiva e outros riscos e incertezas que não são nesta data do conhecimento da Emissora podem causar resultados que podem vir a ser substancialmente diferentes daqueles contidos nas estimativas e perspectivas sobre o futuro.</w:t>
      </w:r>
    </w:p>
    <w:p w14:paraId="4C15766D" w14:textId="77777777" w:rsidR="00E8286C" w:rsidRPr="00566CD3" w:rsidRDefault="00E8286C" w:rsidP="00C9390C">
      <w:pPr>
        <w:spacing w:after="140" w:line="290" w:lineRule="auto"/>
        <w:jc w:val="both"/>
        <w:rPr>
          <w:b/>
          <w:caps/>
          <w:kern w:val="20"/>
        </w:rPr>
      </w:pPr>
      <w:r w:rsidRPr="00566CD3">
        <w:rPr>
          <w:b/>
          <w:caps/>
          <w:kern w:val="20"/>
        </w:rPr>
        <w:t xml:space="preserve">O investidor deve estar ciente de que os fatores mencionados acima, além de outros discutidos neste Prospecto e no Formulário de Referência, INCORPORADO </w:t>
      </w:r>
      <w:r w:rsidRPr="00566CD3">
        <w:rPr>
          <w:b/>
          <w:caps/>
          <w:kern w:val="20"/>
        </w:rPr>
        <w:lastRenderedPageBreak/>
        <w:t xml:space="preserve">POR REFERÊNCIA A este Prospecto, poderão afetar OS resultados futuros DA EMISSORA e poderão levar a resultados diferentes daqueles contidos, expressa ou implicitamente, nas declarações e estimativas neste Prospecto. Tais estimativas referem-se apenas à data em que foram expressas, sendo que A EMISSORA e </w:t>
      </w:r>
      <w:r w:rsidR="00560AC5" w:rsidRPr="00566CD3">
        <w:rPr>
          <w:b/>
          <w:caps/>
          <w:kern w:val="20"/>
        </w:rPr>
        <w:t>O Coordenador Líder</w:t>
      </w:r>
      <w:r w:rsidRPr="00566CD3">
        <w:rPr>
          <w:b/>
          <w:caps/>
          <w:kern w:val="20"/>
        </w:rPr>
        <w:t xml:space="preserve"> não assumEM a obrigação de atualizar publicamente ou revisar quaisquer dessas estimativas e declarações futuras em razão da ocorrência de nova informação, eventos futuros ou de qualquer outra forma. Muitos dos fatores que determinarão esses resultados e valores estão além da capacidade de controle ou previsão DA EMISSORA.</w:t>
      </w:r>
    </w:p>
    <w:p w14:paraId="6E6D136E" w14:textId="77777777" w:rsidR="00E8286C" w:rsidRPr="00566CD3" w:rsidRDefault="00E8286C" w:rsidP="00C9390C">
      <w:pPr>
        <w:spacing w:after="140" w:line="290" w:lineRule="auto"/>
        <w:jc w:val="both"/>
        <w:rPr>
          <w:kern w:val="20"/>
        </w:rPr>
      </w:pPr>
      <w:r w:rsidRPr="00566CD3">
        <w:rPr>
          <w:kern w:val="20"/>
        </w:rPr>
        <w:t xml:space="preserve">As palavras </w:t>
      </w:r>
      <w:r w:rsidR="002A4B8C" w:rsidRPr="00566CD3">
        <w:rPr>
          <w:kern w:val="20"/>
        </w:rPr>
        <w:t>“</w:t>
      </w:r>
      <w:r w:rsidRPr="00566CD3">
        <w:rPr>
          <w:kern w:val="20"/>
        </w:rPr>
        <w:t>acredita</w:t>
      </w:r>
      <w:r w:rsidR="002A4B8C" w:rsidRPr="00566CD3">
        <w:rPr>
          <w:kern w:val="20"/>
        </w:rPr>
        <w:t>”</w:t>
      </w:r>
      <w:r w:rsidRPr="00566CD3">
        <w:rPr>
          <w:kern w:val="20"/>
        </w:rPr>
        <w:t xml:space="preserve">, </w:t>
      </w:r>
      <w:r w:rsidR="002A4B8C" w:rsidRPr="00566CD3">
        <w:rPr>
          <w:kern w:val="20"/>
        </w:rPr>
        <w:t>“</w:t>
      </w:r>
      <w:r w:rsidRPr="00566CD3">
        <w:rPr>
          <w:kern w:val="20"/>
        </w:rPr>
        <w:t>pode</w:t>
      </w:r>
      <w:r w:rsidR="002A4B8C" w:rsidRPr="00566CD3">
        <w:rPr>
          <w:kern w:val="20"/>
        </w:rPr>
        <w:t>”</w:t>
      </w:r>
      <w:r w:rsidRPr="00566CD3">
        <w:rPr>
          <w:kern w:val="20"/>
        </w:rPr>
        <w:t xml:space="preserve">, </w:t>
      </w:r>
      <w:r w:rsidR="002A4B8C" w:rsidRPr="00566CD3">
        <w:rPr>
          <w:kern w:val="20"/>
        </w:rPr>
        <w:t>“</w:t>
      </w:r>
      <w:r w:rsidRPr="00566CD3">
        <w:rPr>
          <w:kern w:val="20"/>
        </w:rPr>
        <w:t>poderá</w:t>
      </w:r>
      <w:r w:rsidR="002A4B8C" w:rsidRPr="00566CD3">
        <w:rPr>
          <w:kern w:val="20"/>
        </w:rPr>
        <w:t>”</w:t>
      </w:r>
      <w:r w:rsidRPr="00566CD3">
        <w:rPr>
          <w:kern w:val="20"/>
        </w:rPr>
        <w:t xml:space="preserve">, </w:t>
      </w:r>
      <w:r w:rsidR="002A4B8C" w:rsidRPr="00566CD3">
        <w:rPr>
          <w:kern w:val="20"/>
        </w:rPr>
        <w:t>“</w:t>
      </w:r>
      <w:r w:rsidRPr="00566CD3">
        <w:rPr>
          <w:kern w:val="20"/>
        </w:rPr>
        <w:t>estima</w:t>
      </w:r>
      <w:r w:rsidR="002A4B8C" w:rsidRPr="00566CD3">
        <w:rPr>
          <w:kern w:val="20"/>
        </w:rPr>
        <w:t>”</w:t>
      </w:r>
      <w:r w:rsidRPr="00566CD3">
        <w:rPr>
          <w:kern w:val="20"/>
        </w:rPr>
        <w:t xml:space="preserve">, </w:t>
      </w:r>
      <w:r w:rsidR="002A4B8C" w:rsidRPr="00566CD3">
        <w:rPr>
          <w:kern w:val="20"/>
        </w:rPr>
        <w:t>“</w:t>
      </w:r>
      <w:r w:rsidRPr="00566CD3">
        <w:rPr>
          <w:kern w:val="20"/>
        </w:rPr>
        <w:t>continua</w:t>
      </w:r>
      <w:r w:rsidR="002A4B8C" w:rsidRPr="00566CD3">
        <w:rPr>
          <w:kern w:val="20"/>
        </w:rPr>
        <w:t>”</w:t>
      </w:r>
      <w:r w:rsidRPr="00566CD3">
        <w:rPr>
          <w:kern w:val="20"/>
        </w:rPr>
        <w:t xml:space="preserve">, </w:t>
      </w:r>
      <w:r w:rsidR="002A4B8C" w:rsidRPr="00566CD3">
        <w:rPr>
          <w:kern w:val="20"/>
        </w:rPr>
        <w:t>“</w:t>
      </w:r>
      <w:r w:rsidRPr="00566CD3">
        <w:rPr>
          <w:kern w:val="20"/>
        </w:rPr>
        <w:t>antecipa</w:t>
      </w:r>
      <w:r w:rsidR="002A4B8C" w:rsidRPr="00566CD3">
        <w:rPr>
          <w:kern w:val="20"/>
        </w:rPr>
        <w:t>”</w:t>
      </w:r>
      <w:r w:rsidRPr="00566CD3">
        <w:rPr>
          <w:kern w:val="20"/>
        </w:rPr>
        <w:t xml:space="preserve">, </w:t>
      </w:r>
      <w:r w:rsidR="002A4B8C" w:rsidRPr="00566CD3">
        <w:rPr>
          <w:kern w:val="20"/>
        </w:rPr>
        <w:t>“</w:t>
      </w:r>
      <w:r w:rsidRPr="00566CD3">
        <w:rPr>
          <w:kern w:val="20"/>
        </w:rPr>
        <w:t>pretende</w:t>
      </w:r>
      <w:r w:rsidR="002A4B8C" w:rsidRPr="00566CD3">
        <w:rPr>
          <w:kern w:val="20"/>
        </w:rPr>
        <w:t>”</w:t>
      </w:r>
      <w:r w:rsidRPr="00566CD3">
        <w:rPr>
          <w:kern w:val="20"/>
        </w:rPr>
        <w:t xml:space="preserve">, </w:t>
      </w:r>
      <w:r w:rsidR="002A4B8C" w:rsidRPr="00566CD3">
        <w:rPr>
          <w:kern w:val="20"/>
        </w:rPr>
        <w:t>“</w:t>
      </w:r>
      <w:r w:rsidRPr="00566CD3">
        <w:rPr>
          <w:kern w:val="20"/>
        </w:rPr>
        <w:t>espera</w:t>
      </w:r>
      <w:r w:rsidR="002A4B8C" w:rsidRPr="00566CD3">
        <w:rPr>
          <w:kern w:val="20"/>
        </w:rPr>
        <w:t>”</w:t>
      </w:r>
      <w:r w:rsidRPr="00566CD3">
        <w:rPr>
          <w:kern w:val="20"/>
        </w:rPr>
        <w:t xml:space="preserve"> e palavras similares, quando utilizadas nesse Prospecto, têm por objetivo identificar estimativas e perspectivas para o futuro. Estas estimativas envolvem riscos e incertezas e não representam qualquer garantia de um desempenho futuro, sendo que os reais resultados ou desenvolvimentos podem ser substancialmente diferentes das expectativas descritas nas estimativas e declarações futuras constantes neste Prospecto e no Formulário de Referência, incorporado por referência a este Prospecto.</w:t>
      </w:r>
    </w:p>
    <w:p w14:paraId="698F4903" w14:textId="77777777" w:rsidR="003B3CA5" w:rsidRPr="00566CD3" w:rsidRDefault="003B3CA5" w:rsidP="00C9390C">
      <w:pPr>
        <w:spacing w:after="140" w:line="290" w:lineRule="auto"/>
        <w:jc w:val="both"/>
        <w:rPr>
          <w:kern w:val="20"/>
        </w:rPr>
      </w:pPr>
      <w:r w:rsidRPr="00566CD3">
        <w:rPr>
          <w:kern w:val="20"/>
        </w:rPr>
        <w:t>Tais estimativas e perspectivas para o futuro referem-se apenas à data em que foram expressas, de forma que nem a Emissora e nem o Coordenador Líder assumem a obrigação de atualizar ou de revisar quaisquer dessas estimativas em razão da disponibilização de novas informações, eventos futuros ou de quaisquer outros fatores. Estas estimativas envolvem riscos e incertezas e não representam qualquer garantia de um desempenho futuro, sendo que os reais resultados ou desenvolvimentos podem ser substancialmente diferentes das expectativas descritas nas estimativas e declarações futuras constantes neste Prospecto e no Formulário de Referência incorporado por referência a este Prospecto.</w:t>
      </w:r>
    </w:p>
    <w:p w14:paraId="38F0E137" w14:textId="77777777" w:rsidR="00E8286C" w:rsidRPr="00566CD3" w:rsidRDefault="00E8286C" w:rsidP="00C9390C">
      <w:pPr>
        <w:spacing w:after="140" w:line="290" w:lineRule="auto"/>
        <w:jc w:val="both"/>
        <w:rPr>
          <w:kern w:val="20"/>
        </w:rPr>
      </w:pPr>
      <w:r w:rsidRPr="00566CD3">
        <w:rPr>
          <w:kern w:val="20"/>
        </w:rPr>
        <w:t>Declarações prospectivas envolvem riscos, incertezas e premissas, pois se referem a eventos futuros e, portanto, dependem de circunstâncias que podem ou não ocorrer. As condições da situação financeira futura da Emissora e de seus resultados operacionais futuros, sua participação e posição competitiva no mercado poderão apresentar diferenças significativas se comparados àquelas expressas ou sugeridas nas referidas declarações prospectivas. Muitos dos fatores que determinarão esses resultados e valores estão além da sua capacidade de controle ou previsão. Em vista dos riscos e incertezas envolvidos, nenhuma decisão de investimento deve ser tomada somente baseada nas estimativas e declarações futuras contidas neste Prospecto e no Formulário de Referência, incorporado por referência a este Prospecto.</w:t>
      </w:r>
    </w:p>
    <w:p w14:paraId="0BFCCEC1" w14:textId="77777777" w:rsidR="00E8286C" w:rsidRPr="00566CD3" w:rsidRDefault="00E8286C" w:rsidP="00C9390C">
      <w:pPr>
        <w:spacing w:after="140" w:line="290" w:lineRule="auto"/>
        <w:jc w:val="both"/>
        <w:rPr>
          <w:kern w:val="20"/>
        </w:rPr>
      </w:pPr>
      <w:r w:rsidRPr="00566CD3">
        <w:rPr>
          <w:kern w:val="20"/>
        </w:rPr>
        <w:t>Adicionalmente, os números incluídos neste Prospecto e no Formulário de Referência da Emissora incorporado por referência a este Prospecto podem ter sido, em alguns casos, arredondados para números inteiros.</w:t>
      </w:r>
    </w:p>
    <w:p w14:paraId="7C94786F" w14:textId="77777777" w:rsidR="00F20295" w:rsidRPr="00566CD3" w:rsidRDefault="00F20295" w:rsidP="00F20295">
      <w:pPr>
        <w:rPr>
          <w:sz w:val="2"/>
        </w:rPr>
      </w:pPr>
      <w:bookmarkStart w:id="39" w:name="_Toc428306444"/>
      <w:bookmarkStart w:id="40" w:name="_Toc87002462"/>
      <w:r w:rsidRPr="00566CD3">
        <w:br w:type="page"/>
      </w:r>
    </w:p>
    <w:p w14:paraId="6C1EB28A" w14:textId="77777777" w:rsidR="00347CEF" w:rsidRPr="00566CD3" w:rsidRDefault="00347CEF" w:rsidP="00347CEF">
      <w:pPr>
        <w:spacing w:before="220" w:after="220"/>
        <w:jc w:val="center"/>
      </w:pPr>
      <w:bookmarkStart w:id="41" w:name="_Ref90050717"/>
    </w:p>
    <w:p w14:paraId="70B45257" w14:textId="77777777" w:rsidR="00347CEF" w:rsidRPr="00566CD3" w:rsidRDefault="00347CEF" w:rsidP="00347CEF">
      <w:pPr>
        <w:spacing w:before="220" w:after="220"/>
        <w:jc w:val="center"/>
      </w:pPr>
    </w:p>
    <w:p w14:paraId="50C7B756" w14:textId="77777777" w:rsidR="00347CEF" w:rsidRPr="00566CD3" w:rsidRDefault="00347CEF" w:rsidP="00347CEF">
      <w:pPr>
        <w:spacing w:before="220" w:after="220"/>
        <w:jc w:val="center"/>
      </w:pPr>
    </w:p>
    <w:p w14:paraId="18D12F18" w14:textId="77777777" w:rsidR="00347CEF" w:rsidRPr="00566CD3" w:rsidRDefault="00347CEF" w:rsidP="00347CEF">
      <w:pPr>
        <w:spacing w:before="220" w:after="220"/>
        <w:jc w:val="center"/>
      </w:pPr>
    </w:p>
    <w:p w14:paraId="2C085ED2" w14:textId="77777777" w:rsidR="00347CEF" w:rsidRPr="00566CD3" w:rsidRDefault="00347CEF" w:rsidP="00347CEF">
      <w:pPr>
        <w:spacing w:before="220" w:after="220"/>
        <w:jc w:val="center"/>
      </w:pPr>
    </w:p>
    <w:p w14:paraId="582A737B" w14:textId="77777777" w:rsidR="00347CEF" w:rsidRPr="00566CD3" w:rsidRDefault="00347CEF" w:rsidP="00347CEF">
      <w:pPr>
        <w:spacing w:before="220" w:after="220"/>
        <w:jc w:val="center"/>
      </w:pPr>
    </w:p>
    <w:p w14:paraId="6F9D23AD" w14:textId="77777777" w:rsidR="00347CEF" w:rsidRPr="00566CD3" w:rsidRDefault="00347CEF" w:rsidP="00347CEF">
      <w:pPr>
        <w:spacing w:before="220" w:after="220"/>
        <w:jc w:val="center"/>
      </w:pPr>
    </w:p>
    <w:p w14:paraId="7A6E968F" w14:textId="77777777" w:rsidR="00347CEF" w:rsidRPr="00566CD3" w:rsidRDefault="00347CEF" w:rsidP="00347CEF">
      <w:pPr>
        <w:spacing w:before="220" w:after="220"/>
        <w:jc w:val="center"/>
      </w:pPr>
    </w:p>
    <w:p w14:paraId="7F92EFBF" w14:textId="77777777" w:rsidR="00347CEF" w:rsidRPr="00566CD3" w:rsidRDefault="00347CEF" w:rsidP="00347CEF">
      <w:pPr>
        <w:spacing w:before="220" w:after="220"/>
        <w:jc w:val="center"/>
      </w:pPr>
    </w:p>
    <w:p w14:paraId="43045FB5" w14:textId="77777777" w:rsidR="00347CEF" w:rsidRPr="00566CD3" w:rsidRDefault="00347CEF" w:rsidP="00347CEF">
      <w:pPr>
        <w:spacing w:before="220" w:after="220"/>
        <w:jc w:val="center"/>
      </w:pPr>
    </w:p>
    <w:p w14:paraId="19D87D32" w14:textId="77777777" w:rsidR="00347CEF" w:rsidRPr="00566CD3" w:rsidRDefault="00347CEF" w:rsidP="00347CEF">
      <w:pPr>
        <w:spacing w:before="220" w:after="220"/>
        <w:jc w:val="center"/>
      </w:pPr>
    </w:p>
    <w:p w14:paraId="2147A3DC" w14:textId="77777777" w:rsidR="00347CEF" w:rsidRPr="00566CD3" w:rsidRDefault="00347CEF" w:rsidP="00347CEF">
      <w:pPr>
        <w:spacing w:before="220" w:after="220"/>
        <w:jc w:val="center"/>
      </w:pPr>
    </w:p>
    <w:p w14:paraId="5465E758" w14:textId="77777777" w:rsidR="00347CEF" w:rsidRPr="00566CD3" w:rsidRDefault="00347CEF" w:rsidP="00347CEF">
      <w:pPr>
        <w:spacing w:before="240" w:after="240"/>
        <w:jc w:val="center"/>
      </w:pPr>
      <w:r w:rsidRPr="00566CD3">
        <w:t xml:space="preserve"> (Esta página foi intencionalmente deixada em branco)</w:t>
      </w:r>
    </w:p>
    <w:p w14:paraId="66DD2E9C" w14:textId="6468EC30" w:rsidR="00E8286C" w:rsidRPr="00566CD3" w:rsidRDefault="00347CEF" w:rsidP="00347CEF">
      <w:pPr>
        <w:pStyle w:val="Ttulo1"/>
        <w:keepNext w:val="0"/>
        <w:pageBreakBefore w:val="0"/>
        <w:widowControl w:val="0"/>
        <w:spacing w:after="140" w:line="290" w:lineRule="auto"/>
      </w:pPr>
      <w:r w:rsidRPr="00566CD3">
        <w:br w:type="page"/>
      </w:r>
      <w:bookmarkStart w:id="42" w:name="_Toc90045078"/>
      <w:bookmarkStart w:id="43" w:name="_Toc95928390"/>
      <w:r w:rsidR="00E8286C" w:rsidRPr="00566CD3">
        <w:lastRenderedPageBreak/>
        <w:t>SUMÁRIO DA OFERTA</w:t>
      </w:r>
      <w:bookmarkEnd w:id="39"/>
      <w:bookmarkEnd w:id="40"/>
      <w:bookmarkEnd w:id="41"/>
      <w:bookmarkEnd w:id="42"/>
      <w:bookmarkEnd w:id="43"/>
    </w:p>
    <w:p w14:paraId="4E521347" w14:textId="1A2F3898" w:rsidR="00E8286C" w:rsidRPr="00D8141D" w:rsidRDefault="003B3CA5" w:rsidP="00C9390C">
      <w:pPr>
        <w:pStyle w:val="HOMEBRBodyText"/>
        <w:keepLines w:val="0"/>
        <w:widowControl w:val="0"/>
        <w:spacing w:after="140" w:line="290" w:lineRule="auto"/>
        <w:jc w:val="both"/>
        <w:rPr>
          <w:rFonts w:cs="Calibri"/>
          <w:b/>
          <w:bCs/>
          <w:iCs/>
          <w:lang w:val="pt-BR"/>
        </w:rPr>
      </w:pPr>
      <w:r w:rsidRPr="00D8141D">
        <w:rPr>
          <w:rFonts w:cs="Calibri"/>
          <w:b/>
          <w:bCs/>
          <w:iCs/>
          <w:lang w:val="pt-BR"/>
        </w:rPr>
        <w:t xml:space="preserve">O PRESENTE SUMÁRIO NÃO CONTÉM TODAS AS INFORMAÇÕES QUE O POTENCIAL INVESTIDOR DEVE CONSIDERAR ANTES DE INVESTIR NAS DEBÊNTURES. O POTENCIAL INVESTIDOR DEVE LER CUIDADOSA E ATENTAMENTE TODO ESTE PROSPECTO, PRINCIPALMENTE AS INFORMAÇÕES CONTIDAS NA SEÇÃO “FATORES DE RISCO RELACIONADOS À OFERTA E ÀS DEBÊNTURES” NAS PÁGINAS </w:t>
      </w:r>
      <w:r w:rsidR="0023138E" w:rsidRPr="00D8141D">
        <w:rPr>
          <w:rFonts w:cs="Calibri"/>
          <w:b/>
          <w:bCs/>
          <w:iCs/>
          <w:noProof/>
          <w:lang w:val="pt-BR"/>
        </w:rPr>
        <w:fldChar w:fldCharType="begin"/>
      </w:r>
      <w:r w:rsidR="0023138E" w:rsidRPr="00D8141D">
        <w:rPr>
          <w:rFonts w:cs="Calibri"/>
          <w:b/>
          <w:bCs/>
          <w:iCs/>
          <w:lang w:val="pt-BR"/>
        </w:rPr>
        <w:instrText xml:space="preserve"> PAGEREF _Ref90056705 \h </w:instrText>
      </w:r>
      <w:r w:rsidR="0023138E" w:rsidRPr="00D8141D">
        <w:rPr>
          <w:rFonts w:cs="Calibri"/>
          <w:b/>
          <w:bCs/>
          <w:iCs/>
          <w:noProof/>
          <w:lang w:val="pt-BR"/>
        </w:rPr>
      </w:r>
      <w:r w:rsidR="0023138E" w:rsidRPr="00D8141D">
        <w:rPr>
          <w:rFonts w:cs="Calibri"/>
          <w:b/>
          <w:bCs/>
          <w:iCs/>
          <w:noProof/>
          <w:lang w:val="pt-BR"/>
        </w:rPr>
        <w:fldChar w:fldCharType="separate"/>
      </w:r>
      <w:r w:rsidR="001166EA">
        <w:rPr>
          <w:rFonts w:cs="Calibri"/>
          <w:b/>
          <w:bCs/>
          <w:iCs/>
          <w:noProof/>
          <w:lang w:val="pt-BR"/>
        </w:rPr>
        <w:t>128</w:t>
      </w:r>
      <w:r w:rsidR="0023138E" w:rsidRPr="00D8141D">
        <w:rPr>
          <w:rFonts w:cs="Calibri"/>
          <w:b/>
          <w:bCs/>
          <w:iCs/>
          <w:noProof/>
          <w:lang w:val="pt-BR"/>
        </w:rPr>
        <w:fldChar w:fldCharType="end"/>
      </w:r>
      <w:r w:rsidRPr="00D8141D">
        <w:rPr>
          <w:rFonts w:cs="Calibri"/>
          <w:b/>
          <w:bCs/>
          <w:iCs/>
          <w:lang w:val="pt-BR"/>
        </w:rPr>
        <w:t xml:space="preserve"> A </w:t>
      </w:r>
      <w:r w:rsidR="00137FB1">
        <w:rPr>
          <w:rFonts w:cs="Calibri"/>
          <w:b/>
          <w:bCs/>
          <w:iCs/>
          <w:noProof/>
          <w:lang w:val="pt-BR"/>
        </w:rPr>
        <w:fldChar w:fldCharType="begin"/>
      </w:r>
      <w:r w:rsidR="00137FB1">
        <w:rPr>
          <w:rFonts w:cs="Calibri"/>
          <w:b/>
          <w:bCs/>
          <w:iCs/>
          <w:lang w:val="pt-BR"/>
        </w:rPr>
        <w:instrText xml:space="preserve"> PAGEREF fator_de_risco_taxa_subs \h </w:instrText>
      </w:r>
      <w:r w:rsidR="00137FB1">
        <w:rPr>
          <w:rFonts w:cs="Calibri"/>
          <w:b/>
          <w:bCs/>
          <w:iCs/>
          <w:noProof/>
          <w:lang w:val="pt-BR"/>
        </w:rPr>
      </w:r>
      <w:r w:rsidR="00137FB1">
        <w:rPr>
          <w:rFonts w:cs="Calibri"/>
          <w:b/>
          <w:bCs/>
          <w:iCs/>
          <w:noProof/>
          <w:lang w:val="pt-BR"/>
        </w:rPr>
        <w:fldChar w:fldCharType="separate"/>
      </w:r>
      <w:r w:rsidR="001166EA">
        <w:rPr>
          <w:rFonts w:cs="Calibri"/>
          <w:b/>
          <w:bCs/>
          <w:iCs/>
          <w:noProof/>
          <w:lang w:val="pt-BR"/>
        </w:rPr>
        <w:t>138</w:t>
      </w:r>
      <w:r w:rsidR="00137FB1">
        <w:rPr>
          <w:rFonts w:cs="Calibri"/>
          <w:b/>
          <w:bCs/>
          <w:iCs/>
          <w:noProof/>
          <w:lang w:val="pt-BR"/>
        </w:rPr>
        <w:fldChar w:fldCharType="end"/>
      </w:r>
      <w:r w:rsidRPr="00D8141D">
        <w:rPr>
          <w:rFonts w:cs="Calibri"/>
          <w:b/>
          <w:bCs/>
          <w:iCs/>
          <w:lang w:val="pt-BR"/>
        </w:rPr>
        <w:t xml:space="preserve"> DESTE PROSPECTO, RESPECTIVAMENTE, E NO ITEM “4. FATORES DE RISCO” DO FORMULÁRIO DE REFERÊNCIA, E NAS DEMONSTRAÇÕES FINANCEIRAS CONSOLIDADAS E INFORMAÇÕES TRIMESTRAIS CONSOLIDADAS, INCORPORADAS POR REFERÊNCIA A ESTE PROSPECTO, E RESPECTIVAS NOTAS EXPLICATIVAS, PARA MELHOR COMPREENSÃO DAS ATIVIDADES DA EMISSORA E DA OFERTA, ANTES DE TOMAR A DECISÃO DE INVESTIR NAS DEBÊNTURES.</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85"/>
        <w:gridCol w:w="6210"/>
      </w:tblGrid>
      <w:tr w:rsidR="007F04B2" w:rsidRPr="0082022E" w14:paraId="013B16E0" w14:textId="77777777" w:rsidTr="003E13AA">
        <w:tc>
          <w:tcPr>
            <w:tcW w:w="1345" w:type="pct"/>
            <w:shd w:val="clear" w:color="auto" w:fill="auto"/>
          </w:tcPr>
          <w:p w14:paraId="3DBA6741" w14:textId="77777777" w:rsidR="007F04B2" w:rsidRPr="00D8141D" w:rsidRDefault="007F04B2" w:rsidP="007F04B2">
            <w:pPr>
              <w:pStyle w:val="HOMEBRBodyText"/>
              <w:keepLines w:val="0"/>
              <w:widowControl w:val="0"/>
              <w:spacing w:after="140" w:line="290" w:lineRule="auto"/>
              <w:rPr>
                <w:rFonts w:eastAsia="Calibri" w:cs="Calibri"/>
                <w:b/>
                <w:lang w:val="pt-BR"/>
              </w:rPr>
            </w:pPr>
            <w:r w:rsidRPr="00D8141D">
              <w:rPr>
                <w:rFonts w:eastAsia="Calibri" w:cs="Calibri"/>
                <w:b/>
                <w:lang w:val="pt-BR"/>
              </w:rPr>
              <w:t>Agente Fiduciário</w:t>
            </w:r>
          </w:p>
        </w:tc>
        <w:tc>
          <w:tcPr>
            <w:tcW w:w="3655" w:type="pct"/>
            <w:shd w:val="clear" w:color="auto" w:fill="auto"/>
          </w:tcPr>
          <w:p w14:paraId="33180800" w14:textId="77777777" w:rsidR="007F04B2" w:rsidRPr="00D8141D" w:rsidRDefault="00676BAB" w:rsidP="007F04B2">
            <w:pPr>
              <w:pStyle w:val="HOMEBRBodyText"/>
              <w:widowControl w:val="0"/>
              <w:spacing w:after="140" w:line="290" w:lineRule="auto"/>
              <w:jc w:val="both"/>
              <w:rPr>
                <w:rFonts w:eastAsia="Calibri" w:cs="Calibri"/>
                <w:bCs/>
                <w:lang w:val="pt-BR"/>
              </w:rPr>
            </w:pPr>
            <w:r w:rsidRPr="0020727A">
              <w:rPr>
                <w:b/>
                <w:lang w:val="pt-BR"/>
              </w:rPr>
              <w:t>SIMPLIFIC PAVARINI DISTRIBUIDORA DE TÍTULOS E VALORES MOBILIÁRIOS LTDA.</w:t>
            </w:r>
            <w:r w:rsidRPr="0020727A">
              <w:rPr>
                <w:lang w:val="pt-BR"/>
              </w:rPr>
              <w:t>, instituição financeira com sede na Rua Sete de Setembro, nº 99, 24º andar, na cidade do Rio de Janeiro, Estado do Rio de Janeiro, inscrita no CNPJ/ME sob o nº 15.227.994/0001-50, neste ato representada por seu representante legal devidamente constituído na forma de seu Contrato Social</w:t>
            </w:r>
            <w:r w:rsidR="00DB205D" w:rsidRPr="00D8141D">
              <w:rPr>
                <w:rFonts w:eastAsia="Calibri" w:cs="Calibri"/>
                <w:bCs/>
                <w:lang w:val="pt-BR"/>
              </w:rPr>
              <w:t>.</w:t>
            </w:r>
            <w:r w:rsidR="007F04B2" w:rsidRPr="00D8141D">
              <w:rPr>
                <w:rFonts w:cs="Calibri"/>
                <w:bCs/>
                <w:lang w:val="pt-BR"/>
              </w:rPr>
              <w:t xml:space="preserve"> Dados para contato: Telefone </w:t>
            </w:r>
            <w:r w:rsidR="00DB205D" w:rsidRPr="00D8141D">
              <w:rPr>
                <w:rFonts w:eastAsia="Calibri" w:cs="Calibri"/>
                <w:bCs/>
                <w:lang w:val="pt-BR"/>
              </w:rPr>
              <w:t>(11) 3090-0447 / (21) 2507-1949;</w:t>
            </w:r>
            <w:r w:rsidR="007F04B2" w:rsidRPr="00D8141D">
              <w:rPr>
                <w:rFonts w:cs="Calibri"/>
                <w:bCs/>
                <w:lang w:val="pt-BR"/>
              </w:rPr>
              <w:t xml:space="preserve"> Correio eletrônico: </w:t>
            </w:r>
            <w:r w:rsidR="00DB205D" w:rsidRPr="00D8141D">
              <w:rPr>
                <w:rFonts w:eastAsia="Calibri" w:cs="Calibri"/>
                <w:bCs/>
                <w:lang w:val="pt-BR"/>
              </w:rPr>
              <w:t>spestruturacao@simplificpavarini.com.br;</w:t>
            </w:r>
            <w:r w:rsidR="007F04B2" w:rsidRPr="00D8141D">
              <w:rPr>
                <w:rStyle w:val="Hyperlink"/>
                <w:rFonts w:ascii="Calibri" w:hAnsi="Calibri" w:cs="Calibri"/>
                <w:bCs/>
                <w:sz w:val="24"/>
                <w:lang w:val="pt-BR"/>
              </w:rPr>
              <w:t xml:space="preserve"> Website: </w:t>
            </w:r>
            <w:r w:rsidR="00DB205D" w:rsidRPr="00D8141D">
              <w:rPr>
                <w:rFonts w:eastAsia="Calibri" w:cs="Calibri"/>
                <w:bCs/>
                <w:lang w:val="pt-BR"/>
              </w:rPr>
              <w:t>https://www.simplificpavarini.com.br/</w:t>
            </w:r>
            <w:r w:rsidR="007F04B2" w:rsidRPr="00D8141D">
              <w:rPr>
                <w:rFonts w:eastAsia="Calibri" w:cs="Calibri"/>
                <w:bCs/>
                <w:lang w:val="pt-BR"/>
              </w:rPr>
              <w:t xml:space="preserve"> </w:t>
            </w:r>
          </w:p>
          <w:p w14:paraId="3BF7A43E" w14:textId="77777777" w:rsidR="007F04B2" w:rsidRPr="00D8141D" w:rsidRDefault="007F04B2" w:rsidP="007F04B2">
            <w:pPr>
              <w:pStyle w:val="HOMEBRBodyText"/>
              <w:widowControl w:val="0"/>
              <w:spacing w:after="140" w:line="290" w:lineRule="auto"/>
              <w:jc w:val="both"/>
              <w:rPr>
                <w:rFonts w:eastAsia="Calibri" w:cs="Calibri"/>
                <w:bCs/>
                <w:lang w:val="pt-BR"/>
              </w:rPr>
            </w:pPr>
            <w:r w:rsidRPr="00D8141D">
              <w:rPr>
                <w:rFonts w:eastAsia="Calibri" w:cs="Calibri"/>
                <w:bCs/>
                <w:lang w:val="pt-BR"/>
              </w:rPr>
              <w:t xml:space="preserve">Para os fins do artigo 6º, parágrafo 2º, da </w:t>
            </w:r>
            <w:r w:rsidR="002B2F78" w:rsidRPr="00D8141D">
              <w:rPr>
                <w:rFonts w:eastAsia="Calibri" w:cs="Calibri"/>
                <w:bCs/>
                <w:lang w:val="pt-BR"/>
              </w:rPr>
              <w:t>Resolução</w:t>
            </w:r>
            <w:r w:rsidRPr="00D8141D">
              <w:rPr>
                <w:rFonts w:eastAsia="Calibri" w:cs="Calibri"/>
                <w:bCs/>
                <w:lang w:val="pt-BR"/>
              </w:rPr>
              <w:t xml:space="preserve"> CVM </w:t>
            </w:r>
            <w:r w:rsidR="002B2F78" w:rsidRPr="00D8141D">
              <w:rPr>
                <w:rFonts w:eastAsia="Calibri" w:cs="Calibri"/>
                <w:bCs/>
                <w:lang w:val="pt-BR"/>
              </w:rPr>
              <w:t>17</w:t>
            </w:r>
            <w:r w:rsidRPr="00D8141D">
              <w:rPr>
                <w:rFonts w:eastAsia="Calibri" w:cs="Calibri"/>
                <w:bCs/>
                <w:lang w:val="pt-BR"/>
              </w:rPr>
              <w:t xml:space="preserve">, o Agente Fiduciário declara que </w:t>
            </w:r>
            <w:r w:rsidR="002B2F78" w:rsidRPr="00D8141D">
              <w:rPr>
                <w:rFonts w:eastAsia="Calibri" w:cs="Calibri"/>
                <w:bCs/>
                <w:lang w:val="pt-BR"/>
              </w:rPr>
              <w:t>não</w:t>
            </w:r>
            <w:r w:rsidRPr="00D8141D">
              <w:rPr>
                <w:rFonts w:eastAsia="Calibri" w:cs="Calibri"/>
                <w:bCs/>
                <w:lang w:val="pt-BR"/>
              </w:rPr>
              <w:t xml:space="preserve"> exerce função de agente fiduciário </w:t>
            </w:r>
            <w:r w:rsidR="002B2F78" w:rsidRPr="00D8141D">
              <w:rPr>
                <w:rFonts w:eastAsia="Calibri" w:cs="Calibri"/>
                <w:bCs/>
                <w:lang w:val="pt-BR"/>
              </w:rPr>
              <w:t>e/ou agente administrativo em outras</w:t>
            </w:r>
            <w:r w:rsidRPr="00D8141D">
              <w:rPr>
                <w:rFonts w:eastAsia="Calibri" w:cs="Calibri"/>
                <w:bCs/>
                <w:lang w:val="pt-BR"/>
              </w:rPr>
              <w:t xml:space="preserve"> emissões</w:t>
            </w:r>
            <w:r w:rsidR="002B2F78" w:rsidRPr="00D8141D">
              <w:rPr>
                <w:rFonts w:eastAsia="Calibri" w:cs="Calibri"/>
                <w:bCs/>
                <w:lang w:val="pt-BR"/>
              </w:rPr>
              <w:t xml:space="preserve"> da Emissora ou do grupo econômico da Emissora.</w:t>
            </w:r>
            <w:r w:rsidR="002B2F78" w:rsidRPr="00D8141D" w:rsidDel="00E128D9">
              <w:rPr>
                <w:rFonts w:eastAsia="Calibri" w:cs="Calibri"/>
                <w:bCs/>
                <w:lang w:val="pt-BR"/>
              </w:rPr>
              <w:t xml:space="preserve"> </w:t>
            </w:r>
          </w:p>
          <w:p w14:paraId="2664B9DD" w14:textId="77777777" w:rsidR="007F04B2" w:rsidRPr="00D8141D" w:rsidRDefault="007F04B2" w:rsidP="007F04B2">
            <w:pPr>
              <w:pStyle w:val="HOMEBRBodyText"/>
              <w:spacing w:after="140" w:line="290" w:lineRule="auto"/>
              <w:jc w:val="both"/>
              <w:rPr>
                <w:rFonts w:cs="Calibri"/>
                <w:lang w:val="pt-BR"/>
              </w:rPr>
            </w:pPr>
            <w:r w:rsidRPr="00D8141D">
              <w:rPr>
                <w:rFonts w:eastAsia="Calibri" w:cs="Calibri"/>
                <w:b/>
                <w:bCs/>
                <w:lang w:val="pt-BR"/>
              </w:rPr>
              <w:t xml:space="preserve">Nos termos do artigo 6º, parágrafo 3º, da </w:t>
            </w:r>
            <w:r w:rsidR="002B2F78" w:rsidRPr="00D8141D">
              <w:rPr>
                <w:rFonts w:eastAsia="Calibri" w:cs="Calibri"/>
                <w:b/>
                <w:bCs/>
                <w:lang w:val="pt-BR"/>
              </w:rPr>
              <w:t>Resolução</w:t>
            </w:r>
            <w:r w:rsidRPr="00D8141D">
              <w:rPr>
                <w:rFonts w:eastAsia="Calibri" w:cs="Calibri"/>
                <w:b/>
                <w:bCs/>
                <w:lang w:val="pt-BR"/>
              </w:rPr>
              <w:t xml:space="preserve"> CVM </w:t>
            </w:r>
            <w:r w:rsidR="002B2F78" w:rsidRPr="00D8141D">
              <w:rPr>
                <w:rFonts w:eastAsia="Calibri" w:cs="Calibri"/>
                <w:b/>
                <w:bCs/>
                <w:lang w:val="pt-BR"/>
              </w:rPr>
              <w:t>17</w:t>
            </w:r>
            <w:r w:rsidRPr="00D8141D">
              <w:rPr>
                <w:rFonts w:eastAsia="Calibri" w:cs="Calibri"/>
                <w:b/>
                <w:bCs/>
                <w:lang w:val="pt-BR"/>
              </w:rPr>
              <w:t xml:space="preserve">, as informações acima podem ser encontradas na Cláusula </w:t>
            </w:r>
            <w:r w:rsidR="002B2F78" w:rsidRPr="00D8141D">
              <w:rPr>
                <w:rFonts w:eastAsia="Calibri" w:cs="Calibri"/>
                <w:b/>
                <w:bCs/>
                <w:lang w:val="pt-BR"/>
              </w:rPr>
              <w:t>10.1, “(xii)”</w:t>
            </w:r>
            <w:r w:rsidRPr="00D8141D">
              <w:rPr>
                <w:rFonts w:eastAsia="Calibri" w:cs="Calibri"/>
                <w:b/>
                <w:bCs/>
                <w:lang w:val="pt-BR"/>
              </w:rPr>
              <w:t xml:space="preserve"> da Escritura de Emissão.</w:t>
            </w:r>
          </w:p>
        </w:tc>
      </w:tr>
      <w:tr w:rsidR="007F04B2" w:rsidRPr="0082022E" w14:paraId="756D1C77" w14:textId="77777777" w:rsidTr="003E13AA">
        <w:tc>
          <w:tcPr>
            <w:tcW w:w="1345" w:type="pct"/>
            <w:shd w:val="clear" w:color="auto" w:fill="auto"/>
          </w:tcPr>
          <w:p w14:paraId="52E93CB5" w14:textId="77777777" w:rsidR="007F04B2" w:rsidRPr="00D8141D" w:rsidRDefault="007F04B2" w:rsidP="007F04B2">
            <w:pPr>
              <w:pStyle w:val="HOMEBRBodyText"/>
              <w:keepLines w:val="0"/>
              <w:widowControl w:val="0"/>
              <w:spacing w:after="140" w:line="290" w:lineRule="auto"/>
              <w:rPr>
                <w:rFonts w:eastAsia="Calibri" w:cs="Calibri"/>
                <w:b/>
                <w:lang w:val="pt-BR"/>
              </w:rPr>
            </w:pPr>
            <w:r w:rsidRPr="00D8141D">
              <w:rPr>
                <w:rFonts w:eastAsia="Calibri" w:cs="Calibri"/>
                <w:b/>
                <w:lang w:val="pt-BR"/>
              </w:rPr>
              <w:t>Amortização</w:t>
            </w:r>
            <w:r w:rsidR="00566A00" w:rsidRPr="00D8141D">
              <w:rPr>
                <w:rFonts w:eastAsia="Calibri" w:cs="Calibri"/>
                <w:b/>
                <w:lang w:val="pt-BR"/>
              </w:rPr>
              <w:t xml:space="preserve"> </w:t>
            </w:r>
            <w:r w:rsidRPr="00D8141D">
              <w:rPr>
                <w:rFonts w:eastAsia="Calibri" w:cs="Calibri"/>
                <w:b/>
                <w:lang w:val="pt-BR"/>
              </w:rPr>
              <w:t>Extraordinária</w:t>
            </w:r>
          </w:p>
        </w:tc>
        <w:tc>
          <w:tcPr>
            <w:tcW w:w="3655" w:type="pct"/>
            <w:shd w:val="clear" w:color="auto" w:fill="auto"/>
          </w:tcPr>
          <w:p w14:paraId="58CAC179" w14:textId="77777777" w:rsidR="007F04B2" w:rsidRPr="00D8141D" w:rsidRDefault="007F04B2" w:rsidP="007F04B2">
            <w:pPr>
              <w:pStyle w:val="HOMEBRBodyText"/>
              <w:spacing w:after="140" w:line="290" w:lineRule="auto"/>
              <w:jc w:val="both"/>
              <w:rPr>
                <w:rFonts w:eastAsia="Calibri" w:cs="Calibri"/>
                <w:lang w:val="pt-BR"/>
              </w:rPr>
            </w:pPr>
            <w:r w:rsidRPr="00D8141D">
              <w:rPr>
                <w:rFonts w:cs="Calibri"/>
                <w:lang w:val="pt-BR"/>
              </w:rPr>
              <w:t>Não será admitida a realização de amortização extraordinária das Debêntures.</w:t>
            </w:r>
          </w:p>
        </w:tc>
      </w:tr>
      <w:tr w:rsidR="007F04B2" w:rsidRPr="0082022E" w14:paraId="35F22416" w14:textId="77777777" w:rsidTr="003E13AA">
        <w:tc>
          <w:tcPr>
            <w:tcW w:w="1345" w:type="pct"/>
            <w:shd w:val="clear" w:color="auto" w:fill="auto"/>
          </w:tcPr>
          <w:p w14:paraId="75E9F571" w14:textId="77777777" w:rsidR="007F04B2" w:rsidRPr="00D8141D" w:rsidRDefault="007F04B2" w:rsidP="007F04B2">
            <w:pPr>
              <w:pStyle w:val="HOMEBRBodyText"/>
              <w:keepLines w:val="0"/>
              <w:widowControl w:val="0"/>
              <w:spacing w:after="140" w:line="290" w:lineRule="auto"/>
              <w:rPr>
                <w:rFonts w:eastAsia="Calibri" w:cs="Calibri"/>
                <w:b/>
                <w:lang w:val="pt-BR"/>
              </w:rPr>
            </w:pPr>
            <w:r w:rsidRPr="00D8141D">
              <w:rPr>
                <w:rFonts w:eastAsia="Calibri" w:cs="Calibri"/>
                <w:b/>
                <w:lang w:val="pt-BR"/>
              </w:rPr>
              <w:t>Amortização do Valor Nominal Atualizado das Debêntures da Primeira Série</w:t>
            </w:r>
          </w:p>
        </w:tc>
        <w:tc>
          <w:tcPr>
            <w:tcW w:w="3655" w:type="pct"/>
            <w:shd w:val="clear" w:color="auto" w:fill="auto"/>
          </w:tcPr>
          <w:p w14:paraId="2B79E5C4" w14:textId="77777777" w:rsidR="007F04B2" w:rsidRPr="00D8141D" w:rsidRDefault="00790184" w:rsidP="007F04B2">
            <w:pPr>
              <w:pStyle w:val="HOMEBRBodyText"/>
              <w:spacing w:after="140" w:line="290" w:lineRule="auto"/>
              <w:jc w:val="both"/>
              <w:rPr>
                <w:rFonts w:cs="Calibri"/>
                <w:lang w:val="pt-BR"/>
              </w:rPr>
            </w:pPr>
            <w:r w:rsidRPr="00D8141D">
              <w:rPr>
                <w:rFonts w:cs="Calibri"/>
                <w:iCs/>
                <w:lang w:val="pt-BR"/>
              </w:rPr>
              <w:t xml:space="preserve">Ressalvadas as hipóteses de pagamento em decorrência das Debêntures da Primeira Série e, se permitido pelas regras expedidas pelo CMN e pela legislação e regulamentação aplicáveis e Oferta de Resgate Antecipado Facultativo, o Valor Nominal </w:t>
            </w:r>
            <w:r w:rsidR="009D09A0">
              <w:rPr>
                <w:lang w:val="pt-BR"/>
              </w:rPr>
              <w:t xml:space="preserve">Unitário </w:t>
            </w:r>
            <w:r w:rsidRPr="00D8141D">
              <w:rPr>
                <w:rFonts w:cs="Calibri"/>
                <w:iCs/>
                <w:lang w:val="pt-BR"/>
              </w:rPr>
              <w:t>Atualizado das Debêntures da Primeira Série será amortizado integralmente na Data de Vencimento da Primeira Série</w:t>
            </w:r>
            <w:r w:rsidR="007F04B2" w:rsidRPr="00D8141D">
              <w:rPr>
                <w:rFonts w:cs="Calibri"/>
                <w:lang w:val="pt-BR"/>
              </w:rPr>
              <w:t>.</w:t>
            </w:r>
          </w:p>
          <w:p w14:paraId="7E705176" w14:textId="6F2A217B" w:rsidR="007F04B2" w:rsidRPr="00D8141D" w:rsidRDefault="007F04B2" w:rsidP="007F04B2">
            <w:pPr>
              <w:pStyle w:val="HOMEBRBodyText"/>
              <w:keepLines w:val="0"/>
              <w:widowControl w:val="0"/>
              <w:spacing w:after="140" w:line="290" w:lineRule="auto"/>
              <w:jc w:val="both"/>
              <w:rPr>
                <w:rFonts w:cs="Calibri"/>
                <w:lang w:val="pt-BR"/>
              </w:rPr>
            </w:pPr>
            <w:r w:rsidRPr="00D8141D">
              <w:rPr>
                <w:rFonts w:cs="Calibri"/>
                <w:b/>
                <w:bCs/>
                <w:lang w:val="pt-BR"/>
              </w:rPr>
              <w:lastRenderedPageBreak/>
              <w:t xml:space="preserve">Para maiores informações em relação a Amortização Programada, veja a seção “Informações Relativas à Emissão, à Oferta e às Debêntures – Características da Emissão e das Debêntures – </w:t>
            </w:r>
            <w:r w:rsidRPr="00D8141D">
              <w:rPr>
                <w:rFonts w:cs="Calibri"/>
                <w:b/>
                <w:bCs/>
                <w:color w:val="000000"/>
                <w:lang w:val="pt-BR"/>
              </w:rPr>
              <w:t xml:space="preserve">Amortização </w:t>
            </w:r>
            <w:r w:rsidR="00DB205D" w:rsidRPr="00D8141D">
              <w:rPr>
                <w:rFonts w:cs="Calibri"/>
                <w:b/>
                <w:bCs/>
                <w:color w:val="000000"/>
                <w:lang w:val="pt-BR"/>
              </w:rPr>
              <w:t>do Valor Nominal Atualizado das Debêntures da Primeira Série</w:t>
            </w:r>
            <w:r w:rsidRPr="00D8141D">
              <w:rPr>
                <w:rFonts w:cs="Calibri"/>
                <w:b/>
                <w:bCs/>
                <w:color w:val="000000"/>
                <w:lang w:val="pt-BR"/>
              </w:rPr>
              <w:t xml:space="preserve">” na página </w:t>
            </w:r>
            <w:r w:rsidR="00F4417F" w:rsidRPr="00D8141D">
              <w:rPr>
                <w:rFonts w:cs="Calibri"/>
                <w:b/>
                <w:bCs/>
                <w:noProof/>
                <w:color w:val="000000"/>
                <w:lang w:val="pt-BR"/>
              </w:rPr>
              <w:fldChar w:fldCharType="begin"/>
            </w:r>
            <w:r w:rsidR="00F4417F" w:rsidRPr="00D8141D">
              <w:rPr>
                <w:rFonts w:cs="Calibri"/>
                <w:b/>
                <w:bCs/>
                <w:color w:val="000000"/>
                <w:lang w:val="pt-BR"/>
              </w:rPr>
              <w:instrText xml:space="preserve"> PAGEREF _Ref90216042 \h </w:instrText>
            </w:r>
            <w:r w:rsidR="00F4417F" w:rsidRPr="00D8141D">
              <w:rPr>
                <w:rFonts w:cs="Calibri"/>
                <w:b/>
                <w:bCs/>
                <w:noProof/>
                <w:color w:val="000000"/>
                <w:lang w:val="pt-BR"/>
              </w:rPr>
            </w:r>
            <w:r w:rsidR="00F4417F" w:rsidRPr="00D8141D">
              <w:rPr>
                <w:rFonts w:cs="Calibri"/>
                <w:b/>
                <w:bCs/>
                <w:noProof/>
                <w:color w:val="000000"/>
                <w:lang w:val="pt-BR"/>
              </w:rPr>
              <w:fldChar w:fldCharType="separate"/>
            </w:r>
            <w:r w:rsidR="001166EA">
              <w:rPr>
                <w:rFonts w:cs="Calibri"/>
                <w:b/>
                <w:bCs/>
                <w:noProof/>
                <w:color w:val="000000"/>
                <w:lang w:val="pt-BR"/>
              </w:rPr>
              <w:t>83</w:t>
            </w:r>
            <w:r w:rsidR="00F4417F" w:rsidRPr="00D8141D">
              <w:rPr>
                <w:rFonts w:cs="Calibri"/>
                <w:b/>
                <w:bCs/>
                <w:noProof/>
                <w:color w:val="000000"/>
                <w:lang w:val="pt-BR"/>
              </w:rPr>
              <w:fldChar w:fldCharType="end"/>
            </w:r>
            <w:r w:rsidRPr="00D8141D">
              <w:rPr>
                <w:rFonts w:cs="Calibri"/>
                <w:b/>
                <w:bCs/>
                <w:color w:val="000000"/>
                <w:lang w:val="pt-BR"/>
              </w:rPr>
              <w:t xml:space="preserve"> deste Prospecto</w:t>
            </w:r>
            <w:r w:rsidRPr="00D8141D">
              <w:rPr>
                <w:rFonts w:cs="Calibri"/>
                <w:lang w:val="pt-BR"/>
              </w:rPr>
              <w:t>.</w:t>
            </w:r>
          </w:p>
        </w:tc>
      </w:tr>
      <w:tr w:rsidR="007F04B2" w:rsidRPr="00D8141D" w14:paraId="007250BF" w14:textId="77777777" w:rsidTr="003E13AA">
        <w:tc>
          <w:tcPr>
            <w:tcW w:w="1345" w:type="pct"/>
            <w:shd w:val="clear" w:color="auto" w:fill="auto"/>
          </w:tcPr>
          <w:p w14:paraId="255F4286" w14:textId="77777777" w:rsidR="007F04B2" w:rsidRPr="00D8141D" w:rsidRDefault="007F04B2" w:rsidP="007F04B2">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Amortização do Valor Nominal Atualizado das Debêntures da Segunda Série</w:t>
            </w:r>
          </w:p>
        </w:tc>
        <w:tc>
          <w:tcPr>
            <w:tcW w:w="3655" w:type="pct"/>
            <w:shd w:val="clear" w:color="auto" w:fill="auto"/>
          </w:tcPr>
          <w:p w14:paraId="5287E30C" w14:textId="77777777" w:rsidR="007F04B2" w:rsidRPr="00D8141D" w:rsidRDefault="00790184" w:rsidP="007F04B2">
            <w:pPr>
              <w:pStyle w:val="HOMEBRBodyText"/>
              <w:spacing w:after="140" w:line="290" w:lineRule="auto"/>
              <w:jc w:val="both"/>
              <w:rPr>
                <w:rFonts w:eastAsia="Calibri" w:cs="Calibri"/>
                <w:lang w:val="pt-BR"/>
              </w:rPr>
            </w:pPr>
            <w:r w:rsidRPr="00D8141D">
              <w:rPr>
                <w:rFonts w:cs="Calibri"/>
                <w:iCs/>
                <w:lang w:val="pt-BR"/>
              </w:rPr>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9D09A0">
              <w:rPr>
                <w:lang w:val="pt-BR"/>
              </w:rPr>
              <w:t xml:space="preserve">Unitário </w:t>
            </w:r>
            <w:r w:rsidRPr="00D8141D">
              <w:rPr>
                <w:rFonts w:cs="Calibri"/>
                <w:iCs/>
                <w:lang w:val="pt-BR"/>
              </w:rPr>
              <w:t>Atualizado das Debêntures da Segunda Série será amortizado em 3 (três) parcelas anuais e consecutivas, a partir do 13º (décimo terceiro) ano contado da Data de Emissão, sendo a primeira parcela devida em 15 de janeiro de 2035</w:t>
            </w:r>
            <w:r w:rsidR="00AF59A3" w:rsidRPr="00D8141D">
              <w:rPr>
                <w:rFonts w:cs="Calibri"/>
                <w:iCs/>
                <w:lang w:val="pt-BR"/>
              </w:rPr>
              <w:t>, a segunda em 15 de janeiro de 2036</w:t>
            </w:r>
            <w:r w:rsidRPr="00D8141D">
              <w:rPr>
                <w:rFonts w:cs="Calibri"/>
                <w:iCs/>
                <w:lang w:val="pt-BR"/>
              </w:rPr>
              <w:t xml:space="preserve"> e a última na Data de Vencimento da Segunda Série, conforme a tabela abaixo</w:t>
            </w:r>
            <w:r w:rsidR="007F04B2" w:rsidRPr="00D8141D">
              <w:rPr>
                <w:rFonts w:eastAsia="Calibri" w:cs="Calibri"/>
                <w:lang w:val="pt-BR"/>
              </w:rPr>
              <w:t>:</w:t>
            </w:r>
          </w:p>
          <w:tbl>
            <w:tblPr>
              <w:tblW w:w="49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8"/>
              <w:gridCol w:w="2372"/>
              <w:gridCol w:w="2549"/>
            </w:tblGrid>
            <w:tr w:rsidR="007F04B2" w:rsidRPr="0082022E" w14:paraId="17193C59" w14:textId="77777777" w:rsidTr="00C13C86">
              <w:trPr>
                <w:tblHeader/>
              </w:trPr>
              <w:tc>
                <w:tcPr>
                  <w:tcW w:w="905" w:type="pct"/>
                  <w:shd w:val="clear" w:color="000000" w:fill="E7E6E6"/>
                  <w:vAlign w:val="center"/>
                </w:tcPr>
                <w:p w14:paraId="421E316E" w14:textId="77777777" w:rsidR="007F04B2" w:rsidRPr="00D8141D" w:rsidRDefault="007F04B2" w:rsidP="007F04B2">
                  <w:pPr>
                    <w:spacing w:before="60" w:after="60" w:line="290" w:lineRule="auto"/>
                    <w:jc w:val="center"/>
                    <w:rPr>
                      <w:rFonts w:cs="Calibri"/>
                      <w:b/>
                      <w:sz w:val="16"/>
                      <w:szCs w:val="16"/>
                    </w:rPr>
                  </w:pPr>
                  <w:r w:rsidRPr="00D8141D">
                    <w:rPr>
                      <w:rFonts w:cs="Calibri"/>
                      <w:b/>
                      <w:color w:val="000000"/>
                      <w:sz w:val="16"/>
                      <w:szCs w:val="16"/>
                    </w:rPr>
                    <w:t>Parcela</w:t>
                  </w:r>
                </w:p>
              </w:tc>
              <w:tc>
                <w:tcPr>
                  <w:tcW w:w="1974" w:type="pct"/>
                  <w:shd w:val="clear" w:color="000000" w:fill="E7E6E6"/>
                  <w:vAlign w:val="center"/>
                </w:tcPr>
                <w:p w14:paraId="1B5B1C49" w14:textId="77777777" w:rsidR="007F04B2" w:rsidRPr="00566CD3" w:rsidRDefault="007F04B2" w:rsidP="007F04B2">
                  <w:pPr>
                    <w:spacing w:before="60" w:after="60" w:line="290" w:lineRule="auto"/>
                    <w:jc w:val="center"/>
                    <w:rPr>
                      <w:b/>
                      <w:sz w:val="16"/>
                    </w:rPr>
                  </w:pPr>
                  <w:r w:rsidRPr="00566CD3">
                    <w:rPr>
                      <w:b/>
                      <w:color w:val="000000"/>
                      <w:sz w:val="16"/>
                    </w:rPr>
                    <w:t>Data de Amortização das Debêntures da Segunda Série</w:t>
                  </w:r>
                </w:p>
              </w:tc>
              <w:tc>
                <w:tcPr>
                  <w:tcW w:w="2121" w:type="pct"/>
                  <w:shd w:val="clear" w:color="000000" w:fill="E7E6E6"/>
                  <w:vAlign w:val="center"/>
                </w:tcPr>
                <w:p w14:paraId="1158CF66" w14:textId="77777777" w:rsidR="007F04B2" w:rsidRPr="00566CD3" w:rsidRDefault="007F04B2" w:rsidP="007F04B2">
                  <w:pPr>
                    <w:spacing w:before="60" w:after="60" w:line="290" w:lineRule="auto"/>
                    <w:jc w:val="center"/>
                    <w:rPr>
                      <w:b/>
                      <w:sz w:val="16"/>
                    </w:rPr>
                  </w:pPr>
                  <w:r w:rsidRPr="00566CD3">
                    <w:rPr>
                      <w:b/>
                      <w:color w:val="000000"/>
                      <w:sz w:val="16"/>
                    </w:rPr>
                    <w:t xml:space="preserve">% do Valor Nominal </w:t>
                  </w:r>
                  <w:r w:rsidR="009D09A0" w:rsidRPr="00566CD3">
                    <w:rPr>
                      <w:b/>
                      <w:color w:val="000000"/>
                      <w:sz w:val="16"/>
                    </w:rPr>
                    <w:t xml:space="preserve">Unitário </w:t>
                  </w:r>
                  <w:r w:rsidRPr="00566CD3">
                    <w:rPr>
                      <w:b/>
                      <w:color w:val="000000"/>
                      <w:sz w:val="16"/>
                    </w:rPr>
                    <w:t>Atualizado da Segunda Série a ser amortizado*</w:t>
                  </w:r>
                </w:p>
              </w:tc>
            </w:tr>
            <w:tr w:rsidR="00790184" w:rsidRPr="00D8141D" w14:paraId="0073B0D5" w14:textId="77777777" w:rsidTr="00C13C86">
              <w:tc>
                <w:tcPr>
                  <w:tcW w:w="905" w:type="pct"/>
                </w:tcPr>
                <w:p w14:paraId="3E2CCFF7" w14:textId="77777777" w:rsidR="00790184" w:rsidRPr="00D8141D" w:rsidRDefault="00790184" w:rsidP="00790184">
                  <w:pPr>
                    <w:spacing w:before="60" w:after="60" w:line="290" w:lineRule="auto"/>
                    <w:jc w:val="center"/>
                    <w:rPr>
                      <w:rFonts w:cs="Calibri"/>
                      <w:sz w:val="16"/>
                      <w:szCs w:val="16"/>
                    </w:rPr>
                  </w:pPr>
                  <w:r w:rsidRPr="00D8141D">
                    <w:rPr>
                      <w:rFonts w:cs="Calibri"/>
                      <w:color w:val="000000"/>
                      <w:sz w:val="16"/>
                      <w:szCs w:val="16"/>
                    </w:rPr>
                    <w:t>1</w:t>
                  </w:r>
                </w:p>
              </w:tc>
              <w:tc>
                <w:tcPr>
                  <w:tcW w:w="1974" w:type="pct"/>
                  <w:vAlign w:val="center"/>
                </w:tcPr>
                <w:p w14:paraId="583301F5" w14:textId="77777777" w:rsidR="00790184" w:rsidRPr="00D8141D" w:rsidRDefault="00790184" w:rsidP="00790184">
                  <w:pPr>
                    <w:spacing w:before="60" w:after="60" w:line="290" w:lineRule="auto"/>
                    <w:jc w:val="center"/>
                    <w:rPr>
                      <w:rFonts w:cs="Calibri"/>
                      <w:sz w:val="16"/>
                      <w:szCs w:val="16"/>
                    </w:rPr>
                  </w:pPr>
                  <w:r w:rsidRPr="00D8141D">
                    <w:rPr>
                      <w:rFonts w:cs="Calibri"/>
                      <w:sz w:val="16"/>
                      <w:szCs w:val="16"/>
                    </w:rPr>
                    <w:t>15 de janeiro de 2035</w:t>
                  </w:r>
                </w:p>
              </w:tc>
              <w:tc>
                <w:tcPr>
                  <w:tcW w:w="2121" w:type="pct"/>
                </w:tcPr>
                <w:p w14:paraId="37DEFBEE" w14:textId="77777777" w:rsidR="00790184" w:rsidRPr="00D8141D" w:rsidRDefault="00790184" w:rsidP="00790184">
                  <w:pPr>
                    <w:spacing w:before="60" w:after="60" w:line="290" w:lineRule="auto"/>
                    <w:jc w:val="center"/>
                    <w:rPr>
                      <w:rFonts w:cs="Calibri"/>
                      <w:sz w:val="16"/>
                      <w:szCs w:val="16"/>
                    </w:rPr>
                  </w:pPr>
                  <w:r w:rsidRPr="00D8141D">
                    <w:rPr>
                      <w:rFonts w:cs="Calibri"/>
                      <w:sz w:val="16"/>
                      <w:szCs w:val="16"/>
                    </w:rPr>
                    <w:t>33,3333%</w:t>
                  </w:r>
                </w:p>
              </w:tc>
            </w:tr>
            <w:tr w:rsidR="00790184" w:rsidRPr="00D8141D" w14:paraId="7B0C9477" w14:textId="77777777" w:rsidTr="00C13C86">
              <w:tc>
                <w:tcPr>
                  <w:tcW w:w="905" w:type="pct"/>
                </w:tcPr>
                <w:p w14:paraId="715386E9" w14:textId="77777777" w:rsidR="00790184" w:rsidRPr="00D8141D" w:rsidRDefault="00790184" w:rsidP="00790184">
                  <w:pPr>
                    <w:spacing w:before="60" w:after="60" w:line="290" w:lineRule="auto"/>
                    <w:jc w:val="center"/>
                    <w:rPr>
                      <w:rFonts w:cs="Calibri"/>
                      <w:sz w:val="16"/>
                      <w:szCs w:val="16"/>
                    </w:rPr>
                  </w:pPr>
                  <w:r w:rsidRPr="00D8141D">
                    <w:rPr>
                      <w:rFonts w:cs="Calibri"/>
                      <w:color w:val="000000"/>
                      <w:sz w:val="16"/>
                      <w:szCs w:val="16"/>
                    </w:rPr>
                    <w:t>2</w:t>
                  </w:r>
                </w:p>
              </w:tc>
              <w:tc>
                <w:tcPr>
                  <w:tcW w:w="1974" w:type="pct"/>
                  <w:vAlign w:val="center"/>
                </w:tcPr>
                <w:p w14:paraId="2C6B86F1" w14:textId="77777777" w:rsidR="00790184" w:rsidRPr="00D8141D" w:rsidRDefault="00790184" w:rsidP="00790184">
                  <w:pPr>
                    <w:spacing w:before="60" w:after="60" w:line="290" w:lineRule="auto"/>
                    <w:jc w:val="center"/>
                    <w:rPr>
                      <w:rFonts w:cs="Calibri"/>
                      <w:sz w:val="16"/>
                      <w:szCs w:val="16"/>
                    </w:rPr>
                  </w:pPr>
                  <w:r w:rsidRPr="00D8141D">
                    <w:rPr>
                      <w:rFonts w:cs="Calibri"/>
                      <w:sz w:val="16"/>
                      <w:szCs w:val="16"/>
                    </w:rPr>
                    <w:t>15</w:t>
                  </w:r>
                  <w:r w:rsidRPr="00D8141D">
                    <w:rPr>
                      <w:sz w:val="16"/>
                      <w:szCs w:val="16"/>
                    </w:rPr>
                    <w:t xml:space="preserve"> de </w:t>
                  </w:r>
                  <w:r w:rsidRPr="00D8141D">
                    <w:rPr>
                      <w:rFonts w:cs="Calibri"/>
                      <w:sz w:val="16"/>
                      <w:szCs w:val="16"/>
                    </w:rPr>
                    <w:t>janeiro</w:t>
                  </w:r>
                  <w:r w:rsidRPr="00D8141D">
                    <w:rPr>
                      <w:sz w:val="16"/>
                      <w:szCs w:val="16"/>
                    </w:rPr>
                    <w:t xml:space="preserve"> de </w:t>
                  </w:r>
                  <w:r w:rsidRPr="00D8141D">
                    <w:rPr>
                      <w:rFonts w:cs="Calibri"/>
                      <w:sz w:val="16"/>
                      <w:szCs w:val="16"/>
                    </w:rPr>
                    <w:t>2036</w:t>
                  </w:r>
                </w:p>
              </w:tc>
              <w:tc>
                <w:tcPr>
                  <w:tcW w:w="2121" w:type="pct"/>
                </w:tcPr>
                <w:p w14:paraId="342498F4" w14:textId="77777777" w:rsidR="00790184" w:rsidRPr="00D8141D" w:rsidRDefault="00790184" w:rsidP="00790184">
                  <w:pPr>
                    <w:spacing w:before="60" w:after="60" w:line="290" w:lineRule="auto"/>
                    <w:jc w:val="center"/>
                    <w:rPr>
                      <w:rFonts w:cs="Calibri"/>
                      <w:sz w:val="16"/>
                      <w:szCs w:val="16"/>
                    </w:rPr>
                  </w:pPr>
                  <w:r w:rsidRPr="00D8141D">
                    <w:rPr>
                      <w:rFonts w:cs="Calibri"/>
                      <w:sz w:val="16"/>
                      <w:szCs w:val="16"/>
                    </w:rPr>
                    <w:t>50,0000%</w:t>
                  </w:r>
                </w:p>
              </w:tc>
            </w:tr>
            <w:tr w:rsidR="00790184" w:rsidRPr="00D8141D" w14:paraId="56AD8A01" w14:textId="77777777" w:rsidTr="00C13C86">
              <w:tc>
                <w:tcPr>
                  <w:tcW w:w="905" w:type="pct"/>
                </w:tcPr>
                <w:p w14:paraId="2CA8928A" w14:textId="77777777" w:rsidR="00790184" w:rsidRPr="00D8141D" w:rsidRDefault="00790184" w:rsidP="00790184">
                  <w:pPr>
                    <w:spacing w:before="60" w:after="60" w:line="290" w:lineRule="auto"/>
                    <w:jc w:val="center"/>
                    <w:rPr>
                      <w:rFonts w:cs="Calibri"/>
                      <w:sz w:val="16"/>
                      <w:szCs w:val="16"/>
                    </w:rPr>
                  </w:pPr>
                  <w:r w:rsidRPr="00D8141D">
                    <w:rPr>
                      <w:rFonts w:cs="Calibri"/>
                      <w:color w:val="000000"/>
                      <w:sz w:val="16"/>
                      <w:szCs w:val="16"/>
                    </w:rPr>
                    <w:t>3</w:t>
                  </w:r>
                </w:p>
              </w:tc>
              <w:tc>
                <w:tcPr>
                  <w:tcW w:w="1974" w:type="pct"/>
                  <w:vAlign w:val="center"/>
                </w:tcPr>
                <w:p w14:paraId="5A0A94F8" w14:textId="77777777" w:rsidR="00790184" w:rsidRPr="00566CD3" w:rsidRDefault="00790184" w:rsidP="00790184">
                  <w:pPr>
                    <w:spacing w:before="60" w:after="60" w:line="290" w:lineRule="auto"/>
                    <w:jc w:val="center"/>
                    <w:rPr>
                      <w:sz w:val="16"/>
                    </w:rPr>
                  </w:pPr>
                  <w:r w:rsidRPr="00566CD3">
                    <w:rPr>
                      <w:sz w:val="16"/>
                    </w:rPr>
                    <w:t>Data de Vencimento da Segunda Série</w:t>
                  </w:r>
                </w:p>
              </w:tc>
              <w:tc>
                <w:tcPr>
                  <w:tcW w:w="2121" w:type="pct"/>
                </w:tcPr>
                <w:p w14:paraId="6301C9F4" w14:textId="77777777" w:rsidR="00790184" w:rsidRPr="00D8141D" w:rsidRDefault="00AF59A3" w:rsidP="00790184">
                  <w:pPr>
                    <w:spacing w:before="60" w:after="60" w:line="290" w:lineRule="auto"/>
                    <w:jc w:val="center"/>
                    <w:rPr>
                      <w:rFonts w:cs="Calibri"/>
                      <w:sz w:val="16"/>
                      <w:szCs w:val="16"/>
                    </w:rPr>
                  </w:pPr>
                  <w:r w:rsidRPr="00D8141D">
                    <w:rPr>
                      <w:rFonts w:cs="Calibri"/>
                      <w:sz w:val="16"/>
                      <w:szCs w:val="16"/>
                    </w:rPr>
                    <w:t>100</w:t>
                  </w:r>
                  <w:r w:rsidR="00790184" w:rsidRPr="00D8141D">
                    <w:rPr>
                      <w:rFonts w:cs="Calibri"/>
                      <w:sz w:val="16"/>
                      <w:szCs w:val="16"/>
                    </w:rPr>
                    <w:t>,0000%</w:t>
                  </w:r>
                </w:p>
              </w:tc>
            </w:tr>
          </w:tbl>
          <w:p w14:paraId="5A942593" w14:textId="77777777" w:rsidR="007F04B2" w:rsidRPr="00D8141D" w:rsidRDefault="007F04B2" w:rsidP="007F04B2">
            <w:pPr>
              <w:pStyle w:val="HOMEBRBodyText"/>
              <w:spacing w:after="140" w:line="290" w:lineRule="auto"/>
              <w:jc w:val="both"/>
              <w:rPr>
                <w:rFonts w:eastAsia="Calibri" w:cs="Calibri"/>
                <w:lang w:val="pt-BR"/>
              </w:rPr>
            </w:pPr>
          </w:p>
        </w:tc>
      </w:tr>
      <w:tr w:rsidR="007F04B2" w:rsidRPr="0082022E" w14:paraId="30A75E26" w14:textId="77777777" w:rsidTr="003E13AA">
        <w:tc>
          <w:tcPr>
            <w:tcW w:w="1345" w:type="pct"/>
            <w:shd w:val="clear" w:color="auto" w:fill="auto"/>
          </w:tcPr>
          <w:p w14:paraId="3C9068C8" w14:textId="77777777" w:rsidR="007F04B2" w:rsidRPr="00D8141D" w:rsidRDefault="007F04B2" w:rsidP="007F04B2">
            <w:pPr>
              <w:pStyle w:val="HOMEBRBodyText"/>
              <w:keepLines w:val="0"/>
              <w:widowControl w:val="0"/>
              <w:spacing w:after="140" w:line="290" w:lineRule="auto"/>
              <w:rPr>
                <w:rFonts w:eastAsia="Calibri" w:cs="Calibri"/>
                <w:b/>
                <w:lang w:val="pt-BR"/>
              </w:rPr>
            </w:pPr>
            <w:r w:rsidRPr="00D8141D">
              <w:rPr>
                <w:rFonts w:eastAsia="Calibri" w:cs="Calibri"/>
                <w:b/>
                <w:lang w:val="pt-BR"/>
              </w:rPr>
              <w:t>Aquisição Facultativa das Debêntures</w:t>
            </w:r>
          </w:p>
        </w:tc>
        <w:tc>
          <w:tcPr>
            <w:tcW w:w="3655" w:type="pct"/>
            <w:shd w:val="clear" w:color="auto" w:fill="auto"/>
          </w:tcPr>
          <w:p w14:paraId="0B109FBF" w14:textId="77777777" w:rsidR="00072661" w:rsidRPr="00D8141D" w:rsidRDefault="00072661" w:rsidP="002E06C5">
            <w:pPr>
              <w:pStyle w:val="HOMEBRBodyText"/>
              <w:keepLines w:val="0"/>
              <w:widowControl w:val="0"/>
              <w:spacing w:after="140" w:line="290" w:lineRule="auto"/>
              <w:jc w:val="both"/>
              <w:rPr>
                <w:rFonts w:cs="Calibri"/>
                <w:spacing w:val="-4"/>
                <w:lang w:val="pt-BR"/>
              </w:rPr>
            </w:pPr>
            <w:bookmarkStart w:id="44" w:name="_Hlk89270070"/>
            <w:r w:rsidRPr="00D8141D">
              <w:rPr>
                <w:rFonts w:cs="Calibri"/>
                <w:spacing w:val="-4"/>
                <w:lang w:val="pt-BR"/>
              </w:rPr>
              <w:t>Aquisição das Debêntures da Primeira Série e/ou das Debêntures da Segunda Série pela Emissora</w:t>
            </w:r>
            <w:r w:rsidR="002B2F78" w:rsidRPr="00D8141D">
              <w:rPr>
                <w:rFonts w:cs="Calibri"/>
                <w:spacing w:val="-4"/>
                <w:lang w:val="pt-BR"/>
              </w:rPr>
              <w:t xml:space="preserve">, </w:t>
            </w:r>
            <w:r w:rsidR="00A32CF3" w:rsidRPr="00D8141D">
              <w:rPr>
                <w:rFonts w:cs="Calibri"/>
                <w:spacing w:val="-4"/>
                <w:lang w:val="pt-BR"/>
              </w:rPr>
              <w:t>após 24 meses da Data de Emissão</w:t>
            </w:r>
            <w:r w:rsidRPr="00D8141D">
              <w:rPr>
                <w:rFonts w:cs="Calibri"/>
                <w:spacing w:val="-4"/>
                <w:lang w:val="pt-BR"/>
              </w:rPr>
              <w:t xml:space="preserve">, no mercado secundário, </w:t>
            </w:r>
            <w:r w:rsidRPr="00D8141D">
              <w:rPr>
                <w:rFonts w:cs="Calibri"/>
                <w:spacing w:val="-4"/>
                <w:lang w:val="pt-BR" w:eastAsia="pt-BR"/>
              </w:rPr>
              <w:t>condicionado ao aceite do respectivo Debenturista vendedor e observado o disposto no artigo 55, parágrafo 3º, da Lei das Sociedades por Ações, desde que observado as eventuais regras expedidas pela CVM, devendo tal fato, se assim exigido pelas disposições legais e regulamentares aplicáveis, constar do relatório da administração e das Demonstrações Financeiras</w:t>
            </w:r>
            <w:r w:rsidR="00877FC2" w:rsidRPr="00D8141D">
              <w:rPr>
                <w:rFonts w:cs="Calibri"/>
                <w:spacing w:val="-4"/>
                <w:lang w:val="pt-BR" w:eastAsia="pt-BR"/>
              </w:rPr>
              <w:t>.</w:t>
            </w:r>
            <w:r w:rsidRPr="002E06C5">
              <w:rPr>
                <w:spacing w:val="-4"/>
                <w:lang w:val="pt-BR"/>
              </w:rPr>
              <w:t xml:space="preserve"> </w:t>
            </w:r>
            <w:r w:rsidRPr="00D8141D">
              <w:rPr>
                <w:rFonts w:cs="Calibri"/>
                <w:spacing w:val="-4"/>
                <w:lang w:val="pt-BR" w:eastAsia="pt-BR"/>
              </w:rPr>
              <w:t xml:space="preserve">As Debêntures </w:t>
            </w:r>
            <w:r w:rsidR="0016788B" w:rsidRPr="00D8141D">
              <w:rPr>
                <w:rFonts w:cs="Calibri"/>
                <w:spacing w:val="-4"/>
                <w:lang w:val="pt-BR" w:eastAsia="pt-BR"/>
              </w:rPr>
              <w:t xml:space="preserve">assim </w:t>
            </w:r>
            <w:r w:rsidRPr="00D8141D">
              <w:rPr>
                <w:rFonts w:cs="Calibri"/>
                <w:spacing w:val="-4"/>
                <w:lang w:val="pt-BR" w:eastAsia="pt-BR"/>
              </w:rPr>
              <w:t>adquiridas pela Emissora poderão, observados os termos da Lei 12.431, da regulamentação do CMN ou de outra legislação ou regulamentação aplicável, a critério da Emissora, ser canceladas, permanecer na tesouraria da Emissora, ou ser novamente colocadas no mercado. As Debêntures adquiridas pela Emissora para permanência em tesouraria, se e quando recolocadas no mercado, farão jus à mesma Remuneração aplicável às demais Debêntures</w:t>
            </w:r>
            <w:bookmarkEnd w:id="44"/>
            <w:r w:rsidRPr="00D8141D">
              <w:rPr>
                <w:rFonts w:cs="Calibri"/>
                <w:spacing w:val="-4"/>
                <w:lang w:val="pt-BR" w:eastAsia="pt-BR"/>
              </w:rPr>
              <w:t xml:space="preserve">. </w:t>
            </w:r>
          </w:p>
          <w:p w14:paraId="17CD0E39" w14:textId="1D5103FA" w:rsidR="007F04B2" w:rsidRPr="00D8141D" w:rsidRDefault="007F04B2" w:rsidP="007F04B2">
            <w:pPr>
              <w:pStyle w:val="HOMEBRBodyText"/>
              <w:spacing w:after="140" w:line="290" w:lineRule="auto"/>
              <w:jc w:val="both"/>
              <w:rPr>
                <w:rFonts w:eastAsia="Calibri" w:cs="Calibri"/>
                <w:lang w:val="pt-BR"/>
              </w:rPr>
            </w:pPr>
            <w:r w:rsidRPr="00D8141D">
              <w:rPr>
                <w:rFonts w:cs="Calibri"/>
                <w:b/>
                <w:lang w:val="pt-BR"/>
              </w:rPr>
              <w:lastRenderedPageBreak/>
              <w:t xml:space="preserve">Para mais informações sobre a Aquisição Facultativa, veja a seção “Fatores de Risco Relacionados à Oferta e às Debêntures - </w:t>
            </w:r>
            <w:r w:rsidRPr="00D8141D">
              <w:rPr>
                <w:rFonts w:eastAsia="Times New Roman" w:cs="Calibri"/>
                <w:b/>
                <w:iCs/>
                <w:lang w:val="pt-BR" w:eastAsia="pt-BR"/>
              </w:rPr>
              <w:t>As Debêntures poderão ser objeto de Oferta de Resgate Antecipado</w:t>
            </w:r>
            <w:r w:rsidR="00DB205D" w:rsidRPr="00D8141D">
              <w:rPr>
                <w:rFonts w:cs="Calibri"/>
                <w:b/>
                <w:lang w:val="pt-BR"/>
              </w:rPr>
              <w:t xml:space="preserve">, </w:t>
            </w:r>
            <w:r w:rsidRPr="00D8141D">
              <w:rPr>
                <w:rFonts w:eastAsia="Times New Roman" w:cs="Calibri"/>
                <w:b/>
                <w:iCs/>
                <w:lang w:val="pt-BR" w:eastAsia="pt-BR"/>
              </w:rPr>
              <w:t>Aquisição Facultativa</w:t>
            </w:r>
            <w:r w:rsidR="00DB205D" w:rsidRPr="00D8141D">
              <w:rPr>
                <w:rFonts w:cs="Calibri"/>
                <w:b/>
                <w:lang w:val="pt-BR"/>
              </w:rPr>
              <w:t xml:space="preserve"> e Resgate Obrigatório Total</w:t>
            </w:r>
            <w:r w:rsidRPr="00D8141D">
              <w:rPr>
                <w:rFonts w:eastAsia="Times New Roman" w:cs="Calibri"/>
                <w:b/>
                <w:iCs/>
                <w:lang w:val="pt-BR" w:eastAsia="pt-BR"/>
              </w:rPr>
              <w:t>, nos termos previstos na Escritura de Emissão, o que poderá impactar de maneira adversa na liquidez das Debêntures no mercado secundário</w:t>
            </w:r>
            <w:r w:rsidRPr="00D8141D">
              <w:rPr>
                <w:rFonts w:cs="Calibri"/>
                <w:b/>
                <w:lang w:val="pt-BR"/>
              </w:rPr>
              <w:t xml:space="preserve">”, na página </w:t>
            </w:r>
            <w:r w:rsidR="00E342C2" w:rsidRPr="00D8141D">
              <w:rPr>
                <w:rFonts w:cs="Calibri"/>
                <w:b/>
                <w:noProof/>
                <w:lang w:val="pt-BR"/>
              </w:rPr>
              <w:fldChar w:fldCharType="begin"/>
            </w:r>
            <w:r w:rsidR="00E342C2" w:rsidRPr="00D8141D">
              <w:rPr>
                <w:rFonts w:cs="Calibri"/>
                <w:b/>
                <w:lang w:val="pt-BR"/>
              </w:rPr>
              <w:instrText xml:space="preserve"> PAGEREF _Ref90050338 \h </w:instrText>
            </w:r>
            <w:r w:rsidR="00E342C2" w:rsidRPr="00D8141D">
              <w:rPr>
                <w:rFonts w:cs="Calibri"/>
                <w:b/>
                <w:noProof/>
                <w:lang w:val="pt-BR"/>
              </w:rPr>
            </w:r>
            <w:r w:rsidR="00E342C2" w:rsidRPr="00D8141D">
              <w:rPr>
                <w:rFonts w:cs="Calibri"/>
                <w:b/>
                <w:noProof/>
                <w:lang w:val="pt-BR"/>
              </w:rPr>
              <w:fldChar w:fldCharType="separate"/>
            </w:r>
            <w:r w:rsidR="001166EA">
              <w:rPr>
                <w:rFonts w:cs="Calibri"/>
                <w:b/>
                <w:noProof/>
                <w:lang w:val="pt-BR"/>
              </w:rPr>
              <w:t>134</w:t>
            </w:r>
            <w:r w:rsidR="00E342C2" w:rsidRPr="00D8141D">
              <w:rPr>
                <w:rFonts w:cs="Calibri"/>
                <w:b/>
                <w:noProof/>
                <w:lang w:val="pt-BR"/>
              </w:rPr>
              <w:fldChar w:fldCharType="end"/>
            </w:r>
            <w:r w:rsidRPr="00D8141D">
              <w:rPr>
                <w:rFonts w:cs="Calibri"/>
                <w:b/>
                <w:lang w:val="pt-BR"/>
              </w:rPr>
              <w:t xml:space="preserve"> deste Prospecto.</w:t>
            </w:r>
          </w:p>
        </w:tc>
      </w:tr>
      <w:tr w:rsidR="00A71C9E" w:rsidRPr="0082022E" w14:paraId="5099437C" w14:textId="77777777" w:rsidTr="003E13AA">
        <w:tc>
          <w:tcPr>
            <w:tcW w:w="1345" w:type="pct"/>
            <w:shd w:val="clear" w:color="auto" w:fill="auto"/>
          </w:tcPr>
          <w:p w14:paraId="1FD3AF8C" w14:textId="77777777" w:rsidR="00A71C9E" w:rsidRPr="00D8141D" w:rsidRDefault="00A71C9E" w:rsidP="00A71C9E">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Atendimento aos Debenturistas</w:t>
            </w:r>
          </w:p>
        </w:tc>
        <w:tc>
          <w:tcPr>
            <w:tcW w:w="3655" w:type="pct"/>
            <w:shd w:val="clear" w:color="auto" w:fill="auto"/>
          </w:tcPr>
          <w:p w14:paraId="17025C3D" w14:textId="77777777" w:rsidR="00A71C9E" w:rsidRPr="00566CD3" w:rsidRDefault="00A71C9E" w:rsidP="00A71C9E">
            <w:pPr>
              <w:pStyle w:val="Body"/>
              <w:jc w:val="both"/>
            </w:pPr>
            <w:r w:rsidRPr="00566CD3">
              <w:t xml:space="preserve">O atendimento aos Debenturistas é feito </w:t>
            </w:r>
            <w:r w:rsidR="00EC54AC" w:rsidRPr="00566CD3">
              <w:t>através do e</w:t>
            </w:r>
            <w:r w:rsidR="00505BD2" w:rsidRPr="00566CD3">
              <w:t>-</w:t>
            </w:r>
            <w:r w:rsidR="00EC54AC" w:rsidRPr="00566CD3">
              <w:t>mail: ri@saomartinho.com.br</w:t>
            </w:r>
            <w:r w:rsidRPr="00566CD3">
              <w:t>.</w:t>
            </w:r>
          </w:p>
        </w:tc>
      </w:tr>
      <w:tr w:rsidR="007F04B2" w:rsidRPr="0082022E" w14:paraId="18496D09" w14:textId="77777777" w:rsidTr="003E13AA">
        <w:tc>
          <w:tcPr>
            <w:tcW w:w="1345" w:type="pct"/>
            <w:shd w:val="clear" w:color="auto" w:fill="auto"/>
          </w:tcPr>
          <w:p w14:paraId="22BED626" w14:textId="77777777" w:rsidR="007F04B2" w:rsidRPr="00D8141D" w:rsidRDefault="007F04B2" w:rsidP="007F04B2">
            <w:pPr>
              <w:pStyle w:val="HOMEBRBodyText"/>
              <w:keepLines w:val="0"/>
              <w:widowControl w:val="0"/>
              <w:spacing w:after="140" w:line="290" w:lineRule="auto"/>
              <w:rPr>
                <w:rFonts w:eastAsia="Calibri" w:cs="Calibri"/>
                <w:b/>
                <w:lang w:val="pt-BR"/>
              </w:rPr>
            </w:pPr>
            <w:r w:rsidRPr="00D8141D">
              <w:rPr>
                <w:rFonts w:cs="Calibri"/>
                <w:b/>
                <w:lang w:val="pt-BR"/>
              </w:rPr>
              <w:t xml:space="preserve">Atualização Monetária das Debêntures </w:t>
            </w:r>
          </w:p>
        </w:tc>
        <w:tc>
          <w:tcPr>
            <w:tcW w:w="3655" w:type="pct"/>
            <w:shd w:val="clear" w:color="auto" w:fill="auto"/>
          </w:tcPr>
          <w:p w14:paraId="0E2A2B14" w14:textId="77777777" w:rsidR="00790184" w:rsidRPr="0020727A" w:rsidRDefault="00790184" w:rsidP="007F04B2">
            <w:pPr>
              <w:pStyle w:val="HOMEBRBodyText"/>
              <w:keepLines w:val="0"/>
              <w:widowControl w:val="0"/>
              <w:spacing w:after="140" w:line="290" w:lineRule="auto"/>
              <w:jc w:val="both"/>
              <w:rPr>
                <w:lang w:val="pt-BR"/>
              </w:rPr>
            </w:pPr>
            <w:r w:rsidRPr="0020727A">
              <w:rPr>
                <w:lang w:val="pt-BR"/>
              </w:rPr>
              <w:t xml:space="preserve">Valor Nominal Unitário (ou o saldo do Valor Nominal Unitário, conforme aplicável) das Debêntures será atualizado monetariamente pela variação do IPCA, apurado e divulgado pelo IBGE, desde a </w:t>
            </w:r>
            <w:r w:rsidRPr="00D8141D">
              <w:rPr>
                <w:rFonts w:cs="Calibri"/>
                <w:lang w:val="pt-BR"/>
              </w:rPr>
              <w:t>Primeira</w:t>
            </w:r>
            <w:r w:rsidRPr="0020727A">
              <w:rPr>
                <w:lang w:val="pt-BR"/>
              </w:rPr>
              <w:t xml:space="preserve"> Data de Integralização até a data de seu efetivo pagamento, sendo o produto da Atualização Monetária incorporado ao Valor Nominal Unitário (ou ao saldo do Valor Nominal Unitário, conforme aplicável) das Debêntures. A Atualização Monetária será calculada de forma </w:t>
            </w:r>
            <w:r w:rsidRPr="0020727A">
              <w:rPr>
                <w:i/>
                <w:lang w:val="pt-BR"/>
              </w:rPr>
              <w:t>pro rata temporis</w:t>
            </w:r>
            <w:r w:rsidRPr="0020727A">
              <w:rPr>
                <w:lang w:val="pt-BR"/>
              </w:rPr>
              <w:t>, com base em 252 (duzentos e cinquenta e dois) Dias Úteis, conforme a cláusula na Seção “Informações Relativas à Emissão, à Oferta e às Debêntures – Características da Emissão e das Debêntures – Atualização Monetária das Debêntures”.</w:t>
            </w:r>
          </w:p>
          <w:p w14:paraId="02C34562" w14:textId="0020699F" w:rsidR="007F04B2" w:rsidRPr="00D8141D" w:rsidRDefault="007F04B2" w:rsidP="007F04B2">
            <w:pPr>
              <w:pStyle w:val="HOMEBRBodyText"/>
              <w:spacing w:after="140" w:line="290" w:lineRule="auto"/>
              <w:jc w:val="both"/>
              <w:rPr>
                <w:rFonts w:eastAsia="Calibri" w:cs="Calibri"/>
                <w:lang w:val="pt-BR"/>
              </w:rPr>
            </w:pPr>
            <w:r w:rsidRPr="00D8141D">
              <w:rPr>
                <w:rFonts w:cs="Calibri"/>
                <w:b/>
                <w:lang w:val="pt-BR"/>
              </w:rPr>
              <w:t xml:space="preserve">Para mais informações, veja seção “Informações Relativas à Emissão, à Oferta e às Debêntures – Características da Emissão e das Debêntures – Atualização Monetária” na página </w:t>
            </w:r>
            <w:r w:rsidR="00E70F08" w:rsidRPr="00D8141D">
              <w:rPr>
                <w:rFonts w:cs="Calibri"/>
                <w:b/>
                <w:noProof/>
                <w:lang w:val="pt-BR"/>
              </w:rPr>
              <w:fldChar w:fldCharType="begin"/>
            </w:r>
            <w:r w:rsidR="00E70F08" w:rsidRPr="00D8141D">
              <w:rPr>
                <w:rFonts w:cs="Calibri"/>
                <w:b/>
                <w:lang w:val="pt-BR"/>
              </w:rPr>
              <w:instrText xml:space="preserve"> PAGEREF _Ref90057599 \h </w:instrText>
            </w:r>
            <w:r w:rsidR="00E70F08" w:rsidRPr="00D8141D">
              <w:rPr>
                <w:rFonts w:cs="Calibri"/>
                <w:b/>
                <w:noProof/>
                <w:lang w:val="pt-BR"/>
              </w:rPr>
            </w:r>
            <w:r w:rsidR="00E70F08" w:rsidRPr="00D8141D">
              <w:rPr>
                <w:rFonts w:cs="Calibri"/>
                <w:b/>
                <w:noProof/>
                <w:lang w:val="pt-BR"/>
              </w:rPr>
              <w:fldChar w:fldCharType="separate"/>
            </w:r>
            <w:r w:rsidR="001166EA">
              <w:rPr>
                <w:rFonts w:cs="Calibri"/>
                <w:b/>
                <w:noProof/>
                <w:lang w:val="pt-BR"/>
              </w:rPr>
              <w:t>77</w:t>
            </w:r>
            <w:r w:rsidR="00E70F08" w:rsidRPr="00D8141D">
              <w:rPr>
                <w:rFonts w:cs="Calibri"/>
                <w:b/>
                <w:noProof/>
                <w:lang w:val="pt-BR"/>
              </w:rPr>
              <w:fldChar w:fldCharType="end"/>
            </w:r>
            <w:r w:rsidRPr="00D8141D">
              <w:rPr>
                <w:rFonts w:cs="Calibri"/>
                <w:b/>
                <w:lang w:val="pt-BR"/>
              </w:rPr>
              <w:t xml:space="preserve"> deste Prospecto.</w:t>
            </w:r>
          </w:p>
        </w:tc>
      </w:tr>
      <w:tr w:rsidR="007F04B2" w:rsidRPr="0082022E" w14:paraId="3DE206C6" w14:textId="77777777" w:rsidTr="003E13AA">
        <w:tc>
          <w:tcPr>
            <w:tcW w:w="1345" w:type="pct"/>
            <w:shd w:val="clear" w:color="auto" w:fill="auto"/>
          </w:tcPr>
          <w:p w14:paraId="53E8C118" w14:textId="77777777" w:rsidR="007F04B2" w:rsidRPr="00D8141D" w:rsidRDefault="007F04B2" w:rsidP="007F04B2">
            <w:pPr>
              <w:pStyle w:val="HOMEBRBodyText"/>
              <w:keepLines w:val="0"/>
              <w:widowControl w:val="0"/>
              <w:spacing w:after="140" w:line="290" w:lineRule="auto"/>
              <w:rPr>
                <w:rFonts w:eastAsia="Calibri" w:cs="Calibri"/>
                <w:b/>
                <w:lang w:val="pt-BR"/>
              </w:rPr>
            </w:pPr>
            <w:bookmarkStart w:id="45" w:name="_Hlk87003446"/>
            <w:r w:rsidRPr="00D8141D">
              <w:rPr>
                <w:rFonts w:eastAsia="Calibri" w:cs="Calibri"/>
                <w:b/>
                <w:lang w:val="pt-BR"/>
              </w:rPr>
              <w:t>Autorização</w:t>
            </w:r>
          </w:p>
        </w:tc>
        <w:tc>
          <w:tcPr>
            <w:tcW w:w="3655" w:type="pct"/>
            <w:shd w:val="clear" w:color="auto" w:fill="auto"/>
          </w:tcPr>
          <w:p w14:paraId="2344A9DC" w14:textId="77777777" w:rsidR="007F04B2" w:rsidRPr="0020727A" w:rsidRDefault="00790184" w:rsidP="007F04B2">
            <w:pPr>
              <w:pStyle w:val="HOMEBRBodyText"/>
              <w:keepLines w:val="0"/>
              <w:widowControl w:val="0"/>
              <w:spacing w:after="140" w:line="290" w:lineRule="auto"/>
              <w:jc w:val="both"/>
              <w:rPr>
                <w:lang w:val="pt-BR"/>
              </w:rPr>
            </w:pPr>
            <w:r w:rsidRPr="0020727A">
              <w:rPr>
                <w:lang w:val="pt-BR"/>
              </w:rPr>
              <w:t xml:space="preserve">A (i) Emissão; (ii) Oferta; e (iii) a celebração da Escritura, serão realizadas com base nas deliberações da RCA da Emissora realizada em </w:t>
            </w:r>
            <w:r w:rsidR="00566A00" w:rsidRPr="00D8141D">
              <w:rPr>
                <w:rFonts w:cs="Calibri"/>
                <w:lang w:val="pt-BR"/>
              </w:rPr>
              <w:t>13</w:t>
            </w:r>
            <w:r w:rsidR="00566A00" w:rsidRPr="0020727A">
              <w:rPr>
                <w:lang w:val="pt-BR"/>
              </w:rPr>
              <w:t xml:space="preserve"> </w:t>
            </w:r>
            <w:r w:rsidRPr="0020727A">
              <w:rPr>
                <w:lang w:val="pt-BR"/>
              </w:rPr>
              <w:t xml:space="preserve">de </w:t>
            </w:r>
            <w:r w:rsidR="00566A00" w:rsidRPr="00D8141D">
              <w:rPr>
                <w:rFonts w:cs="Calibri"/>
                <w:lang w:val="pt-BR"/>
              </w:rPr>
              <w:t>dezembro</w:t>
            </w:r>
            <w:r w:rsidR="00566A00" w:rsidRPr="0020727A">
              <w:rPr>
                <w:lang w:val="pt-BR"/>
              </w:rPr>
              <w:t xml:space="preserve"> </w:t>
            </w:r>
            <w:r w:rsidRPr="0020727A">
              <w:rPr>
                <w:lang w:val="pt-BR"/>
              </w:rPr>
              <w:t>de 2021 (“</w:t>
            </w:r>
            <w:r w:rsidRPr="0020727A">
              <w:rPr>
                <w:u w:val="single"/>
                <w:lang w:val="pt-BR"/>
              </w:rPr>
              <w:t>RCA</w:t>
            </w:r>
            <w:r w:rsidRPr="0020727A">
              <w:rPr>
                <w:lang w:val="pt-BR"/>
              </w:rPr>
              <w:t>”).</w:t>
            </w:r>
          </w:p>
          <w:p w14:paraId="1C35253B" w14:textId="77777777" w:rsidR="00790184" w:rsidRPr="00D8141D" w:rsidRDefault="00790184" w:rsidP="007F04B2">
            <w:pPr>
              <w:pStyle w:val="HOMEBRBodyText"/>
              <w:keepLines w:val="0"/>
              <w:widowControl w:val="0"/>
              <w:spacing w:after="140" w:line="290" w:lineRule="auto"/>
              <w:jc w:val="both"/>
              <w:rPr>
                <w:rFonts w:eastAsia="Calibri" w:cs="Calibri"/>
                <w:lang w:val="pt-BR"/>
              </w:rPr>
            </w:pPr>
            <w:bookmarkStart w:id="46" w:name="_Hlk92976068"/>
            <w:r w:rsidRPr="0020727A">
              <w:rPr>
                <w:lang w:val="pt-BR"/>
              </w:rPr>
              <w:t>Por meio da RCA, a Diretoria da Emissora também foi autorizada a: (i) praticar todos os atos necessários à efetivação das deliberações consubstanciadas na RCA, incluindo a celebração de todos os documentos indispensáveis à concretização da Emissão</w:t>
            </w:r>
            <w:r w:rsidRPr="00D8141D">
              <w:rPr>
                <w:rFonts w:cs="Calibri"/>
                <w:lang w:val="pt-BR"/>
              </w:rPr>
              <w:t xml:space="preserve">, dentre os quais o aditamento a Escritura de Emissão que </w:t>
            </w:r>
            <w:r w:rsidR="00877FC2" w:rsidRPr="00D8141D">
              <w:rPr>
                <w:rFonts w:cs="Calibri"/>
                <w:lang w:val="pt-BR"/>
              </w:rPr>
              <w:t>ratificou</w:t>
            </w:r>
            <w:r w:rsidRPr="00D8141D">
              <w:rPr>
                <w:rFonts w:cs="Calibri"/>
                <w:lang w:val="pt-BR"/>
              </w:rPr>
              <w:t xml:space="preserve"> o resultado do Procedimento de </w:t>
            </w:r>
            <w:r w:rsidRPr="00D8141D">
              <w:rPr>
                <w:rFonts w:cs="Calibri"/>
                <w:i/>
                <w:iCs/>
                <w:lang w:val="pt-BR"/>
              </w:rPr>
              <w:t>Bookbuilding</w:t>
            </w:r>
            <w:r w:rsidRPr="00D8141D">
              <w:rPr>
                <w:rFonts w:cs="Calibri"/>
                <w:lang w:val="pt-BR"/>
              </w:rPr>
              <w:t>, e contempl</w:t>
            </w:r>
            <w:r w:rsidR="00877FC2" w:rsidRPr="00D8141D">
              <w:rPr>
                <w:rFonts w:cs="Calibri"/>
                <w:lang w:val="pt-BR"/>
              </w:rPr>
              <w:t>ou</w:t>
            </w:r>
            <w:r w:rsidRPr="00D8141D">
              <w:rPr>
                <w:rFonts w:cs="Calibri"/>
                <w:lang w:val="pt-BR"/>
              </w:rPr>
              <w:t xml:space="preserve"> o aumento do valor da Oferta mediante a colocação das Debêntures Adicionais; e</w:t>
            </w:r>
            <w:r w:rsidRPr="0020727A">
              <w:rPr>
                <w:lang w:val="pt-BR"/>
              </w:rPr>
              <w:t xml:space="preserve"> (ii) formalizar e efetivar a contratação do Coordenador Líder, do </w:t>
            </w:r>
            <w:r w:rsidRPr="0020727A">
              <w:rPr>
                <w:lang w:val="pt-BR"/>
              </w:rPr>
              <w:lastRenderedPageBreak/>
              <w:t xml:space="preserve">Agente Fiduciário e dos demais prestadores de serviços necessários à implementação da Emissão e da Oferta, tais como Escriturador, </w:t>
            </w:r>
            <w:r w:rsidR="009D09A0">
              <w:rPr>
                <w:lang w:val="pt-BR"/>
              </w:rPr>
              <w:t>Agente de Liquidação</w:t>
            </w:r>
            <w:r w:rsidRPr="0020727A">
              <w:rPr>
                <w:lang w:val="pt-BR"/>
              </w:rPr>
              <w:t>, a B3, dentre outros, podendo, para tanto, negociar e assinar os respectivos instrumentos de contratação e eventuais alterações em aditamentos</w:t>
            </w:r>
            <w:bookmarkEnd w:id="46"/>
            <w:r w:rsidRPr="0020727A">
              <w:rPr>
                <w:lang w:val="pt-BR"/>
              </w:rPr>
              <w:t>.</w:t>
            </w:r>
          </w:p>
        </w:tc>
      </w:tr>
      <w:tr w:rsidR="00A71C9E" w:rsidRPr="0082022E" w14:paraId="03A99C8E" w14:textId="77777777" w:rsidTr="003E13AA">
        <w:tc>
          <w:tcPr>
            <w:tcW w:w="1345" w:type="pct"/>
            <w:shd w:val="clear" w:color="auto" w:fill="auto"/>
          </w:tcPr>
          <w:p w14:paraId="232AB891" w14:textId="77777777" w:rsidR="00A71C9E" w:rsidRPr="00D8141D" w:rsidRDefault="009D09A0" w:rsidP="00A71C9E">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Agente de Liquidação</w:t>
            </w:r>
          </w:p>
        </w:tc>
        <w:tc>
          <w:tcPr>
            <w:tcW w:w="3655" w:type="pct"/>
            <w:shd w:val="clear" w:color="auto" w:fill="auto"/>
          </w:tcPr>
          <w:p w14:paraId="38F755F6" w14:textId="77777777" w:rsidR="00A71C9E" w:rsidRPr="00D8141D" w:rsidRDefault="00A71C9E" w:rsidP="00A71C9E">
            <w:pPr>
              <w:pStyle w:val="HOMEBRBodyText"/>
              <w:keepLines w:val="0"/>
              <w:widowControl w:val="0"/>
              <w:spacing w:after="140" w:line="290" w:lineRule="auto"/>
              <w:jc w:val="both"/>
              <w:rPr>
                <w:rFonts w:cs="Calibri"/>
                <w:lang w:val="pt-BR"/>
              </w:rPr>
            </w:pPr>
            <w:r w:rsidRPr="00D8141D">
              <w:rPr>
                <w:rFonts w:eastAsia="Calibri" w:cs="Calibri"/>
                <w:lang w:val="pt-BR"/>
              </w:rPr>
              <w:t xml:space="preserve">O </w:t>
            </w:r>
            <w:r w:rsidR="009D09A0" w:rsidRPr="00D8141D">
              <w:rPr>
                <w:rFonts w:eastAsia="Calibri" w:cs="Calibri"/>
                <w:lang w:val="pt-BR"/>
              </w:rPr>
              <w:t>agente de liquidação</w:t>
            </w:r>
            <w:r w:rsidRPr="00D8141D">
              <w:rPr>
                <w:rFonts w:eastAsia="Calibri" w:cs="Calibri"/>
                <w:lang w:val="pt-BR"/>
              </w:rPr>
              <w:t xml:space="preserve"> da Emissão </w:t>
            </w:r>
            <w:r w:rsidR="00790184" w:rsidRPr="00D8141D">
              <w:rPr>
                <w:rFonts w:eastAsia="Calibri" w:cs="Calibri"/>
                <w:lang w:val="pt-BR"/>
              </w:rPr>
              <w:t xml:space="preserve">é a </w:t>
            </w:r>
            <w:r w:rsidR="00790184" w:rsidRPr="00D8141D">
              <w:rPr>
                <w:rFonts w:cs="Calibri"/>
                <w:b/>
                <w:lang w:val="pt-BR"/>
              </w:rPr>
              <w:t>VÓRTX DISTRIBUIDORA DE TÍTULOS E VALORES MOBILIÁRIOS LTDA.</w:t>
            </w:r>
            <w:r w:rsidR="00790184" w:rsidRPr="00D8141D">
              <w:rPr>
                <w:rFonts w:cs="Calibri"/>
                <w:lang w:val="pt-BR"/>
              </w:rPr>
              <w:t>, sociedade limitada, com sede na Avenida Brigadeiro Faria Lima, nº 2.277,2º andar, Conjunto 202, na Cidade de Sio Paulo, Estado de Sio Paulo, inscrita no CNPJ/ME sob o nº 22.610.500/0001-88.</w:t>
            </w:r>
          </w:p>
        </w:tc>
      </w:tr>
      <w:tr w:rsidR="003873C8" w:rsidRPr="0082022E" w14:paraId="1D5BB263" w14:textId="77777777" w:rsidTr="003E13AA">
        <w:tc>
          <w:tcPr>
            <w:tcW w:w="1345" w:type="pct"/>
            <w:shd w:val="clear" w:color="auto" w:fill="auto"/>
          </w:tcPr>
          <w:p w14:paraId="1CE7B36D"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Capital Social da Emissora</w:t>
            </w:r>
          </w:p>
        </w:tc>
        <w:tc>
          <w:tcPr>
            <w:tcW w:w="3655" w:type="pct"/>
            <w:shd w:val="clear" w:color="auto" w:fill="auto"/>
          </w:tcPr>
          <w:p w14:paraId="7FDB2D24" w14:textId="77777777" w:rsidR="003220F0" w:rsidRPr="00D8141D" w:rsidRDefault="003220F0" w:rsidP="008D7C7A">
            <w:pPr>
              <w:pStyle w:val="HOMEBRBodyText"/>
              <w:keepLines w:val="0"/>
              <w:widowControl w:val="0"/>
              <w:spacing w:after="140"/>
              <w:jc w:val="both"/>
              <w:rPr>
                <w:rFonts w:cs="Calibri"/>
                <w:lang w:val="pt-BR"/>
              </w:rPr>
            </w:pPr>
            <w:r w:rsidRPr="00D8141D">
              <w:rPr>
                <w:rFonts w:cs="Calibri"/>
                <w:lang w:val="pt-BR"/>
              </w:rPr>
              <w:t>O capital social subscrito e integralizado da Emissora é de R$ 2.681.570.983,27 (dois bilhões, seiscentos e oitenta e um milhões, quinhentos e setenta mil, novecentos e oitenta e três reais e vinte e sete centavos</w:t>
            </w:r>
            <w:r w:rsidR="002B2F78" w:rsidRPr="00D8141D">
              <w:rPr>
                <w:rFonts w:cs="Calibri"/>
                <w:lang w:val="pt-BR"/>
              </w:rPr>
              <w:t>).</w:t>
            </w:r>
            <w:r w:rsidRPr="00D8141D">
              <w:rPr>
                <w:rFonts w:cs="Calibri"/>
                <w:lang w:val="pt-BR"/>
              </w:rPr>
              <w:t xml:space="preserve"> O capital social está dividido em 354.011.329 (trezentas e cinquenta e quarto milhões, onze mil e trezentas e vinte e nove</w:t>
            </w:r>
            <w:r w:rsidR="002B2F78" w:rsidRPr="00D8141D">
              <w:rPr>
                <w:rFonts w:cs="Calibri"/>
                <w:lang w:val="pt-BR"/>
              </w:rPr>
              <w:t>)</w:t>
            </w:r>
            <w:r w:rsidRPr="00D8141D">
              <w:rPr>
                <w:rFonts w:cs="Calibri"/>
                <w:lang w:val="pt-BR"/>
              </w:rPr>
              <w:t xml:space="preserve"> ações ordinárias, todas nominativas, escriturais e sem valor nominal. </w:t>
            </w:r>
          </w:p>
          <w:p w14:paraId="44328F8C" w14:textId="77777777" w:rsidR="00D339B7" w:rsidRDefault="003220F0" w:rsidP="008D7C7A">
            <w:pPr>
              <w:pStyle w:val="HOMEBRBodyText"/>
              <w:keepLines w:val="0"/>
              <w:widowControl w:val="0"/>
              <w:spacing w:after="140"/>
              <w:jc w:val="both"/>
              <w:rPr>
                <w:rFonts w:cs="Calibri"/>
                <w:lang w:val="pt-BR"/>
              </w:rPr>
            </w:pPr>
            <w:r w:rsidRPr="00D8141D">
              <w:rPr>
                <w:rFonts w:cs="Calibri"/>
                <w:lang w:val="pt-BR"/>
              </w:rPr>
              <w:t>A Emissora está autorizada a aumentar o capital social por deliberação do Conselho de Administração, independentemente de reforma estatutária, até o limite de 372.000.000 (trezentas e setenta e duas milhões</w:t>
            </w:r>
            <w:r w:rsidR="002B2F78" w:rsidRPr="00D8141D">
              <w:rPr>
                <w:rFonts w:cs="Calibri"/>
                <w:lang w:val="pt-BR"/>
              </w:rPr>
              <w:t>)</w:t>
            </w:r>
            <w:r w:rsidRPr="00D8141D">
              <w:rPr>
                <w:rFonts w:cs="Calibri"/>
                <w:lang w:val="pt-BR"/>
              </w:rPr>
              <w:t xml:space="preserve"> ações.</w:t>
            </w:r>
          </w:p>
          <w:p w14:paraId="7397B084" w14:textId="4028DFAC" w:rsidR="003873C8" w:rsidRPr="00D8141D" w:rsidRDefault="003873C8" w:rsidP="008D7C7A">
            <w:pPr>
              <w:pStyle w:val="HOMEBRBodyText"/>
              <w:keepLines w:val="0"/>
              <w:widowControl w:val="0"/>
              <w:spacing w:after="140"/>
              <w:jc w:val="both"/>
              <w:rPr>
                <w:rFonts w:eastAsia="Calibri" w:cs="Calibri"/>
                <w:lang w:val="pt-BR"/>
              </w:rPr>
            </w:pPr>
            <w:r w:rsidRPr="00D8141D">
              <w:rPr>
                <w:rFonts w:cs="Calibri"/>
                <w:b/>
                <w:lang w:val="pt-BR"/>
              </w:rPr>
              <w:t xml:space="preserve">Para mais informações acerca do Capital Social da Emissora, veja a seção “Informações Relativas à Emissão, à Oferta e às Debêntures – Composição do Capital Social da Emissora”, na página </w:t>
            </w:r>
            <w:r w:rsidR="00BB5ECD" w:rsidRPr="00D8141D">
              <w:rPr>
                <w:rFonts w:cs="Calibri"/>
                <w:b/>
                <w:noProof/>
                <w:lang w:val="pt-BR"/>
              </w:rPr>
              <w:fldChar w:fldCharType="begin"/>
            </w:r>
            <w:r w:rsidR="00BB5ECD" w:rsidRPr="00D8141D">
              <w:rPr>
                <w:rFonts w:cs="Calibri"/>
                <w:b/>
                <w:lang w:val="pt-BR"/>
              </w:rPr>
              <w:instrText xml:space="preserve"> PAGEREF _Ref434935674 \h </w:instrText>
            </w:r>
            <w:r w:rsidR="00BB5ECD" w:rsidRPr="00D8141D">
              <w:rPr>
                <w:rFonts w:cs="Calibri"/>
                <w:b/>
                <w:noProof/>
                <w:lang w:val="pt-BR"/>
              </w:rPr>
            </w:r>
            <w:r w:rsidR="00BB5ECD" w:rsidRPr="00D8141D">
              <w:rPr>
                <w:rFonts w:cs="Calibri"/>
                <w:b/>
                <w:noProof/>
                <w:lang w:val="pt-BR"/>
              </w:rPr>
              <w:fldChar w:fldCharType="separate"/>
            </w:r>
            <w:r w:rsidR="001166EA">
              <w:rPr>
                <w:rFonts w:cs="Calibri"/>
                <w:b/>
                <w:noProof/>
                <w:lang w:val="pt-BR"/>
              </w:rPr>
              <w:t>67</w:t>
            </w:r>
            <w:r w:rsidR="00BB5ECD" w:rsidRPr="00D8141D">
              <w:rPr>
                <w:rFonts w:cs="Calibri"/>
                <w:b/>
                <w:noProof/>
                <w:lang w:val="pt-BR"/>
              </w:rPr>
              <w:fldChar w:fldCharType="end"/>
            </w:r>
            <w:r w:rsidRPr="00D8141D">
              <w:rPr>
                <w:rFonts w:eastAsia="Calibri" w:cs="Calibri"/>
                <w:b/>
                <w:lang w:val="pt-BR"/>
              </w:rPr>
              <w:t xml:space="preserve"> deste Prospecto.</w:t>
            </w:r>
          </w:p>
        </w:tc>
      </w:tr>
      <w:tr w:rsidR="003873C8" w:rsidRPr="0082022E" w14:paraId="60859858" w14:textId="77777777" w:rsidTr="003E13AA">
        <w:tc>
          <w:tcPr>
            <w:tcW w:w="1345" w:type="pct"/>
            <w:shd w:val="clear" w:color="auto" w:fill="auto"/>
          </w:tcPr>
          <w:p w14:paraId="61D7524F"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Classificação de Risco (</w:t>
            </w:r>
            <w:r w:rsidRPr="00D8141D">
              <w:rPr>
                <w:rFonts w:eastAsia="Calibri" w:cs="Calibri"/>
                <w:b/>
                <w:i/>
                <w:lang w:val="pt-BR"/>
              </w:rPr>
              <w:t>Rating</w:t>
            </w:r>
            <w:r w:rsidRPr="00D8141D">
              <w:rPr>
                <w:rFonts w:eastAsia="Calibri" w:cs="Calibri"/>
                <w:b/>
                <w:lang w:val="pt-BR"/>
              </w:rPr>
              <w:t>)</w:t>
            </w:r>
          </w:p>
        </w:tc>
        <w:tc>
          <w:tcPr>
            <w:tcW w:w="3655" w:type="pct"/>
            <w:shd w:val="clear" w:color="auto" w:fill="auto"/>
          </w:tcPr>
          <w:p w14:paraId="1C7D9271" w14:textId="77777777" w:rsidR="003873C8" w:rsidRPr="00C13C86" w:rsidRDefault="003873C8" w:rsidP="00566177">
            <w:pPr>
              <w:pStyle w:val="HOMEBRBodyText"/>
              <w:keepLines w:val="0"/>
              <w:spacing w:after="140" w:line="290" w:lineRule="auto"/>
              <w:jc w:val="both"/>
              <w:rPr>
                <w:rFonts w:cs="Calibri"/>
                <w:spacing w:val="4"/>
                <w:lang w:val="pt-BR"/>
              </w:rPr>
            </w:pPr>
            <w:r w:rsidRPr="00C13C86">
              <w:rPr>
                <w:rFonts w:cs="Calibri"/>
                <w:spacing w:val="4"/>
                <w:lang w:val="pt-BR"/>
              </w:rPr>
              <w:t xml:space="preserve">Foi contratada como agência de classificação de risco das Debêntures a Agência de Classificação de Risco, a qual atribuiu o rating </w:t>
            </w:r>
            <w:r w:rsidR="00DB205D" w:rsidRPr="00C13C86">
              <w:rPr>
                <w:rFonts w:cs="Calibri"/>
                <w:spacing w:val="4"/>
                <w:lang w:val="pt-BR"/>
              </w:rPr>
              <w:t>“</w:t>
            </w:r>
            <w:r w:rsidR="00DB205D" w:rsidRPr="00C13C86">
              <w:rPr>
                <w:rFonts w:eastAsia="Calibri" w:cs="Calibri"/>
                <w:spacing w:val="4"/>
                <w:lang w:val="pt-BR"/>
              </w:rPr>
              <w:t>brAAA</w:t>
            </w:r>
            <w:r w:rsidR="00DB205D" w:rsidRPr="00C13C86">
              <w:rPr>
                <w:rFonts w:cs="Calibri"/>
                <w:spacing w:val="4"/>
                <w:lang w:val="pt-BR"/>
              </w:rPr>
              <w:t>”</w:t>
            </w:r>
            <w:r w:rsidRPr="00C13C86">
              <w:rPr>
                <w:rFonts w:cs="Calibri"/>
                <w:spacing w:val="4"/>
                <w:lang w:val="pt-BR"/>
              </w:rPr>
              <w:t xml:space="preserve"> para as Debêntures. Durante o prazo de vigência das Debêntures, a Emissora deverá manter contratada a Agência de Classificação de Risco para a atualização da classificação de risco (</w:t>
            </w:r>
            <w:r w:rsidRPr="00C13C86">
              <w:rPr>
                <w:rFonts w:cs="Calibri"/>
                <w:i/>
                <w:spacing w:val="4"/>
                <w:lang w:val="pt-BR"/>
              </w:rPr>
              <w:t>rating</w:t>
            </w:r>
            <w:r w:rsidRPr="00C13C86">
              <w:rPr>
                <w:rFonts w:cs="Calibri"/>
                <w:spacing w:val="4"/>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C13C86">
              <w:rPr>
                <w:rFonts w:cs="Calibri"/>
                <w:i/>
                <w:spacing w:val="4"/>
                <w:lang w:val="pt-BR"/>
              </w:rPr>
              <w:t>rating</w:t>
            </w:r>
            <w:r w:rsidRPr="00C13C86">
              <w:rPr>
                <w:rFonts w:cs="Calibri"/>
                <w:spacing w:val="4"/>
                <w:lang w:val="pt-BR"/>
              </w:rPr>
              <w:t xml:space="preserve">, a Emissora poderá substituir a Agência de Classificação de Risco, sem a necessidade de aprovação dos Debenturistas, desde que a agência de classificação de risco substituta seja a </w:t>
            </w:r>
            <w:r w:rsidR="00AF59A3" w:rsidRPr="00C13C86">
              <w:rPr>
                <w:rFonts w:eastAsia="Calibri" w:cs="Calibri"/>
                <w:spacing w:val="4"/>
                <w:lang w:val="pt-BR"/>
              </w:rPr>
              <w:t xml:space="preserve">Standard </w:t>
            </w:r>
            <w:r w:rsidR="00AF59A3" w:rsidRPr="00C13C86">
              <w:rPr>
                <w:rFonts w:eastAsia="Calibri" w:cs="Calibri"/>
                <w:spacing w:val="4"/>
                <w:lang w:val="pt-BR"/>
              </w:rPr>
              <w:lastRenderedPageBreak/>
              <w:t>&amp; Poor’s Ratings do Brasil Ltda., Fitch Ratings Brasil Ltda ou a Moody’s América Latina Ltda</w:t>
            </w:r>
            <w:r w:rsidR="00AF59A3" w:rsidRPr="00C13C86">
              <w:rPr>
                <w:rFonts w:cs="Calibri"/>
                <w:spacing w:val="4"/>
                <w:lang w:val="pt-BR"/>
              </w:rPr>
              <w:t>.</w:t>
            </w:r>
          </w:p>
          <w:p w14:paraId="1867C88D" w14:textId="20CC8223" w:rsidR="003873C8" w:rsidRPr="00D8141D" w:rsidRDefault="003873C8" w:rsidP="002E2178">
            <w:pPr>
              <w:pStyle w:val="HOMEBRBodyText"/>
              <w:widowControl w:val="0"/>
              <w:spacing w:after="140"/>
              <w:jc w:val="both"/>
              <w:rPr>
                <w:rFonts w:cs="Calibri"/>
                <w:lang w:val="pt-BR"/>
              </w:rPr>
            </w:pPr>
            <w:r w:rsidRPr="00D8141D">
              <w:rPr>
                <w:rFonts w:eastAsia="Calibri" w:cs="Calibri"/>
                <w:b/>
                <w:lang w:val="pt-BR"/>
              </w:rPr>
              <w:t xml:space="preserve">Para mais informações sobre a classificação de risco das Debêntures, veja a Súmula de Classificação de Risco, constante do Anexo E deste Prospecto, e a seção “Fatores de Risco Relacionados à Oferta e às Debêntures – </w:t>
            </w:r>
            <w:r w:rsidRPr="00D8141D">
              <w:rPr>
                <w:rFonts w:eastAsia="Times New Roman" w:cs="Calibri"/>
                <w:b/>
                <w:lang w:val="pt-BR" w:eastAsia="pt-BR"/>
              </w:rPr>
              <w:t>Eventual rebaixamento na classificação de risco atribuída às Debêntures e/ou à Emissora poderá dificultar a captação de recursos pela Emissora, bem como acarretar redução de liquidez das Debêntures para negociação no mercado secundário e impacto negativo relevante na Emissora.</w:t>
            </w:r>
            <w:r w:rsidRPr="00D8141D">
              <w:rPr>
                <w:rFonts w:eastAsia="Calibri" w:cs="Calibri"/>
                <w:b/>
                <w:lang w:val="pt-BR"/>
              </w:rPr>
              <w:t xml:space="preserve">”, na página </w:t>
            </w:r>
            <w:r w:rsidR="008E63D3" w:rsidRPr="00D8141D">
              <w:rPr>
                <w:rFonts w:eastAsia="Calibri" w:cs="Calibri"/>
                <w:b/>
                <w:noProof/>
                <w:lang w:val="pt-BR"/>
              </w:rPr>
              <w:fldChar w:fldCharType="begin"/>
            </w:r>
            <w:r w:rsidR="008E63D3" w:rsidRPr="00D8141D">
              <w:rPr>
                <w:rFonts w:eastAsia="Calibri" w:cs="Calibri"/>
                <w:b/>
                <w:lang w:val="pt-BR"/>
              </w:rPr>
              <w:instrText xml:space="preserve"> PAGEREF _Ref90057918 \h </w:instrText>
            </w:r>
            <w:r w:rsidR="008E63D3" w:rsidRPr="00D8141D">
              <w:rPr>
                <w:rFonts w:eastAsia="Calibri" w:cs="Calibri"/>
                <w:b/>
                <w:noProof/>
                <w:lang w:val="pt-BR"/>
              </w:rPr>
            </w:r>
            <w:r w:rsidR="008E63D3" w:rsidRPr="00D8141D">
              <w:rPr>
                <w:rFonts w:eastAsia="Calibri" w:cs="Calibri"/>
                <w:b/>
                <w:noProof/>
                <w:lang w:val="pt-BR"/>
              </w:rPr>
              <w:fldChar w:fldCharType="separate"/>
            </w:r>
            <w:r w:rsidR="001166EA">
              <w:rPr>
                <w:rFonts w:eastAsia="Calibri" w:cs="Calibri"/>
                <w:b/>
                <w:noProof/>
                <w:lang w:val="pt-BR"/>
              </w:rPr>
              <w:t>133</w:t>
            </w:r>
            <w:r w:rsidR="008E63D3" w:rsidRPr="00D8141D">
              <w:rPr>
                <w:rFonts w:eastAsia="Calibri" w:cs="Calibri"/>
                <w:b/>
                <w:noProof/>
                <w:lang w:val="pt-BR"/>
              </w:rPr>
              <w:fldChar w:fldCharType="end"/>
            </w:r>
            <w:r w:rsidRPr="00D8141D">
              <w:rPr>
                <w:rFonts w:eastAsia="Calibri" w:cs="Calibri"/>
                <w:b/>
                <w:lang w:val="pt-BR"/>
              </w:rPr>
              <w:t xml:space="preserve"> deste Prospecto.</w:t>
            </w:r>
          </w:p>
        </w:tc>
      </w:tr>
      <w:tr w:rsidR="003873C8" w:rsidRPr="00D8141D" w14:paraId="6EBD1DEA" w14:textId="77777777" w:rsidTr="003E13AA">
        <w:tc>
          <w:tcPr>
            <w:tcW w:w="1345" w:type="pct"/>
            <w:shd w:val="clear" w:color="auto" w:fill="auto"/>
          </w:tcPr>
          <w:p w14:paraId="003260FB"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 xml:space="preserve">Código ISIN das Debêntures </w:t>
            </w:r>
            <w:r w:rsidR="0061430C" w:rsidRPr="00D8141D">
              <w:rPr>
                <w:rFonts w:eastAsia="Calibri" w:cs="Calibri"/>
                <w:b/>
                <w:lang w:val="pt-BR"/>
              </w:rPr>
              <w:t>da Primeira Série</w:t>
            </w:r>
          </w:p>
        </w:tc>
        <w:tc>
          <w:tcPr>
            <w:tcW w:w="3655" w:type="pct"/>
            <w:shd w:val="clear" w:color="auto" w:fill="auto"/>
          </w:tcPr>
          <w:p w14:paraId="27BF3E13" w14:textId="77777777" w:rsidR="003873C8" w:rsidRPr="00D8141D" w:rsidRDefault="007C2509" w:rsidP="003873C8">
            <w:pPr>
              <w:pStyle w:val="HOMEBRBodyText"/>
              <w:widowControl w:val="0"/>
              <w:spacing w:after="140" w:line="290" w:lineRule="auto"/>
              <w:jc w:val="both"/>
              <w:rPr>
                <w:rFonts w:cs="Calibri"/>
                <w:bCs/>
                <w:lang w:val="pt-BR"/>
              </w:rPr>
            </w:pPr>
            <w:r w:rsidRPr="0020727A">
              <w:rPr>
                <w:rFonts w:cs="Calibri"/>
                <w:bCs/>
                <w:lang w:val="pt-BR"/>
              </w:rPr>
              <w:t>BRSMTODBS013</w:t>
            </w:r>
            <w:r w:rsidR="003873C8" w:rsidRPr="00D8141D">
              <w:rPr>
                <w:rFonts w:cs="Calibri"/>
                <w:bCs/>
                <w:lang w:val="pt-BR"/>
              </w:rPr>
              <w:t>.</w:t>
            </w:r>
          </w:p>
        </w:tc>
      </w:tr>
      <w:tr w:rsidR="0061430C" w:rsidRPr="00D8141D" w14:paraId="18E509BB" w14:textId="77777777" w:rsidTr="003E13AA">
        <w:tc>
          <w:tcPr>
            <w:tcW w:w="1345" w:type="pct"/>
            <w:shd w:val="clear" w:color="auto" w:fill="auto"/>
          </w:tcPr>
          <w:p w14:paraId="68319F61" w14:textId="77777777" w:rsidR="0061430C" w:rsidRPr="00D8141D" w:rsidRDefault="0061430C"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Código ISIN das Debêntures da Segunda Série</w:t>
            </w:r>
          </w:p>
        </w:tc>
        <w:tc>
          <w:tcPr>
            <w:tcW w:w="3655" w:type="pct"/>
            <w:shd w:val="clear" w:color="auto" w:fill="auto"/>
          </w:tcPr>
          <w:p w14:paraId="52BC325D" w14:textId="77777777" w:rsidR="0061430C" w:rsidRPr="00D8141D" w:rsidRDefault="007C2509" w:rsidP="003873C8">
            <w:pPr>
              <w:pStyle w:val="HOMEBRBodyText"/>
              <w:widowControl w:val="0"/>
              <w:spacing w:after="140" w:line="290" w:lineRule="auto"/>
              <w:jc w:val="both"/>
              <w:rPr>
                <w:rFonts w:eastAsia="Calibri" w:cs="Calibri"/>
                <w:bCs/>
                <w:lang w:val="pt-BR"/>
              </w:rPr>
            </w:pPr>
            <w:r w:rsidRPr="0020727A">
              <w:rPr>
                <w:rFonts w:cs="Calibri"/>
                <w:bCs/>
                <w:lang w:val="pt-BR"/>
              </w:rPr>
              <w:t>BRSMTODBS021</w:t>
            </w:r>
            <w:r w:rsidRPr="00D8141D">
              <w:rPr>
                <w:rFonts w:eastAsia="Calibri" w:cs="Calibri"/>
                <w:bCs/>
                <w:lang w:val="pt-BR"/>
              </w:rPr>
              <w:t>.</w:t>
            </w:r>
          </w:p>
        </w:tc>
      </w:tr>
      <w:tr w:rsidR="003873C8" w:rsidRPr="0082022E" w14:paraId="072A4084" w14:textId="77777777" w:rsidTr="003E13AA">
        <w:tc>
          <w:tcPr>
            <w:tcW w:w="1345" w:type="pct"/>
            <w:shd w:val="clear" w:color="auto" w:fill="auto"/>
          </w:tcPr>
          <w:p w14:paraId="60F8FB3E" w14:textId="77777777" w:rsidR="003873C8" w:rsidRPr="00D8141D" w:rsidRDefault="006F1FAD" w:rsidP="003873C8">
            <w:pPr>
              <w:pStyle w:val="HOMEBRBodyText"/>
              <w:keepLines w:val="0"/>
              <w:widowControl w:val="0"/>
              <w:spacing w:after="140" w:line="290" w:lineRule="auto"/>
              <w:rPr>
                <w:rFonts w:eastAsia="Calibri" w:cs="Calibri"/>
                <w:b/>
                <w:lang w:val="pt-BR"/>
              </w:rPr>
            </w:pPr>
            <w:r w:rsidRPr="00566CD3">
              <w:rPr>
                <w:lang w:val="pt-BR"/>
              </w:rPr>
              <w:br w:type="page"/>
            </w:r>
            <w:r w:rsidR="003873C8" w:rsidRPr="00D8141D">
              <w:rPr>
                <w:rFonts w:eastAsia="Calibri" w:cs="Calibri"/>
                <w:b/>
                <w:lang w:val="pt-BR"/>
              </w:rPr>
              <w:t>Colocação e Procedimento de Distribuição</w:t>
            </w:r>
          </w:p>
        </w:tc>
        <w:tc>
          <w:tcPr>
            <w:tcW w:w="3655" w:type="pct"/>
            <w:shd w:val="clear" w:color="auto" w:fill="auto"/>
          </w:tcPr>
          <w:p w14:paraId="4ACB698A" w14:textId="77777777" w:rsidR="003873C8" w:rsidRPr="00D8141D" w:rsidRDefault="0061430C" w:rsidP="003873C8">
            <w:pPr>
              <w:pStyle w:val="HOMEBRBodyText"/>
              <w:keepLines w:val="0"/>
              <w:widowControl w:val="0"/>
              <w:spacing w:after="140" w:line="290" w:lineRule="auto"/>
              <w:jc w:val="both"/>
              <w:rPr>
                <w:rFonts w:cs="Calibri"/>
                <w:lang w:val="pt-BR"/>
              </w:rPr>
            </w:pPr>
            <w:r w:rsidRPr="00566177">
              <w:rPr>
                <w:lang w:val="pt-BR"/>
              </w:rPr>
              <w:t>As Debêntures serão objeto de oferta pública de distribuição, nos termos da Instrução CVM </w:t>
            </w:r>
            <w:r w:rsidRPr="00D8141D">
              <w:rPr>
                <w:rFonts w:cs="Calibri"/>
                <w:lang w:val="pt-BR"/>
              </w:rPr>
              <w:t>400, sob regime de garantia firme de colocação (exceto pelas Debêntures Adicionais, as quais serão colocadas</w:t>
            </w:r>
            <w:r w:rsidRPr="00566177">
              <w:rPr>
                <w:lang w:val="pt-BR"/>
              </w:rPr>
              <w:t xml:space="preserve"> sob o regime de </w:t>
            </w:r>
            <w:r w:rsidRPr="00D8141D">
              <w:rPr>
                <w:rFonts w:cs="Calibri"/>
                <w:lang w:val="pt-BR"/>
              </w:rPr>
              <w:t>melhores esforços</w:t>
            </w:r>
            <w:r w:rsidRPr="00566177">
              <w:rPr>
                <w:lang w:val="pt-BR"/>
              </w:rPr>
              <w:t xml:space="preserve"> de colocação</w:t>
            </w:r>
            <w:r w:rsidRPr="00D8141D">
              <w:rPr>
                <w:rFonts w:cs="Calibri"/>
                <w:lang w:val="pt-BR"/>
              </w:rPr>
              <w:t>),</w:t>
            </w:r>
            <w:r w:rsidRPr="00566177">
              <w:rPr>
                <w:lang w:val="pt-BR"/>
              </w:rPr>
              <w:t xml:space="preserve"> para a totalidade das Debêntures, nos termos do Contrato de Distribuição</w:t>
            </w:r>
            <w:r w:rsidR="00C02CC2">
              <w:rPr>
                <w:lang w:val="pt-BR"/>
              </w:rPr>
              <w:t xml:space="preserve"> e do </w:t>
            </w:r>
            <w:r w:rsidR="00C02CC2" w:rsidRPr="00C02CC2">
              <w:rPr>
                <w:lang w:val="pt-BR"/>
              </w:rPr>
              <w:t>Primeiro Aditamento ao Contrato de Distribuição</w:t>
            </w:r>
            <w:r w:rsidRPr="00566177">
              <w:rPr>
                <w:lang w:val="pt-BR"/>
              </w:rPr>
              <w:t xml:space="preserve">, com a intermediação do Coordenador Líder e dos Participantes Especiais, </w:t>
            </w:r>
            <w:r w:rsidRPr="00D8141D">
              <w:rPr>
                <w:rFonts w:cs="Calibri"/>
                <w:lang w:val="pt-BR"/>
              </w:rPr>
              <w:t>observado o procedimento previsto no parágrafo 3º do artigo 33 da Instrução CVM 400.</w:t>
            </w:r>
          </w:p>
          <w:p w14:paraId="789CC22C" w14:textId="77777777" w:rsidR="0061430C" w:rsidRPr="00D8141D" w:rsidRDefault="0061430C" w:rsidP="003873C8">
            <w:pPr>
              <w:pStyle w:val="HOMEBRBodyText"/>
              <w:keepLines w:val="0"/>
              <w:widowControl w:val="0"/>
              <w:spacing w:after="140" w:line="290" w:lineRule="auto"/>
              <w:jc w:val="both"/>
              <w:rPr>
                <w:rFonts w:cs="Calibri"/>
                <w:spacing w:val="-4"/>
                <w:lang w:val="pt-BR"/>
              </w:rPr>
            </w:pPr>
            <w:r w:rsidRPr="00D8141D">
              <w:rPr>
                <w:rFonts w:cs="Calibri"/>
                <w:lang w:val="pt-BR"/>
              </w:rPr>
              <w:t>Os termos e condições do Plano de Distribuição seguem descritos no Contrato de Distribuição</w:t>
            </w:r>
            <w:r w:rsidR="00C02CC2" w:rsidRPr="00D8141D">
              <w:rPr>
                <w:rFonts w:cs="Calibri"/>
                <w:lang w:val="pt-BR"/>
              </w:rPr>
              <w:t>, no Primeiro Aditamento ao Contrato de Distribuição</w:t>
            </w:r>
            <w:r w:rsidRPr="00D8141D">
              <w:rPr>
                <w:rFonts w:cs="Calibri"/>
                <w:lang w:val="pt-BR"/>
              </w:rPr>
              <w:t xml:space="preserve"> e nos demais documentos da Oferta. A Oferta não contará com esforços de colocação no exterior.</w:t>
            </w:r>
          </w:p>
          <w:p w14:paraId="30D21988" w14:textId="593E755D" w:rsidR="003873C8" w:rsidRPr="00D8141D" w:rsidRDefault="003873C8" w:rsidP="003873C8">
            <w:pPr>
              <w:pStyle w:val="HOMEBRBodyText"/>
              <w:widowControl w:val="0"/>
              <w:spacing w:after="140" w:line="290" w:lineRule="auto"/>
              <w:jc w:val="both"/>
              <w:rPr>
                <w:rFonts w:eastAsia="Calibri" w:cs="Calibri"/>
                <w:lang w:val="pt-BR"/>
              </w:rPr>
            </w:pPr>
            <w:r w:rsidRPr="00D8141D">
              <w:rPr>
                <w:rFonts w:cs="Calibri"/>
                <w:b/>
                <w:spacing w:val="-4"/>
                <w:lang w:val="pt-BR"/>
              </w:rPr>
              <w:t xml:space="preserve">Para mais informações, ver seção “Informações Relativas à Emissão, à Oferta e às Debêntures – Contrato de Distribuição – Regime de Colocação” na página </w:t>
            </w:r>
            <w:r w:rsidR="0063390C" w:rsidRPr="00D8141D">
              <w:rPr>
                <w:rFonts w:cs="Calibri"/>
                <w:b/>
                <w:noProof/>
                <w:spacing w:val="-4"/>
                <w:lang w:val="pt-BR"/>
              </w:rPr>
              <w:fldChar w:fldCharType="begin"/>
            </w:r>
            <w:r w:rsidR="0063390C" w:rsidRPr="00D8141D">
              <w:rPr>
                <w:rFonts w:cs="Calibri"/>
                <w:b/>
                <w:spacing w:val="-4"/>
                <w:lang w:val="pt-BR"/>
              </w:rPr>
              <w:instrText xml:space="preserve"> PAGEREF _Ref434934462 \h </w:instrText>
            </w:r>
            <w:r w:rsidR="0063390C" w:rsidRPr="00D8141D">
              <w:rPr>
                <w:rFonts w:cs="Calibri"/>
                <w:b/>
                <w:noProof/>
                <w:spacing w:val="-4"/>
                <w:lang w:val="pt-BR"/>
              </w:rPr>
            </w:r>
            <w:r w:rsidR="0063390C" w:rsidRPr="00D8141D">
              <w:rPr>
                <w:rFonts w:cs="Calibri"/>
                <w:b/>
                <w:noProof/>
                <w:spacing w:val="-4"/>
                <w:lang w:val="pt-BR"/>
              </w:rPr>
              <w:fldChar w:fldCharType="separate"/>
            </w:r>
            <w:r w:rsidR="001166EA">
              <w:rPr>
                <w:rFonts w:cs="Calibri"/>
                <w:b/>
                <w:noProof/>
                <w:spacing w:val="-4"/>
                <w:lang w:val="pt-BR"/>
              </w:rPr>
              <w:t>113</w:t>
            </w:r>
            <w:r w:rsidR="0063390C" w:rsidRPr="00D8141D">
              <w:rPr>
                <w:rFonts w:cs="Calibri"/>
                <w:b/>
                <w:noProof/>
                <w:spacing w:val="-4"/>
                <w:lang w:val="pt-BR"/>
              </w:rPr>
              <w:fldChar w:fldCharType="end"/>
            </w:r>
            <w:r w:rsidRPr="00D8141D">
              <w:rPr>
                <w:rFonts w:cs="Calibri"/>
                <w:b/>
                <w:spacing w:val="-4"/>
                <w:lang w:val="pt-BR"/>
              </w:rPr>
              <w:t xml:space="preserve"> deste Prospecto.</w:t>
            </w:r>
          </w:p>
        </w:tc>
      </w:tr>
    </w:tbl>
    <w:p w14:paraId="6DFB18A8" w14:textId="77777777" w:rsidR="00D339B7" w:rsidRDefault="00D339B7">
      <w:r>
        <w:br w:type="page"/>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85"/>
        <w:gridCol w:w="6210"/>
      </w:tblGrid>
      <w:tr w:rsidR="003873C8" w:rsidRPr="0082022E" w14:paraId="1F9B5F84" w14:textId="77777777" w:rsidTr="003E13AA">
        <w:tc>
          <w:tcPr>
            <w:tcW w:w="1345" w:type="pct"/>
            <w:shd w:val="clear" w:color="auto" w:fill="auto"/>
          </w:tcPr>
          <w:p w14:paraId="578A344C" w14:textId="60A9D271"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Conversibilidade</w:t>
            </w:r>
          </w:p>
        </w:tc>
        <w:tc>
          <w:tcPr>
            <w:tcW w:w="3655" w:type="pct"/>
            <w:shd w:val="clear" w:color="auto" w:fill="auto"/>
          </w:tcPr>
          <w:p w14:paraId="6C053A52" w14:textId="77777777" w:rsidR="003873C8" w:rsidRPr="00D8141D" w:rsidRDefault="003873C8" w:rsidP="00520C10">
            <w:pPr>
              <w:pStyle w:val="HOMEBRBodyText"/>
              <w:keepLines w:val="0"/>
              <w:widowControl w:val="0"/>
              <w:spacing w:after="140" w:line="290" w:lineRule="auto"/>
              <w:jc w:val="both"/>
              <w:rPr>
                <w:rFonts w:eastAsia="Calibri" w:cs="Calibri"/>
                <w:lang w:val="pt-BR"/>
              </w:rPr>
            </w:pPr>
            <w:r w:rsidRPr="00D8141D">
              <w:rPr>
                <w:rFonts w:cs="Calibri"/>
                <w:lang w:val="pt-BR"/>
              </w:rPr>
              <w:t>As Debêntures não serão conversíveis em ações de emissão da Emissora.</w:t>
            </w:r>
          </w:p>
        </w:tc>
      </w:tr>
      <w:tr w:rsidR="007F04B2" w:rsidRPr="0082022E" w14:paraId="05FE04E0" w14:textId="77777777" w:rsidTr="003E13AA">
        <w:tc>
          <w:tcPr>
            <w:tcW w:w="1345" w:type="pct"/>
            <w:shd w:val="clear" w:color="auto" w:fill="auto"/>
          </w:tcPr>
          <w:p w14:paraId="26AC0B05" w14:textId="77777777" w:rsidR="007F04B2" w:rsidRPr="00D8141D" w:rsidRDefault="007F04B2"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t>Coordenador Líder</w:t>
            </w:r>
          </w:p>
        </w:tc>
        <w:tc>
          <w:tcPr>
            <w:tcW w:w="3655" w:type="pct"/>
            <w:shd w:val="clear" w:color="auto" w:fill="auto"/>
          </w:tcPr>
          <w:p w14:paraId="312F7DE8" w14:textId="77777777" w:rsidR="007F04B2" w:rsidRPr="00D8141D" w:rsidRDefault="007F04B2" w:rsidP="00520C10">
            <w:pPr>
              <w:pStyle w:val="HOMEBRBodyText"/>
              <w:keepLines w:val="0"/>
              <w:widowControl w:val="0"/>
              <w:spacing w:after="140" w:line="290" w:lineRule="auto"/>
              <w:jc w:val="both"/>
              <w:rPr>
                <w:rFonts w:eastAsia="Calibri" w:cs="Calibri"/>
                <w:spacing w:val="-6"/>
                <w:lang w:val="pt-BR"/>
              </w:rPr>
            </w:pPr>
            <w:r w:rsidRPr="00D8141D">
              <w:rPr>
                <w:rFonts w:eastAsia="Calibri" w:cs="Calibri"/>
                <w:spacing w:val="-6"/>
                <w:lang w:val="pt-BR"/>
              </w:rPr>
              <w:t>XP Investimentos, Corretora de Câmbio, Títulos e Valores Mobiliários S.A.</w:t>
            </w:r>
          </w:p>
        </w:tc>
      </w:tr>
      <w:tr w:rsidR="003873C8" w:rsidRPr="0082022E" w14:paraId="594F3132" w14:textId="77777777" w:rsidTr="003E13AA">
        <w:tc>
          <w:tcPr>
            <w:tcW w:w="1345" w:type="pct"/>
            <w:shd w:val="clear" w:color="auto" w:fill="auto"/>
          </w:tcPr>
          <w:p w14:paraId="7D0DC5CF" w14:textId="77777777"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t>Cronograma Estimado das Etapas da Oferta</w:t>
            </w:r>
          </w:p>
        </w:tc>
        <w:tc>
          <w:tcPr>
            <w:tcW w:w="3655" w:type="pct"/>
            <w:shd w:val="clear" w:color="auto" w:fill="auto"/>
          </w:tcPr>
          <w:p w14:paraId="146A9E7F" w14:textId="6748EBFC" w:rsidR="003873C8" w:rsidRPr="00D8141D" w:rsidRDefault="003873C8" w:rsidP="008D7C7A">
            <w:pPr>
              <w:pStyle w:val="HOMEBRBodyText"/>
              <w:keepLines w:val="0"/>
              <w:widowControl w:val="0"/>
              <w:spacing w:after="140"/>
              <w:jc w:val="both"/>
              <w:rPr>
                <w:rFonts w:eastAsia="Calibri" w:cs="Calibri"/>
                <w:lang w:val="pt-BR"/>
              </w:rPr>
            </w:pPr>
            <w:r w:rsidRPr="00D8141D">
              <w:rPr>
                <w:rFonts w:cs="Calibri"/>
                <w:lang w:val="pt-BR"/>
              </w:rPr>
              <w:t xml:space="preserve">Para informações acerca dos principais eventos e datas relacionados à Oferta, veja a seção “Cronograma Estimado das Etapas da Oferta” </w:t>
            </w:r>
            <w:r w:rsidRPr="00D8141D">
              <w:rPr>
                <w:rFonts w:eastAsia="Calibri" w:cs="Calibri"/>
                <w:lang w:val="pt-BR"/>
              </w:rPr>
              <w:t xml:space="preserve">na página </w:t>
            </w:r>
            <w:r w:rsidR="008E63D3" w:rsidRPr="00D8141D">
              <w:rPr>
                <w:rFonts w:eastAsia="Calibri" w:cs="Calibri"/>
                <w:lang w:val="pt-BR"/>
              </w:rPr>
              <w:fldChar w:fldCharType="begin"/>
            </w:r>
            <w:r w:rsidR="008E63D3" w:rsidRPr="00D8141D">
              <w:rPr>
                <w:rFonts w:eastAsia="Calibri" w:cs="Calibri"/>
                <w:lang w:val="pt-BR"/>
              </w:rPr>
              <w:instrText xml:space="preserve"> PAGEREF _Ref90057969 \h </w:instrText>
            </w:r>
            <w:r w:rsidR="008E63D3" w:rsidRPr="00D8141D">
              <w:rPr>
                <w:rFonts w:eastAsia="Calibri" w:cs="Calibri"/>
                <w:lang w:val="pt-BR"/>
              </w:rPr>
            </w:r>
            <w:r w:rsidR="008E63D3" w:rsidRPr="00D8141D">
              <w:rPr>
                <w:rFonts w:eastAsia="Calibri" w:cs="Calibri"/>
                <w:lang w:val="pt-BR"/>
              </w:rPr>
              <w:fldChar w:fldCharType="separate"/>
            </w:r>
            <w:r w:rsidR="001166EA">
              <w:rPr>
                <w:rFonts w:eastAsia="Calibri" w:cs="Calibri"/>
                <w:noProof/>
                <w:lang w:val="pt-BR"/>
              </w:rPr>
              <w:t>62</w:t>
            </w:r>
            <w:r w:rsidR="008E63D3" w:rsidRPr="00D8141D">
              <w:rPr>
                <w:rFonts w:eastAsia="Calibri" w:cs="Calibri"/>
                <w:lang w:val="pt-BR"/>
              </w:rPr>
              <w:fldChar w:fldCharType="end"/>
            </w:r>
            <w:r w:rsidR="007C2509" w:rsidRPr="00D8141D">
              <w:rPr>
                <w:rFonts w:eastAsia="Calibri" w:cs="Calibri"/>
                <w:lang w:val="pt-BR"/>
              </w:rPr>
              <w:t xml:space="preserve"> </w:t>
            </w:r>
            <w:r w:rsidRPr="00D8141D">
              <w:rPr>
                <w:rFonts w:eastAsia="Calibri" w:cs="Calibri"/>
                <w:lang w:val="pt-BR"/>
              </w:rPr>
              <w:t>deste Prospecto.</w:t>
            </w:r>
          </w:p>
        </w:tc>
      </w:tr>
      <w:tr w:rsidR="003873C8" w:rsidRPr="0082022E" w14:paraId="2563B5D8" w14:textId="77777777" w:rsidTr="003E13AA">
        <w:tc>
          <w:tcPr>
            <w:tcW w:w="1345" w:type="pct"/>
            <w:shd w:val="clear" w:color="auto" w:fill="auto"/>
          </w:tcPr>
          <w:p w14:paraId="4E1F3ACF" w14:textId="77777777"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t>Data de Emissão</w:t>
            </w:r>
          </w:p>
        </w:tc>
        <w:tc>
          <w:tcPr>
            <w:tcW w:w="3655" w:type="pct"/>
            <w:shd w:val="clear" w:color="auto" w:fill="auto"/>
          </w:tcPr>
          <w:p w14:paraId="1F1FE367" w14:textId="77777777" w:rsidR="003873C8" w:rsidRPr="00D8141D" w:rsidRDefault="003873C8" w:rsidP="008D7C7A">
            <w:pPr>
              <w:pStyle w:val="HOMEBRBodyText"/>
              <w:keepLines w:val="0"/>
              <w:widowControl w:val="0"/>
              <w:spacing w:after="140"/>
              <w:jc w:val="both"/>
              <w:rPr>
                <w:rFonts w:cs="Calibri"/>
                <w:lang w:val="pt-BR"/>
              </w:rPr>
            </w:pPr>
            <w:r w:rsidRPr="00D8141D">
              <w:rPr>
                <w:rFonts w:cs="Calibri"/>
                <w:lang w:val="pt-BR"/>
              </w:rPr>
              <w:t xml:space="preserve">Para todos os fins e efeitos legais, a data de emissão das Debêntures </w:t>
            </w:r>
            <w:r w:rsidR="00A30E36" w:rsidRPr="00D8141D">
              <w:rPr>
                <w:rFonts w:cs="Calibri"/>
                <w:lang w:val="pt-BR"/>
              </w:rPr>
              <w:t>foi</w:t>
            </w:r>
            <w:r w:rsidRPr="00D8141D">
              <w:rPr>
                <w:rFonts w:cs="Calibri"/>
                <w:lang w:val="pt-BR"/>
              </w:rPr>
              <w:t xml:space="preserve"> </w:t>
            </w:r>
            <w:r w:rsidR="0061430C" w:rsidRPr="00D8141D">
              <w:rPr>
                <w:rFonts w:eastAsia="Calibri" w:cs="Calibri"/>
                <w:lang w:val="pt-BR"/>
              </w:rPr>
              <w:t>15</w:t>
            </w:r>
            <w:r w:rsidR="008C3935" w:rsidRPr="0020727A">
              <w:rPr>
                <w:rStyle w:val="Refdenotadefim"/>
                <w:lang w:val="pt-BR"/>
              </w:rPr>
              <w:t xml:space="preserve"> </w:t>
            </w:r>
            <w:r w:rsidR="008C3935" w:rsidRPr="00D8141D">
              <w:rPr>
                <w:rFonts w:cs="Calibri"/>
                <w:lang w:val="pt-BR"/>
              </w:rPr>
              <w:t>de janeiro de 2022.</w:t>
            </w:r>
          </w:p>
        </w:tc>
      </w:tr>
      <w:tr w:rsidR="003873C8" w:rsidRPr="0082022E" w14:paraId="090FA209" w14:textId="77777777" w:rsidTr="003E13AA">
        <w:tc>
          <w:tcPr>
            <w:tcW w:w="1345" w:type="pct"/>
            <w:shd w:val="clear" w:color="auto" w:fill="auto"/>
          </w:tcPr>
          <w:p w14:paraId="7D43E79F" w14:textId="77777777"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t>Data de Liquidação</w:t>
            </w:r>
          </w:p>
        </w:tc>
        <w:tc>
          <w:tcPr>
            <w:tcW w:w="3655" w:type="pct"/>
            <w:shd w:val="clear" w:color="auto" w:fill="auto"/>
          </w:tcPr>
          <w:p w14:paraId="0FEF076E" w14:textId="024CDADB" w:rsidR="002310F6" w:rsidRPr="004450A3" w:rsidRDefault="002310F6" w:rsidP="002310F6">
            <w:pPr>
              <w:pStyle w:val="HOMEBRBodyText"/>
              <w:keepLines w:val="0"/>
              <w:widowControl w:val="0"/>
              <w:rPr>
                <w:rFonts w:cs="Calibri"/>
                <w:b/>
                <w:lang w:val="pt-BR"/>
              </w:rPr>
            </w:pPr>
            <w:r w:rsidRPr="004450A3">
              <w:rPr>
                <w:rFonts w:cs="Calibri"/>
                <w:lang w:val="pt-BR"/>
              </w:rPr>
              <w:t xml:space="preserve">A </w:t>
            </w:r>
            <w:r w:rsidR="00032A25">
              <w:rPr>
                <w:rFonts w:cs="Calibri"/>
                <w:lang w:val="pt-BR"/>
              </w:rPr>
              <w:t>data de cada</w:t>
            </w:r>
            <w:r>
              <w:rPr>
                <w:rFonts w:cs="Calibri"/>
                <w:lang w:val="pt-BR"/>
              </w:rPr>
              <w:t xml:space="preserve"> </w:t>
            </w:r>
            <w:r w:rsidRPr="004450A3">
              <w:rPr>
                <w:rFonts w:cs="Calibri"/>
                <w:lang w:val="pt-BR"/>
              </w:rPr>
              <w:t>liquidação das Debêntures</w:t>
            </w:r>
            <w:r w:rsidR="00032A25">
              <w:rPr>
                <w:rFonts w:cs="Calibri"/>
                <w:lang w:val="pt-BR"/>
              </w:rPr>
              <w:t>, cuja primeira ocorrência</w:t>
            </w:r>
            <w:r w:rsidRPr="004450A3">
              <w:rPr>
                <w:rFonts w:cs="Calibri"/>
                <w:lang w:val="pt-BR"/>
              </w:rPr>
              <w:t xml:space="preserve"> está prevista para 22 de março de 2022.</w:t>
            </w:r>
          </w:p>
          <w:p w14:paraId="434A00DB" w14:textId="45551390" w:rsidR="003873C8" w:rsidRPr="00D8141D" w:rsidRDefault="003873C8" w:rsidP="008D7C7A">
            <w:pPr>
              <w:pStyle w:val="HOMEBRBodyText"/>
              <w:keepLines w:val="0"/>
              <w:widowControl w:val="0"/>
              <w:spacing w:after="140"/>
              <w:jc w:val="both"/>
              <w:rPr>
                <w:rFonts w:cs="Calibri"/>
                <w:lang w:val="pt-BR"/>
              </w:rPr>
            </w:pPr>
            <w:r w:rsidRPr="00D8141D">
              <w:rPr>
                <w:rFonts w:cs="Calibri"/>
                <w:b/>
                <w:bCs/>
                <w:lang w:val="pt-BR"/>
              </w:rPr>
              <w:t xml:space="preserve">Para mais informações sobre a Data de Liquidação das Debêntures, </w:t>
            </w:r>
            <w:r w:rsidRPr="00D8141D">
              <w:rPr>
                <w:rFonts w:cs="Calibri"/>
                <w:b/>
                <w:lang w:val="pt-BR"/>
              </w:rPr>
              <w:t xml:space="preserve">veja a seção “Cronograma Estimado das Etapas da Oferta” </w:t>
            </w:r>
            <w:r w:rsidRPr="00D8141D">
              <w:rPr>
                <w:rFonts w:cs="Calibri"/>
                <w:b/>
                <w:spacing w:val="-4"/>
                <w:lang w:val="pt-BR"/>
              </w:rPr>
              <w:t xml:space="preserve">na página </w:t>
            </w:r>
            <w:r w:rsidR="008E63D3" w:rsidRPr="00D8141D">
              <w:rPr>
                <w:rFonts w:eastAsia="Calibri" w:cs="Calibri"/>
                <w:b/>
                <w:bCs/>
                <w:lang w:val="pt-BR"/>
              </w:rPr>
              <w:fldChar w:fldCharType="begin"/>
            </w:r>
            <w:r w:rsidR="008E63D3" w:rsidRPr="00D8141D">
              <w:rPr>
                <w:rFonts w:cs="Calibri"/>
                <w:b/>
                <w:spacing w:val="-4"/>
                <w:lang w:val="pt-BR"/>
              </w:rPr>
              <w:instrText xml:space="preserve"> PAGEREF _Ref90057979 \h </w:instrText>
            </w:r>
            <w:r w:rsidR="008E63D3" w:rsidRPr="00D8141D">
              <w:rPr>
                <w:rFonts w:eastAsia="Calibri" w:cs="Calibri"/>
                <w:b/>
                <w:bCs/>
                <w:lang w:val="pt-BR"/>
              </w:rPr>
            </w:r>
            <w:r w:rsidR="008E63D3" w:rsidRPr="00D8141D">
              <w:rPr>
                <w:rFonts w:eastAsia="Calibri" w:cs="Calibri"/>
                <w:b/>
                <w:bCs/>
                <w:lang w:val="pt-BR"/>
              </w:rPr>
              <w:fldChar w:fldCharType="separate"/>
            </w:r>
            <w:r w:rsidR="001166EA">
              <w:rPr>
                <w:rFonts w:cs="Calibri"/>
                <w:b/>
                <w:noProof/>
                <w:spacing w:val="-4"/>
                <w:lang w:val="pt-BR"/>
              </w:rPr>
              <w:t>62</w:t>
            </w:r>
            <w:r w:rsidR="008E63D3" w:rsidRPr="00D8141D">
              <w:rPr>
                <w:rFonts w:eastAsia="Calibri" w:cs="Calibri"/>
                <w:b/>
                <w:bCs/>
                <w:lang w:val="pt-BR"/>
              </w:rPr>
              <w:fldChar w:fldCharType="end"/>
            </w:r>
            <w:r w:rsidR="007C2509" w:rsidRPr="00D8141D">
              <w:rPr>
                <w:rFonts w:cs="Calibri"/>
                <w:b/>
                <w:spacing w:val="-4"/>
                <w:lang w:val="pt-BR"/>
              </w:rPr>
              <w:t xml:space="preserve"> </w:t>
            </w:r>
            <w:r w:rsidRPr="00D8141D">
              <w:rPr>
                <w:rFonts w:cs="Calibri"/>
                <w:b/>
                <w:lang w:val="pt-BR"/>
              </w:rPr>
              <w:t>deste Prospecto.</w:t>
            </w:r>
          </w:p>
        </w:tc>
      </w:tr>
      <w:tr w:rsidR="003873C8" w:rsidRPr="0082022E" w14:paraId="1E171EF7" w14:textId="77777777" w:rsidTr="003E13AA">
        <w:tc>
          <w:tcPr>
            <w:tcW w:w="1345" w:type="pct"/>
            <w:shd w:val="clear" w:color="auto" w:fill="auto"/>
          </w:tcPr>
          <w:p w14:paraId="0B64B9A1" w14:textId="77777777"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t>Data de Pagamento de Juros Remuneratórios da Primeira Série</w:t>
            </w:r>
          </w:p>
        </w:tc>
        <w:tc>
          <w:tcPr>
            <w:tcW w:w="3655" w:type="pct"/>
            <w:shd w:val="clear" w:color="auto" w:fill="auto"/>
          </w:tcPr>
          <w:p w14:paraId="32321B3F" w14:textId="77777777" w:rsidR="003873C8" w:rsidRPr="00D8141D" w:rsidRDefault="008C3935" w:rsidP="00520C10">
            <w:pPr>
              <w:pStyle w:val="HOMEBRBodyText"/>
              <w:keepLines w:val="0"/>
              <w:widowControl w:val="0"/>
              <w:spacing w:after="140" w:line="290" w:lineRule="auto"/>
              <w:jc w:val="both"/>
              <w:rPr>
                <w:rFonts w:cs="Calibri"/>
                <w:color w:val="000000"/>
                <w:lang w:val="pt-BR"/>
              </w:rPr>
            </w:pPr>
            <w:r w:rsidRPr="00D8141D">
              <w:rPr>
                <w:rFonts w:cs="Calibri"/>
                <w:lang w:val="pt-BR"/>
              </w:rPr>
              <w:t>Sem prejuízo dos pagamentos em decorrência de vencimento antecipado das obrigações decorrentes das Debêntures, nos termos previstos na Escritura de Emissão, os Juros Remuneratórios da Primeira Série serão pagos pela Emissora aos Debenturistas semestralmente a partir da Data de Emissão, sendo, portanto, os pagamentos devidos no dia 15 dos meses julho e janeiro de cada ano, e caso referida data não seja um Dia Útil, o primeiro Dia Útil subsequente. O primeiro pagamento ocorrerá no dia 15 de julho de 2022 e o último na Data de Vencimento da Primeira Série (cada uma dessas datas, uma</w:t>
            </w:r>
            <w:r w:rsidR="003873C8" w:rsidRPr="00D8141D">
              <w:rPr>
                <w:rFonts w:cs="Calibri"/>
                <w:color w:val="000000"/>
                <w:lang w:val="pt-BR"/>
              </w:rPr>
              <w:t>.</w:t>
            </w:r>
          </w:p>
          <w:tbl>
            <w:tblPr>
              <w:tblpPr w:leftFromText="141" w:rightFromText="141" w:vertAnchor="text" w:horzAnchor="margin" w:tblpXSpec="center" w:tblpY="-77"/>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09"/>
            </w:tblGrid>
            <w:tr w:rsidR="003873C8" w:rsidRPr="0082022E" w14:paraId="0479D1E7" w14:textId="77777777" w:rsidTr="00D8141D">
              <w:trPr>
                <w:trHeight w:val="406"/>
                <w:tblHeader/>
              </w:trPr>
              <w:tc>
                <w:tcPr>
                  <w:tcW w:w="1555" w:type="dxa"/>
                  <w:shd w:val="clear" w:color="auto" w:fill="D9D9D9"/>
                  <w:vAlign w:val="center"/>
                </w:tcPr>
                <w:p w14:paraId="474C1DD9" w14:textId="77777777" w:rsidR="003873C8" w:rsidRPr="00D8141D" w:rsidRDefault="003873C8" w:rsidP="00520C10">
                  <w:pPr>
                    <w:widowControl w:val="0"/>
                    <w:rPr>
                      <w:rFonts w:cs="Calibri"/>
                      <w:sz w:val="16"/>
                      <w:szCs w:val="16"/>
                    </w:rPr>
                  </w:pPr>
                  <w:r w:rsidRPr="00D8141D">
                    <w:rPr>
                      <w:rFonts w:cs="Calibri"/>
                      <w:sz w:val="16"/>
                      <w:szCs w:val="16"/>
                    </w:rPr>
                    <w:lastRenderedPageBreak/>
                    <w:t>Parcelas</w:t>
                  </w:r>
                </w:p>
              </w:tc>
              <w:tc>
                <w:tcPr>
                  <w:tcW w:w="2409" w:type="dxa"/>
                  <w:shd w:val="clear" w:color="auto" w:fill="D9D9D9"/>
                  <w:vAlign w:val="center"/>
                </w:tcPr>
                <w:p w14:paraId="4E21DF21" w14:textId="77777777" w:rsidR="003873C8" w:rsidRPr="00566CD3" w:rsidRDefault="003873C8" w:rsidP="00520C10">
                  <w:pPr>
                    <w:widowControl w:val="0"/>
                    <w:rPr>
                      <w:sz w:val="16"/>
                    </w:rPr>
                  </w:pPr>
                  <w:r w:rsidRPr="00566CD3">
                    <w:rPr>
                      <w:sz w:val="16"/>
                    </w:rPr>
                    <w:t>Data de Pagamento da Remuneração</w:t>
                  </w:r>
                </w:p>
              </w:tc>
            </w:tr>
            <w:tr w:rsidR="008C3935" w:rsidRPr="00D8141D" w14:paraId="0618BE0F" w14:textId="77777777" w:rsidTr="008C3935">
              <w:trPr>
                <w:trHeight w:val="126"/>
              </w:trPr>
              <w:tc>
                <w:tcPr>
                  <w:tcW w:w="1555" w:type="dxa"/>
                </w:tcPr>
                <w:p w14:paraId="50764762" w14:textId="77777777" w:rsidR="008C3935" w:rsidRPr="00D8141D" w:rsidRDefault="008C3935" w:rsidP="00520C10">
                  <w:pPr>
                    <w:widowControl w:val="0"/>
                    <w:jc w:val="center"/>
                    <w:rPr>
                      <w:rFonts w:cs="Calibri"/>
                      <w:b/>
                      <w:bCs/>
                      <w:sz w:val="16"/>
                      <w:szCs w:val="16"/>
                    </w:rPr>
                  </w:pPr>
                  <w:r w:rsidRPr="00D8141D">
                    <w:rPr>
                      <w:rFonts w:cs="Calibri"/>
                      <w:b/>
                      <w:bCs/>
                      <w:sz w:val="16"/>
                      <w:szCs w:val="16"/>
                    </w:rPr>
                    <w:t>1</w:t>
                  </w:r>
                </w:p>
              </w:tc>
              <w:tc>
                <w:tcPr>
                  <w:tcW w:w="2409" w:type="dxa"/>
                  <w:vAlign w:val="center"/>
                </w:tcPr>
                <w:p w14:paraId="649D6AD8"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15/07/2022</w:t>
                  </w:r>
                </w:p>
              </w:tc>
            </w:tr>
            <w:tr w:rsidR="008C3935" w:rsidRPr="00D8141D" w14:paraId="2E3B415C" w14:textId="77777777" w:rsidTr="008C3935">
              <w:trPr>
                <w:trHeight w:val="126"/>
              </w:trPr>
              <w:tc>
                <w:tcPr>
                  <w:tcW w:w="1555" w:type="dxa"/>
                </w:tcPr>
                <w:p w14:paraId="7E3FF3E7" w14:textId="77777777" w:rsidR="008C3935" w:rsidRPr="00D8141D" w:rsidRDefault="008C3935" w:rsidP="00520C10">
                  <w:pPr>
                    <w:widowControl w:val="0"/>
                    <w:jc w:val="center"/>
                    <w:rPr>
                      <w:rFonts w:cs="Calibri"/>
                      <w:b/>
                      <w:bCs/>
                      <w:sz w:val="16"/>
                      <w:szCs w:val="16"/>
                    </w:rPr>
                  </w:pPr>
                  <w:r w:rsidRPr="00D8141D">
                    <w:rPr>
                      <w:rFonts w:cs="Calibri"/>
                      <w:b/>
                      <w:bCs/>
                      <w:sz w:val="16"/>
                      <w:szCs w:val="16"/>
                    </w:rPr>
                    <w:t>2</w:t>
                  </w:r>
                </w:p>
              </w:tc>
              <w:tc>
                <w:tcPr>
                  <w:tcW w:w="2409" w:type="dxa"/>
                  <w:vAlign w:val="center"/>
                </w:tcPr>
                <w:p w14:paraId="767CD66E"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w:t>
                  </w:r>
                  <w:r w:rsidR="00F753FD" w:rsidRPr="00D8141D">
                    <w:rPr>
                      <w:rFonts w:cs="Calibri"/>
                      <w:color w:val="000000"/>
                      <w:sz w:val="16"/>
                      <w:szCs w:val="16"/>
                    </w:rPr>
                    <w:t>5</w:t>
                  </w:r>
                  <w:r w:rsidRPr="00D8141D">
                    <w:rPr>
                      <w:rFonts w:cs="Calibri"/>
                      <w:color w:val="000000"/>
                      <w:sz w:val="16"/>
                      <w:szCs w:val="16"/>
                    </w:rPr>
                    <w:t>/01/2023</w:t>
                  </w:r>
                </w:p>
              </w:tc>
            </w:tr>
            <w:tr w:rsidR="008C3935" w:rsidRPr="00D8141D" w14:paraId="1648ABC8" w14:textId="77777777" w:rsidTr="008C3935">
              <w:trPr>
                <w:trHeight w:val="131"/>
              </w:trPr>
              <w:tc>
                <w:tcPr>
                  <w:tcW w:w="1555" w:type="dxa"/>
                </w:tcPr>
                <w:p w14:paraId="32472297" w14:textId="77777777" w:rsidR="008C3935" w:rsidRPr="00D8141D" w:rsidRDefault="008C3935" w:rsidP="00520C10">
                  <w:pPr>
                    <w:widowControl w:val="0"/>
                    <w:jc w:val="center"/>
                    <w:rPr>
                      <w:rFonts w:cs="Calibri"/>
                      <w:b/>
                      <w:bCs/>
                      <w:sz w:val="16"/>
                      <w:szCs w:val="16"/>
                    </w:rPr>
                  </w:pPr>
                  <w:r w:rsidRPr="00D8141D">
                    <w:rPr>
                      <w:rFonts w:cs="Calibri"/>
                      <w:b/>
                      <w:bCs/>
                      <w:sz w:val="16"/>
                      <w:szCs w:val="16"/>
                    </w:rPr>
                    <w:t>3</w:t>
                  </w:r>
                </w:p>
              </w:tc>
              <w:tc>
                <w:tcPr>
                  <w:tcW w:w="2409" w:type="dxa"/>
                  <w:vAlign w:val="center"/>
                </w:tcPr>
                <w:p w14:paraId="6E06CF39"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w:t>
                  </w:r>
                  <w:r w:rsidR="00F753FD" w:rsidRPr="00D8141D">
                    <w:rPr>
                      <w:rFonts w:cs="Calibri"/>
                      <w:color w:val="000000"/>
                      <w:sz w:val="16"/>
                      <w:szCs w:val="16"/>
                    </w:rPr>
                    <w:t>5</w:t>
                  </w:r>
                  <w:r w:rsidRPr="00D8141D">
                    <w:rPr>
                      <w:rFonts w:cs="Calibri"/>
                      <w:color w:val="000000"/>
                      <w:sz w:val="16"/>
                      <w:szCs w:val="16"/>
                    </w:rPr>
                    <w:t>/07/2023</w:t>
                  </w:r>
                </w:p>
              </w:tc>
            </w:tr>
            <w:tr w:rsidR="008C3935" w:rsidRPr="00D8141D" w14:paraId="5D2491F8" w14:textId="77777777" w:rsidTr="008C3935">
              <w:trPr>
                <w:trHeight w:val="131"/>
              </w:trPr>
              <w:tc>
                <w:tcPr>
                  <w:tcW w:w="1555" w:type="dxa"/>
                </w:tcPr>
                <w:p w14:paraId="7CF2C4AF" w14:textId="77777777" w:rsidR="008C3935" w:rsidRPr="00D8141D" w:rsidRDefault="008C3935" w:rsidP="00520C10">
                  <w:pPr>
                    <w:widowControl w:val="0"/>
                    <w:jc w:val="center"/>
                    <w:rPr>
                      <w:rFonts w:cs="Calibri"/>
                      <w:b/>
                      <w:bCs/>
                      <w:sz w:val="16"/>
                      <w:szCs w:val="16"/>
                    </w:rPr>
                  </w:pPr>
                  <w:r w:rsidRPr="00D8141D">
                    <w:rPr>
                      <w:rFonts w:cs="Calibri"/>
                      <w:b/>
                      <w:bCs/>
                      <w:sz w:val="16"/>
                      <w:szCs w:val="16"/>
                    </w:rPr>
                    <w:t>4</w:t>
                  </w:r>
                </w:p>
              </w:tc>
              <w:tc>
                <w:tcPr>
                  <w:tcW w:w="2409" w:type="dxa"/>
                  <w:vAlign w:val="center"/>
                </w:tcPr>
                <w:p w14:paraId="08707426"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15/01/2024</w:t>
                  </w:r>
                </w:p>
              </w:tc>
            </w:tr>
            <w:tr w:rsidR="008C3935" w:rsidRPr="00D8141D" w14:paraId="38108187" w14:textId="77777777" w:rsidTr="008C3935">
              <w:trPr>
                <w:trHeight w:val="131"/>
              </w:trPr>
              <w:tc>
                <w:tcPr>
                  <w:tcW w:w="1555" w:type="dxa"/>
                </w:tcPr>
                <w:p w14:paraId="5F00D1D3" w14:textId="77777777" w:rsidR="008C3935" w:rsidRPr="00D8141D" w:rsidRDefault="008C3935" w:rsidP="00520C10">
                  <w:pPr>
                    <w:widowControl w:val="0"/>
                    <w:jc w:val="center"/>
                    <w:rPr>
                      <w:rFonts w:cs="Calibri"/>
                      <w:b/>
                      <w:bCs/>
                      <w:sz w:val="16"/>
                      <w:szCs w:val="16"/>
                    </w:rPr>
                  </w:pPr>
                  <w:r w:rsidRPr="00D8141D">
                    <w:rPr>
                      <w:rFonts w:cs="Calibri"/>
                      <w:b/>
                      <w:bCs/>
                      <w:sz w:val="16"/>
                      <w:szCs w:val="16"/>
                    </w:rPr>
                    <w:t>5</w:t>
                  </w:r>
                </w:p>
              </w:tc>
              <w:tc>
                <w:tcPr>
                  <w:tcW w:w="2409" w:type="dxa"/>
                  <w:vAlign w:val="center"/>
                </w:tcPr>
                <w:p w14:paraId="3D7E79B9"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15/07/2024</w:t>
                  </w:r>
                </w:p>
              </w:tc>
            </w:tr>
            <w:tr w:rsidR="008C3935" w:rsidRPr="00D8141D" w14:paraId="6BBE0257" w14:textId="77777777" w:rsidTr="008C3935">
              <w:trPr>
                <w:trHeight w:val="131"/>
              </w:trPr>
              <w:tc>
                <w:tcPr>
                  <w:tcW w:w="1555" w:type="dxa"/>
                </w:tcPr>
                <w:p w14:paraId="6C45F148" w14:textId="77777777" w:rsidR="008C3935" w:rsidRPr="00D8141D" w:rsidRDefault="008C3935" w:rsidP="00520C10">
                  <w:pPr>
                    <w:widowControl w:val="0"/>
                    <w:jc w:val="center"/>
                    <w:rPr>
                      <w:rFonts w:cs="Calibri"/>
                      <w:b/>
                      <w:bCs/>
                      <w:sz w:val="16"/>
                      <w:szCs w:val="16"/>
                    </w:rPr>
                  </w:pPr>
                  <w:r w:rsidRPr="00D8141D">
                    <w:rPr>
                      <w:rFonts w:cs="Calibri"/>
                      <w:b/>
                      <w:bCs/>
                      <w:sz w:val="16"/>
                      <w:szCs w:val="16"/>
                    </w:rPr>
                    <w:t>6</w:t>
                  </w:r>
                </w:p>
              </w:tc>
              <w:tc>
                <w:tcPr>
                  <w:tcW w:w="2409" w:type="dxa"/>
                  <w:vAlign w:val="center"/>
                </w:tcPr>
                <w:p w14:paraId="52463DCF"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15/01/2025</w:t>
                  </w:r>
                </w:p>
              </w:tc>
            </w:tr>
            <w:tr w:rsidR="008C3935" w:rsidRPr="00D8141D" w14:paraId="04C72435" w14:textId="77777777" w:rsidTr="008C3935">
              <w:trPr>
                <w:trHeight w:val="131"/>
              </w:trPr>
              <w:tc>
                <w:tcPr>
                  <w:tcW w:w="1555" w:type="dxa"/>
                </w:tcPr>
                <w:p w14:paraId="736CC321" w14:textId="77777777" w:rsidR="008C3935" w:rsidRPr="00D8141D" w:rsidRDefault="008C3935" w:rsidP="00520C10">
                  <w:pPr>
                    <w:widowControl w:val="0"/>
                    <w:jc w:val="center"/>
                    <w:rPr>
                      <w:rFonts w:cs="Calibri"/>
                      <w:b/>
                      <w:bCs/>
                      <w:sz w:val="16"/>
                      <w:szCs w:val="16"/>
                    </w:rPr>
                  </w:pPr>
                  <w:r w:rsidRPr="00D8141D">
                    <w:rPr>
                      <w:rFonts w:cs="Calibri"/>
                      <w:b/>
                      <w:bCs/>
                      <w:sz w:val="16"/>
                      <w:szCs w:val="16"/>
                    </w:rPr>
                    <w:t>7</w:t>
                  </w:r>
                </w:p>
              </w:tc>
              <w:tc>
                <w:tcPr>
                  <w:tcW w:w="2409" w:type="dxa"/>
                  <w:vAlign w:val="center"/>
                </w:tcPr>
                <w:p w14:paraId="2E86CF30"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15/07/2025</w:t>
                  </w:r>
                </w:p>
              </w:tc>
            </w:tr>
            <w:tr w:rsidR="008C3935" w:rsidRPr="00D8141D" w14:paraId="4380E46D" w14:textId="77777777" w:rsidTr="008C3935">
              <w:trPr>
                <w:trHeight w:val="131"/>
              </w:trPr>
              <w:tc>
                <w:tcPr>
                  <w:tcW w:w="1555" w:type="dxa"/>
                </w:tcPr>
                <w:p w14:paraId="66C4A878" w14:textId="77777777" w:rsidR="008C3935" w:rsidRPr="00D8141D" w:rsidRDefault="008C3935" w:rsidP="00520C10">
                  <w:pPr>
                    <w:widowControl w:val="0"/>
                    <w:jc w:val="center"/>
                    <w:rPr>
                      <w:rFonts w:cs="Calibri"/>
                      <w:b/>
                      <w:bCs/>
                      <w:sz w:val="16"/>
                      <w:szCs w:val="16"/>
                    </w:rPr>
                  </w:pPr>
                  <w:r w:rsidRPr="00D8141D">
                    <w:rPr>
                      <w:rFonts w:cs="Calibri"/>
                      <w:b/>
                      <w:bCs/>
                      <w:sz w:val="16"/>
                      <w:szCs w:val="16"/>
                    </w:rPr>
                    <w:t>8</w:t>
                  </w:r>
                </w:p>
              </w:tc>
              <w:tc>
                <w:tcPr>
                  <w:tcW w:w="2409" w:type="dxa"/>
                  <w:vAlign w:val="center"/>
                </w:tcPr>
                <w:p w14:paraId="217FEBAC"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15/01/2026</w:t>
                  </w:r>
                </w:p>
              </w:tc>
            </w:tr>
            <w:tr w:rsidR="008C3935" w:rsidRPr="00D8141D" w14:paraId="248F976E" w14:textId="77777777" w:rsidTr="008C3935">
              <w:trPr>
                <w:trHeight w:val="131"/>
              </w:trPr>
              <w:tc>
                <w:tcPr>
                  <w:tcW w:w="1555" w:type="dxa"/>
                </w:tcPr>
                <w:p w14:paraId="42C7F341" w14:textId="77777777" w:rsidR="008C3935" w:rsidRPr="00D8141D" w:rsidRDefault="008C3935" w:rsidP="00520C10">
                  <w:pPr>
                    <w:widowControl w:val="0"/>
                    <w:jc w:val="center"/>
                    <w:rPr>
                      <w:rFonts w:cs="Calibri"/>
                      <w:b/>
                      <w:bCs/>
                      <w:sz w:val="16"/>
                      <w:szCs w:val="16"/>
                    </w:rPr>
                  </w:pPr>
                  <w:r w:rsidRPr="00D8141D">
                    <w:rPr>
                      <w:rFonts w:cs="Calibri"/>
                      <w:b/>
                      <w:bCs/>
                      <w:sz w:val="16"/>
                      <w:szCs w:val="16"/>
                    </w:rPr>
                    <w:t>9</w:t>
                  </w:r>
                </w:p>
              </w:tc>
              <w:tc>
                <w:tcPr>
                  <w:tcW w:w="2409" w:type="dxa"/>
                  <w:vAlign w:val="center"/>
                </w:tcPr>
                <w:p w14:paraId="0BCBCD4C"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15/07/2026</w:t>
                  </w:r>
                </w:p>
              </w:tc>
            </w:tr>
            <w:tr w:rsidR="008C3935" w:rsidRPr="00D8141D" w14:paraId="42E4EFE7" w14:textId="77777777" w:rsidTr="008C3935">
              <w:trPr>
                <w:trHeight w:val="131"/>
              </w:trPr>
              <w:tc>
                <w:tcPr>
                  <w:tcW w:w="1555" w:type="dxa"/>
                </w:tcPr>
                <w:p w14:paraId="33B120FE" w14:textId="77777777" w:rsidR="008C3935" w:rsidRPr="00D8141D" w:rsidRDefault="008C3935" w:rsidP="00520C10">
                  <w:pPr>
                    <w:widowControl w:val="0"/>
                    <w:jc w:val="center"/>
                    <w:rPr>
                      <w:rFonts w:cs="Calibri"/>
                      <w:b/>
                      <w:bCs/>
                      <w:sz w:val="16"/>
                      <w:szCs w:val="16"/>
                    </w:rPr>
                  </w:pPr>
                  <w:r w:rsidRPr="00D8141D">
                    <w:rPr>
                      <w:rFonts w:cs="Calibri"/>
                      <w:b/>
                      <w:bCs/>
                      <w:sz w:val="16"/>
                      <w:szCs w:val="16"/>
                    </w:rPr>
                    <w:t>10</w:t>
                  </w:r>
                </w:p>
              </w:tc>
              <w:tc>
                <w:tcPr>
                  <w:tcW w:w="2409" w:type="dxa"/>
                  <w:vAlign w:val="center"/>
                </w:tcPr>
                <w:p w14:paraId="2D4B756F"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15/01/2027</w:t>
                  </w:r>
                </w:p>
              </w:tc>
            </w:tr>
            <w:tr w:rsidR="008C3935" w:rsidRPr="00D8141D" w14:paraId="64498987"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63D43CD2" w14:textId="77777777" w:rsidR="008C3935" w:rsidRPr="00D8141D" w:rsidRDefault="008C3935" w:rsidP="00520C10">
                  <w:pPr>
                    <w:widowControl w:val="0"/>
                    <w:jc w:val="center"/>
                    <w:rPr>
                      <w:rFonts w:cs="Calibri"/>
                      <w:b/>
                      <w:bCs/>
                      <w:sz w:val="16"/>
                      <w:szCs w:val="16"/>
                    </w:rPr>
                  </w:pPr>
                  <w:r w:rsidRPr="00D8141D">
                    <w:rPr>
                      <w:rFonts w:cs="Calibri"/>
                      <w:b/>
                      <w:bCs/>
                      <w:sz w:val="16"/>
                      <w:szCs w:val="16"/>
                    </w:rPr>
                    <w:t>11</w:t>
                  </w:r>
                </w:p>
              </w:tc>
              <w:tc>
                <w:tcPr>
                  <w:tcW w:w="2409" w:type="dxa"/>
                  <w:tcBorders>
                    <w:top w:val="single" w:sz="4" w:space="0" w:color="auto"/>
                    <w:left w:val="single" w:sz="4" w:space="0" w:color="auto"/>
                    <w:bottom w:val="single" w:sz="4" w:space="0" w:color="auto"/>
                    <w:right w:val="single" w:sz="4" w:space="0" w:color="auto"/>
                  </w:tcBorders>
                  <w:vAlign w:val="center"/>
                </w:tcPr>
                <w:p w14:paraId="602E1E34"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15/07/2027</w:t>
                  </w:r>
                </w:p>
              </w:tc>
            </w:tr>
            <w:tr w:rsidR="008C3935" w:rsidRPr="00D8141D" w14:paraId="275B0616"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742DFBAC" w14:textId="77777777" w:rsidR="008C3935" w:rsidRPr="00D8141D" w:rsidRDefault="008C3935" w:rsidP="00520C10">
                  <w:pPr>
                    <w:widowControl w:val="0"/>
                    <w:jc w:val="center"/>
                    <w:rPr>
                      <w:rFonts w:cs="Calibri"/>
                      <w:b/>
                      <w:bCs/>
                      <w:sz w:val="16"/>
                      <w:szCs w:val="16"/>
                    </w:rPr>
                  </w:pPr>
                  <w:r w:rsidRPr="00D8141D">
                    <w:rPr>
                      <w:rFonts w:cs="Calibri"/>
                      <w:b/>
                      <w:bCs/>
                      <w:sz w:val="16"/>
                      <w:szCs w:val="16"/>
                    </w:rPr>
                    <w:t>12</w:t>
                  </w:r>
                </w:p>
              </w:tc>
              <w:tc>
                <w:tcPr>
                  <w:tcW w:w="2409" w:type="dxa"/>
                  <w:tcBorders>
                    <w:top w:val="single" w:sz="4" w:space="0" w:color="auto"/>
                    <w:left w:val="single" w:sz="4" w:space="0" w:color="auto"/>
                    <w:bottom w:val="single" w:sz="4" w:space="0" w:color="auto"/>
                    <w:right w:val="single" w:sz="4" w:space="0" w:color="auto"/>
                  </w:tcBorders>
                  <w:vAlign w:val="center"/>
                </w:tcPr>
                <w:p w14:paraId="231CEA73"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w:t>
                  </w:r>
                  <w:r w:rsidR="00F753FD" w:rsidRPr="00D8141D">
                    <w:rPr>
                      <w:rFonts w:cs="Calibri"/>
                      <w:color w:val="000000"/>
                      <w:sz w:val="16"/>
                      <w:szCs w:val="16"/>
                    </w:rPr>
                    <w:t>5</w:t>
                  </w:r>
                  <w:r w:rsidRPr="00D8141D">
                    <w:rPr>
                      <w:rFonts w:cs="Calibri"/>
                      <w:color w:val="000000"/>
                      <w:sz w:val="16"/>
                      <w:szCs w:val="16"/>
                    </w:rPr>
                    <w:t>/01/2028</w:t>
                  </w:r>
                </w:p>
              </w:tc>
            </w:tr>
            <w:tr w:rsidR="008C3935" w:rsidRPr="00D8141D" w14:paraId="20E0D23E"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6A053855" w14:textId="77777777" w:rsidR="008C3935" w:rsidRPr="00D8141D" w:rsidRDefault="008C3935" w:rsidP="00520C10">
                  <w:pPr>
                    <w:widowControl w:val="0"/>
                    <w:jc w:val="center"/>
                    <w:rPr>
                      <w:rFonts w:cs="Calibri"/>
                      <w:b/>
                      <w:bCs/>
                      <w:sz w:val="16"/>
                      <w:szCs w:val="16"/>
                    </w:rPr>
                  </w:pPr>
                  <w:r w:rsidRPr="00D8141D">
                    <w:rPr>
                      <w:rFonts w:cs="Calibri"/>
                      <w:b/>
                      <w:bCs/>
                      <w:sz w:val="16"/>
                      <w:szCs w:val="16"/>
                    </w:rPr>
                    <w:t>13</w:t>
                  </w:r>
                </w:p>
              </w:tc>
              <w:tc>
                <w:tcPr>
                  <w:tcW w:w="2409" w:type="dxa"/>
                  <w:tcBorders>
                    <w:top w:val="single" w:sz="4" w:space="0" w:color="auto"/>
                    <w:left w:val="single" w:sz="4" w:space="0" w:color="auto"/>
                    <w:bottom w:val="single" w:sz="4" w:space="0" w:color="auto"/>
                    <w:right w:val="single" w:sz="4" w:space="0" w:color="auto"/>
                  </w:tcBorders>
                  <w:vAlign w:val="center"/>
                </w:tcPr>
                <w:p w14:paraId="654EF383"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w:t>
                  </w:r>
                  <w:r w:rsidR="00F753FD" w:rsidRPr="00D8141D">
                    <w:rPr>
                      <w:rFonts w:cs="Calibri"/>
                      <w:color w:val="000000"/>
                      <w:sz w:val="16"/>
                      <w:szCs w:val="16"/>
                    </w:rPr>
                    <w:t>5</w:t>
                  </w:r>
                  <w:r w:rsidRPr="00D8141D">
                    <w:rPr>
                      <w:rFonts w:cs="Calibri"/>
                      <w:color w:val="000000"/>
                      <w:sz w:val="16"/>
                      <w:szCs w:val="16"/>
                    </w:rPr>
                    <w:t>/07/2028</w:t>
                  </w:r>
                </w:p>
              </w:tc>
            </w:tr>
            <w:tr w:rsidR="008C3935" w:rsidRPr="00D8141D" w14:paraId="33071289"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6BEE4C58" w14:textId="77777777" w:rsidR="008C3935" w:rsidRPr="00D8141D" w:rsidRDefault="008C3935" w:rsidP="00520C10">
                  <w:pPr>
                    <w:widowControl w:val="0"/>
                    <w:jc w:val="center"/>
                    <w:rPr>
                      <w:rFonts w:cs="Calibri"/>
                      <w:b/>
                      <w:bCs/>
                      <w:sz w:val="16"/>
                      <w:szCs w:val="16"/>
                    </w:rPr>
                  </w:pPr>
                  <w:r w:rsidRPr="00D8141D">
                    <w:rPr>
                      <w:rFonts w:cs="Calibri"/>
                      <w:b/>
                      <w:bCs/>
                      <w:sz w:val="16"/>
                      <w:szCs w:val="16"/>
                    </w:rPr>
                    <w:t>14</w:t>
                  </w:r>
                </w:p>
              </w:tc>
              <w:tc>
                <w:tcPr>
                  <w:tcW w:w="2409" w:type="dxa"/>
                  <w:tcBorders>
                    <w:top w:val="single" w:sz="4" w:space="0" w:color="auto"/>
                    <w:left w:val="single" w:sz="4" w:space="0" w:color="auto"/>
                    <w:bottom w:val="single" w:sz="4" w:space="0" w:color="auto"/>
                    <w:right w:val="single" w:sz="4" w:space="0" w:color="auto"/>
                  </w:tcBorders>
                  <w:vAlign w:val="center"/>
                </w:tcPr>
                <w:p w14:paraId="2FF3B22C"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15/01/2029</w:t>
                  </w:r>
                </w:p>
              </w:tc>
            </w:tr>
            <w:tr w:rsidR="008C3935" w:rsidRPr="00D8141D" w14:paraId="1CFFC595"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315ECF5D" w14:textId="77777777" w:rsidR="008C3935" w:rsidRPr="00D8141D" w:rsidRDefault="008C3935" w:rsidP="00520C10">
                  <w:pPr>
                    <w:widowControl w:val="0"/>
                    <w:jc w:val="center"/>
                    <w:rPr>
                      <w:rFonts w:cs="Calibri"/>
                      <w:b/>
                      <w:bCs/>
                      <w:sz w:val="16"/>
                      <w:szCs w:val="16"/>
                    </w:rPr>
                  </w:pPr>
                  <w:r w:rsidRPr="00D8141D">
                    <w:rPr>
                      <w:rFonts w:cs="Calibri"/>
                      <w:b/>
                      <w:bCs/>
                      <w:sz w:val="16"/>
                      <w:szCs w:val="16"/>
                    </w:rPr>
                    <w:t>15</w:t>
                  </w:r>
                </w:p>
              </w:tc>
              <w:tc>
                <w:tcPr>
                  <w:tcW w:w="2409" w:type="dxa"/>
                  <w:tcBorders>
                    <w:top w:val="single" w:sz="4" w:space="0" w:color="auto"/>
                    <w:left w:val="single" w:sz="4" w:space="0" w:color="auto"/>
                    <w:bottom w:val="single" w:sz="4" w:space="0" w:color="auto"/>
                    <w:right w:val="single" w:sz="4" w:space="0" w:color="auto"/>
                  </w:tcBorders>
                  <w:vAlign w:val="center"/>
                </w:tcPr>
                <w:p w14:paraId="1D45E21A"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w:t>
                  </w:r>
                  <w:r w:rsidR="00F753FD" w:rsidRPr="00D8141D">
                    <w:rPr>
                      <w:rFonts w:cs="Calibri"/>
                      <w:color w:val="000000"/>
                      <w:sz w:val="16"/>
                      <w:szCs w:val="16"/>
                    </w:rPr>
                    <w:t>5</w:t>
                  </w:r>
                  <w:r w:rsidRPr="00D8141D">
                    <w:rPr>
                      <w:rFonts w:cs="Calibri"/>
                      <w:color w:val="000000"/>
                      <w:sz w:val="16"/>
                      <w:szCs w:val="16"/>
                    </w:rPr>
                    <w:t>/07/2029</w:t>
                  </w:r>
                </w:p>
              </w:tc>
            </w:tr>
            <w:tr w:rsidR="008C3935" w:rsidRPr="00D8141D" w14:paraId="68B21CB2"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1B4B9935" w14:textId="77777777" w:rsidR="008C3935" w:rsidRPr="00D8141D" w:rsidRDefault="008C3935" w:rsidP="00520C10">
                  <w:pPr>
                    <w:widowControl w:val="0"/>
                    <w:jc w:val="center"/>
                    <w:rPr>
                      <w:rFonts w:cs="Calibri"/>
                      <w:b/>
                      <w:bCs/>
                      <w:sz w:val="16"/>
                      <w:szCs w:val="16"/>
                    </w:rPr>
                  </w:pPr>
                  <w:r w:rsidRPr="00D8141D">
                    <w:rPr>
                      <w:rFonts w:cs="Calibri"/>
                      <w:b/>
                      <w:bCs/>
                      <w:sz w:val="16"/>
                      <w:szCs w:val="16"/>
                    </w:rPr>
                    <w:t>16</w:t>
                  </w:r>
                </w:p>
              </w:tc>
              <w:tc>
                <w:tcPr>
                  <w:tcW w:w="2409" w:type="dxa"/>
                  <w:tcBorders>
                    <w:top w:val="single" w:sz="4" w:space="0" w:color="auto"/>
                    <w:left w:val="single" w:sz="4" w:space="0" w:color="auto"/>
                    <w:bottom w:val="single" w:sz="4" w:space="0" w:color="auto"/>
                    <w:right w:val="single" w:sz="4" w:space="0" w:color="auto"/>
                  </w:tcBorders>
                  <w:vAlign w:val="center"/>
                </w:tcPr>
                <w:p w14:paraId="3E4142F2"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15/01/2030</w:t>
                  </w:r>
                </w:p>
              </w:tc>
            </w:tr>
            <w:tr w:rsidR="008C3935" w:rsidRPr="00D8141D" w14:paraId="7DF627C0"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1403D041" w14:textId="77777777" w:rsidR="008C3935" w:rsidRPr="00D8141D" w:rsidRDefault="008C3935" w:rsidP="00520C10">
                  <w:pPr>
                    <w:widowControl w:val="0"/>
                    <w:jc w:val="center"/>
                    <w:rPr>
                      <w:rFonts w:cs="Calibri"/>
                      <w:b/>
                      <w:bCs/>
                      <w:sz w:val="16"/>
                      <w:szCs w:val="16"/>
                    </w:rPr>
                  </w:pPr>
                  <w:r w:rsidRPr="00D8141D">
                    <w:rPr>
                      <w:rFonts w:cs="Calibri"/>
                      <w:b/>
                      <w:bCs/>
                      <w:sz w:val="16"/>
                      <w:szCs w:val="16"/>
                    </w:rPr>
                    <w:t>17</w:t>
                  </w:r>
                </w:p>
              </w:tc>
              <w:tc>
                <w:tcPr>
                  <w:tcW w:w="2409" w:type="dxa"/>
                  <w:tcBorders>
                    <w:top w:val="single" w:sz="4" w:space="0" w:color="auto"/>
                    <w:left w:val="single" w:sz="4" w:space="0" w:color="auto"/>
                    <w:bottom w:val="single" w:sz="4" w:space="0" w:color="auto"/>
                    <w:right w:val="single" w:sz="4" w:space="0" w:color="auto"/>
                  </w:tcBorders>
                  <w:vAlign w:val="center"/>
                </w:tcPr>
                <w:p w14:paraId="7158FD31"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15/07/2030</w:t>
                  </w:r>
                </w:p>
              </w:tc>
            </w:tr>
            <w:tr w:rsidR="008C3935" w:rsidRPr="00D8141D" w14:paraId="53B267F0"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675FE0C4" w14:textId="77777777" w:rsidR="008C3935" w:rsidRPr="00D8141D" w:rsidRDefault="008C3935" w:rsidP="00520C10">
                  <w:pPr>
                    <w:widowControl w:val="0"/>
                    <w:jc w:val="center"/>
                    <w:rPr>
                      <w:rFonts w:cs="Calibri"/>
                      <w:b/>
                      <w:bCs/>
                      <w:sz w:val="16"/>
                      <w:szCs w:val="16"/>
                    </w:rPr>
                  </w:pPr>
                  <w:r w:rsidRPr="00D8141D">
                    <w:rPr>
                      <w:rFonts w:cs="Calibri"/>
                      <w:b/>
                      <w:bCs/>
                      <w:sz w:val="16"/>
                      <w:szCs w:val="16"/>
                    </w:rPr>
                    <w:t>18</w:t>
                  </w:r>
                </w:p>
              </w:tc>
              <w:tc>
                <w:tcPr>
                  <w:tcW w:w="2409" w:type="dxa"/>
                  <w:tcBorders>
                    <w:top w:val="single" w:sz="4" w:space="0" w:color="auto"/>
                    <w:left w:val="single" w:sz="4" w:space="0" w:color="auto"/>
                    <w:bottom w:val="single" w:sz="4" w:space="0" w:color="auto"/>
                    <w:right w:val="single" w:sz="4" w:space="0" w:color="auto"/>
                  </w:tcBorders>
                  <w:vAlign w:val="center"/>
                </w:tcPr>
                <w:p w14:paraId="643EAE52"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15/01/2031</w:t>
                  </w:r>
                </w:p>
              </w:tc>
            </w:tr>
            <w:tr w:rsidR="008C3935" w:rsidRPr="00D8141D" w14:paraId="30519A79"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7E4A4E75" w14:textId="77777777" w:rsidR="008C3935" w:rsidRPr="00D8141D" w:rsidRDefault="008C3935" w:rsidP="00520C10">
                  <w:pPr>
                    <w:widowControl w:val="0"/>
                    <w:jc w:val="center"/>
                    <w:rPr>
                      <w:rFonts w:cs="Calibri"/>
                      <w:b/>
                      <w:bCs/>
                      <w:sz w:val="16"/>
                      <w:szCs w:val="16"/>
                    </w:rPr>
                  </w:pPr>
                  <w:r w:rsidRPr="00D8141D">
                    <w:rPr>
                      <w:rFonts w:cs="Calibri"/>
                      <w:b/>
                      <w:bCs/>
                      <w:sz w:val="16"/>
                      <w:szCs w:val="16"/>
                    </w:rPr>
                    <w:t>19</w:t>
                  </w:r>
                </w:p>
              </w:tc>
              <w:tc>
                <w:tcPr>
                  <w:tcW w:w="2409" w:type="dxa"/>
                  <w:tcBorders>
                    <w:top w:val="single" w:sz="4" w:space="0" w:color="auto"/>
                    <w:left w:val="single" w:sz="4" w:space="0" w:color="auto"/>
                    <w:bottom w:val="single" w:sz="4" w:space="0" w:color="auto"/>
                    <w:right w:val="single" w:sz="4" w:space="0" w:color="auto"/>
                  </w:tcBorders>
                  <w:vAlign w:val="center"/>
                </w:tcPr>
                <w:p w14:paraId="03B0CA68" w14:textId="77777777" w:rsidR="008C3935" w:rsidRPr="00D8141D" w:rsidRDefault="008C3935" w:rsidP="00520C10">
                  <w:pPr>
                    <w:widowControl w:val="0"/>
                    <w:jc w:val="center"/>
                    <w:rPr>
                      <w:rFonts w:cs="Calibri"/>
                      <w:sz w:val="16"/>
                      <w:szCs w:val="16"/>
                    </w:rPr>
                  </w:pPr>
                  <w:r w:rsidRPr="00D8141D">
                    <w:rPr>
                      <w:rFonts w:cs="Calibri"/>
                      <w:color w:val="000000"/>
                      <w:sz w:val="16"/>
                      <w:szCs w:val="16"/>
                    </w:rPr>
                    <w:t>15/07/2031</w:t>
                  </w:r>
                </w:p>
              </w:tc>
            </w:tr>
            <w:tr w:rsidR="008C3935" w:rsidRPr="0082022E" w14:paraId="7230F677" w14:textId="77777777" w:rsidTr="008C3935">
              <w:trPr>
                <w:trHeight w:val="131"/>
              </w:trPr>
              <w:tc>
                <w:tcPr>
                  <w:tcW w:w="1555" w:type="dxa"/>
                  <w:tcBorders>
                    <w:top w:val="single" w:sz="4" w:space="0" w:color="auto"/>
                    <w:left w:val="single" w:sz="4" w:space="0" w:color="auto"/>
                    <w:bottom w:val="single" w:sz="4" w:space="0" w:color="auto"/>
                    <w:right w:val="single" w:sz="4" w:space="0" w:color="auto"/>
                  </w:tcBorders>
                </w:tcPr>
                <w:p w14:paraId="459FF19E" w14:textId="77777777" w:rsidR="008C3935" w:rsidRPr="00D8141D" w:rsidRDefault="008C3935" w:rsidP="00520C10">
                  <w:pPr>
                    <w:widowControl w:val="0"/>
                    <w:jc w:val="center"/>
                    <w:rPr>
                      <w:rFonts w:cs="Calibri"/>
                      <w:b/>
                      <w:bCs/>
                      <w:sz w:val="16"/>
                      <w:szCs w:val="16"/>
                    </w:rPr>
                  </w:pPr>
                  <w:r w:rsidRPr="00D8141D">
                    <w:rPr>
                      <w:rFonts w:cs="Calibri"/>
                      <w:b/>
                      <w:bCs/>
                      <w:sz w:val="16"/>
                      <w:szCs w:val="16"/>
                    </w:rPr>
                    <w:t>20</w:t>
                  </w:r>
                </w:p>
              </w:tc>
              <w:tc>
                <w:tcPr>
                  <w:tcW w:w="2409" w:type="dxa"/>
                  <w:tcBorders>
                    <w:top w:val="single" w:sz="4" w:space="0" w:color="auto"/>
                    <w:left w:val="single" w:sz="4" w:space="0" w:color="auto"/>
                    <w:bottom w:val="single" w:sz="4" w:space="0" w:color="auto"/>
                    <w:right w:val="single" w:sz="4" w:space="0" w:color="auto"/>
                  </w:tcBorders>
                </w:tcPr>
                <w:p w14:paraId="24051630" w14:textId="77777777" w:rsidR="008C3935" w:rsidRPr="00566CD3" w:rsidRDefault="008C3935" w:rsidP="00520C10">
                  <w:pPr>
                    <w:widowControl w:val="0"/>
                    <w:jc w:val="center"/>
                    <w:rPr>
                      <w:sz w:val="16"/>
                    </w:rPr>
                  </w:pPr>
                  <w:r w:rsidRPr="00566CD3">
                    <w:rPr>
                      <w:sz w:val="16"/>
                    </w:rPr>
                    <w:t>Data de Vencimento da Primeira Série</w:t>
                  </w:r>
                </w:p>
              </w:tc>
            </w:tr>
          </w:tbl>
          <w:p w14:paraId="5B6C3AED" w14:textId="77777777" w:rsidR="003873C8" w:rsidRPr="00D8141D" w:rsidRDefault="003873C8" w:rsidP="00520C10">
            <w:pPr>
              <w:pStyle w:val="HOMEBRBodyText"/>
              <w:keepLines w:val="0"/>
              <w:widowControl w:val="0"/>
              <w:spacing w:after="140" w:line="290" w:lineRule="auto"/>
              <w:jc w:val="both"/>
              <w:rPr>
                <w:rFonts w:eastAsia="Calibri" w:cs="Calibri"/>
                <w:lang w:val="pt-BR"/>
              </w:rPr>
            </w:pPr>
          </w:p>
          <w:p w14:paraId="621D6E23" w14:textId="77777777" w:rsidR="003873C8" w:rsidRPr="00D8141D" w:rsidRDefault="003873C8" w:rsidP="00520C10">
            <w:pPr>
              <w:pStyle w:val="HOMEBRBodyText"/>
              <w:keepLines w:val="0"/>
              <w:widowControl w:val="0"/>
              <w:spacing w:after="140" w:line="290" w:lineRule="auto"/>
              <w:jc w:val="both"/>
              <w:rPr>
                <w:rFonts w:cs="Calibri"/>
                <w:lang w:val="pt-BR"/>
              </w:rPr>
            </w:pPr>
          </w:p>
        </w:tc>
      </w:tr>
      <w:tr w:rsidR="003873C8" w:rsidRPr="0082022E" w14:paraId="78F454BC" w14:textId="77777777" w:rsidTr="003E13AA">
        <w:tc>
          <w:tcPr>
            <w:tcW w:w="1345" w:type="pct"/>
            <w:shd w:val="clear" w:color="auto" w:fill="auto"/>
          </w:tcPr>
          <w:p w14:paraId="780BB2EF" w14:textId="77777777"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Data de Pagamento de Juros Remuneratórios da Segunda Série</w:t>
            </w:r>
          </w:p>
        </w:tc>
        <w:tc>
          <w:tcPr>
            <w:tcW w:w="3655" w:type="pct"/>
            <w:shd w:val="clear" w:color="auto" w:fill="auto"/>
          </w:tcPr>
          <w:p w14:paraId="73DC666B" w14:textId="77777777" w:rsidR="003873C8" w:rsidRPr="00D8141D" w:rsidRDefault="008C3935" w:rsidP="00520C10">
            <w:pPr>
              <w:pStyle w:val="HOMEBRBodyText"/>
              <w:keepLines w:val="0"/>
              <w:widowControl w:val="0"/>
              <w:spacing w:after="140" w:line="290" w:lineRule="auto"/>
              <w:jc w:val="both"/>
              <w:rPr>
                <w:rFonts w:cs="Calibri"/>
                <w:lang w:val="pt-BR"/>
              </w:rPr>
            </w:pPr>
            <w:r w:rsidRPr="0020727A">
              <w:rPr>
                <w:lang w:val="pt-BR"/>
              </w:rPr>
              <w:t xml:space="preserve">Sem prejuízo dos pagamentos em decorrência de vencimento antecipado das obrigações decorrentes das Debêntures, nos termos previstos na Escritura de Emissão, </w:t>
            </w:r>
            <w:r w:rsidRPr="00D8141D">
              <w:rPr>
                <w:rFonts w:cs="Calibri"/>
                <w:lang w:val="pt-BR"/>
              </w:rPr>
              <w:t>os Juros Remuneratórios da Segunda Série serão pagos pela Emissora aos Debenturistas semestralmente a partir da Data de Emissão, sendo, portanto, os pagamentos devidos no dia 15 dos meses julho e janeiro de cada ano, e caso referida data não seja um Dia Útil, o primeiro Dia Útil subsequente. O primeiro pagamento ocorrerá em 15 de julho de 2022 e o último pagamento ocorrerá na Data de Vencimento da Segunda Série:</w:t>
            </w:r>
          </w:p>
          <w:tbl>
            <w:tblPr>
              <w:tblW w:w="3828"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tblGrid>
            <w:tr w:rsidR="003873C8" w:rsidRPr="0082022E" w14:paraId="48B39FD4" w14:textId="77777777" w:rsidTr="00D8141D">
              <w:trPr>
                <w:trHeight w:val="406"/>
                <w:tblHeader/>
              </w:trPr>
              <w:tc>
                <w:tcPr>
                  <w:tcW w:w="993" w:type="dxa"/>
                  <w:shd w:val="clear" w:color="auto" w:fill="D9D9D9"/>
                  <w:vAlign w:val="center"/>
                </w:tcPr>
                <w:p w14:paraId="0C5A9084" w14:textId="77777777" w:rsidR="003873C8" w:rsidRPr="00D8141D" w:rsidRDefault="003873C8" w:rsidP="00520C10">
                  <w:pPr>
                    <w:pStyle w:val="p0"/>
                    <w:spacing w:before="60" w:after="60" w:line="240" w:lineRule="auto"/>
                    <w:jc w:val="center"/>
                    <w:rPr>
                      <w:rFonts w:ascii="Calibri" w:hAnsi="Calibri" w:cs="Calibri"/>
                      <w:b/>
                      <w:bCs/>
                      <w:color w:val="000000"/>
                      <w:sz w:val="16"/>
                      <w:szCs w:val="16"/>
                    </w:rPr>
                  </w:pPr>
                  <w:r w:rsidRPr="00D8141D">
                    <w:rPr>
                      <w:rFonts w:ascii="Calibri" w:hAnsi="Calibri" w:cs="Calibri"/>
                      <w:b/>
                      <w:bCs/>
                      <w:color w:val="000000"/>
                      <w:sz w:val="16"/>
                      <w:szCs w:val="16"/>
                    </w:rPr>
                    <w:lastRenderedPageBreak/>
                    <w:t>Parcelas</w:t>
                  </w:r>
                </w:p>
              </w:tc>
              <w:tc>
                <w:tcPr>
                  <w:tcW w:w="2835" w:type="dxa"/>
                  <w:shd w:val="clear" w:color="auto" w:fill="D9D9D9"/>
                  <w:vAlign w:val="center"/>
                </w:tcPr>
                <w:p w14:paraId="0966D2DA" w14:textId="77777777" w:rsidR="003873C8" w:rsidRPr="00566CD3" w:rsidRDefault="003873C8" w:rsidP="00520C10">
                  <w:pPr>
                    <w:pStyle w:val="p0"/>
                    <w:spacing w:before="60" w:after="60" w:line="240" w:lineRule="auto"/>
                    <w:jc w:val="center"/>
                    <w:rPr>
                      <w:rFonts w:ascii="Calibri" w:hAnsi="Calibri"/>
                      <w:b/>
                      <w:color w:val="000000"/>
                      <w:sz w:val="16"/>
                    </w:rPr>
                  </w:pPr>
                  <w:r w:rsidRPr="00566CD3">
                    <w:rPr>
                      <w:rFonts w:ascii="Calibri" w:hAnsi="Calibri"/>
                      <w:b/>
                      <w:color w:val="000000"/>
                      <w:sz w:val="16"/>
                    </w:rPr>
                    <w:t>Data de Pagamento da Remuneração</w:t>
                  </w:r>
                </w:p>
              </w:tc>
            </w:tr>
            <w:tr w:rsidR="008C3935" w:rsidRPr="00D8141D" w14:paraId="2E0CEF09" w14:textId="77777777" w:rsidTr="008C3935">
              <w:trPr>
                <w:trHeight w:val="126"/>
              </w:trPr>
              <w:tc>
                <w:tcPr>
                  <w:tcW w:w="993" w:type="dxa"/>
                </w:tcPr>
                <w:p w14:paraId="2E076F6B"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w:t>
                  </w:r>
                </w:p>
              </w:tc>
              <w:tc>
                <w:tcPr>
                  <w:tcW w:w="2835" w:type="dxa"/>
                  <w:vAlign w:val="center"/>
                </w:tcPr>
                <w:p w14:paraId="6E4A28D2"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15/07/2022</w:t>
                  </w:r>
                </w:p>
              </w:tc>
            </w:tr>
            <w:tr w:rsidR="008C3935" w:rsidRPr="00D8141D" w14:paraId="10C2829A" w14:textId="77777777" w:rsidTr="008C3935">
              <w:trPr>
                <w:trHeight w:val="126"/>
              </w:trPr>
              <w:tc>
                <w:tcPr>
                  <w:tcW w:w="993" w:type="dxa"/>
                </w:tcPr>
                <w:p w14:paraId="413AF1BA"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w:t>
                  </w:r>
                </w:p>
              </w:tc>
              <w:tc>
                <w:tcPr>
                  <w:tcW w:w="2835" w:type="dxa"/>
                  <w:vAlign w:val="center"/>
                </w:tcPr>
                <w:p w14:paraId="0D585506"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/01/2023</w:t>
                  </w:r>
                </w:p>
              </w:tc>
            </w:tr>
            <w:tr w:rsidR="008C3935" w:rsidRPr="00D8141D" w14:paraId="6FDE165F" w14:textId="77777777" w:rsidTr="008C3935">
              <w:trPr>
                <w:trHeight w:val="131"/>
              </w:trPr>
              <w:tc>
                <w:tcPr>
                  <w:tcW w:w="993" w:type="dxa"/>
                </w:tcPr>
                <w:p w14:paraId="111902FF"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3</w:t>
                  </w:r>
                </w:p>
              </w:tc>
              <w:tc>
                <w:tcPr>
                  <w:tcW w:w="2835" w:type="dxa"/>
                  <w:vAlign w:val="center"/>
                </w:tcPr>
                <w:p w14:paraId="0794BB32"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/07/2023</w:t>
                  </w:r>
                </w:p>
              </w:tc>
            </w:tr>
            <w:tr w:rsidR="008C3935" w:rsidRPr="00D8141D" w14:paraId="625BF2E5" w14:textId="77777777" w:rsidTr="008C3935">
              <w:trPr>
                <w:trHeight w:val="131"/>
              </w:trPr>
              <w:tc>
                <w:tcPr>
                  <w:tcW w:w="993" w:type="dxa"/>
                </w:tcPr>
                <w:p w14:paraId="360D36F8"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4</w:t>
                  </w:r>
                </w:p>
              </w:tc>
              <w:tc>
                <w:tcPr>
                  <w:tcW w:w="2835" w:type="dxa"/>
                  <w:vAlign w:val="center"/>
                </w:tcPr>
                <w:p w14:paraId="340296B2"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15/01/2024</w:t>
                  </w:r>
                </w:p>
              </w:tc>
            </w:tr>
            <w:tr w:rsidR="008C3935" w:rsidRPr="00D8141D" w14:paraId="60C37A9E" w14:textId="77777777" w:rsidTr="008C3935">
              <w:trPr>
                <w:trHeight w:val="131"/>
              </w:trPr>
              <w:tc>
                <w:tcPr>
                  <w:tcW w:w="993" w:type="dxa"/>
                </w:tcPr>
                <w:p w14:paraId="7C8218EC"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5</w:t>
                  </w:r>
                </w:p>
              </w:tc>
              <w:tc>
                <w:tcPr>
                  <w:tcW w:w="2835" w:type="dxa"/>
                  <w:vAlign w:val="center"/>
                </w:tcPr>
                <w:p w14:paraId="26031EDB"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15/07/2024</w:t>
                  </w:r>
                </w:p>
              </w:tc>
            </w:tr>
            <w:tr w:rsidR="008C3935" w:rsidRPr="00D8141D" w14:paraId="380984F4" w14:textId="77777777" w:rsidTr="008C3935">
              <w:trPr>
                <w:trHeight w:val="131"/>
              </w:trPr>
              <w:tc>
                <w:tcPr>
                  <w:tcW w:w="993" w:type="dxa"/>
                </w:tcPr>
                <w:p w14:paraId="4643EF0B"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6</w:t>
                  </w:r>
                </w:p>
              </w:tc>
              <w:tc>
                <w:tcPr>
                  <w:tcW w:w="2835" w:type="dxa"/>
                  <w:vAlign w:val="center"/>
                </w:tcPr>
                <w:p w14:paraId="37364533"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15/01/2025</w:t>
                  </w:r>
                </w:p>
              </w:tc>
            </w:tr>
            <w:tr w:rsidR="008C3935" w:rsidRPr="00D8141D" w14:paraId="2E68EC41" w14:textId="77777777" w:rsidTr="008C3935">
              <w:trPr>
                <w:trHeight w:val="131"/>
              </w:trPr>
              <w:tc>
                <w:tcPr>
                  <w:tcW w:w="993" w:type="dxa"/>
                </w:tcPr>
                <w:p w14:paraId="603E4CCC"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7</w:t>
                  </w:r>
                </w:p>
              </w:tc>
              <w:tc>
                <w:tcPr>
                  <w:tcW w:w="2835" w:type="dxa"/>
                  <w:vAlign w:val="center"/>
                </w:tcPr>
                <w:p w14:paraId="511504E0"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15/07/2025</w:t>
                  </w:r>
                </w:p>
              </w:tc>
            </w:tr>
            <w:tr w:rsidR="008C3935" w:rsidRPr="00D8141D" w14:paraId="78D012F4" w14:textId="77777777" w:rsidTr="008C3935">
              <w:trPr>
                <w:trHeight w:val="131"/>
              </w:trPr>
              <w:tc>
                <w:tcPr>
                  <w:tcW w:w="993" w:type="dxa"/>
                </w:tcPr>
                <w:p w14:paraId="0A3C3C27"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8</w:t>
                  </w:r>
                </w:p>
              </w:tc>
              <w:tc>
                <w:tcPr>
                  <w:tcW w:w="2835" w:type="dxa"/>
                  <w:vAlign w:val="center"/>
                </w:tcPr>
                <w:p w14:paraId="43DC6308"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15/01/2026</w:t>
                  </w:r>
                </w:p>
              </w:tc>
            </w:tr>
            <w:tr w:rsidR="008C3935" w:rsidRPr="00D8141D" w14:paraId="5D1DFF5D" w14:textId="77777777" w:rsidTr="008C3935">
              <w:trPr>
                <w:trHeight w:val="131"/>
              </w:trPr>
              <w:tc>
                <w:tcPr>
                  <w:tcW w:w="993" w:type="dxa"/>
                </w:tcPr>
                <w:p w14:paraId="61740DCE"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9</w:t>
                  </w:r>
                </w:p>
              </w:tc>
              <w:tc>
                <w:tcPr>
                  <w:tcW w:w="2835" w:type="dxa"/>
                  <w:vAlign w:val="center"/>
                </w:tcPr>
                <w:p w14:paraId="3C4278B8"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15/07/2026</w:t>
                  </w:r>
                </w:p>
              </w:tc>
            </w:tr>
            <w:tr w:rsidR="008C3935" w:rsidRPr="00D8141D" w14:paraId="417ECC9F" w14:textId="77777777" w:rsidTr="008C3935">
              <w:trPr>
                <w:trHeight w:val="131"/>
              </w:trPr>
              <w:tc>
                <w:tcPr>
                  <w:tcW w:w="993" w:type="dxa"/>
                </w:tcPr>
                <w:p w14:paraId="62DA686D"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10</w:t>
                  </w:r>
                </w:p>
              </w:tc>
              <w:tc>
                <w:tcPr>
                  <w:tcW w:w="2835" w:type="dxa"/>
                  <w:vAlign w:val="center"/>
                </w:tcPr>
                <w:p w14:paraId="6FE50F09" w14:textId="77777777" w:rsidR="008C3935" w:rsidRPr="00D8141D" w:rsidRDefault="008C3935" w:rsidP="00520C10">
                  <w:pPr>
                    <w:pStyle w:val="p0"/>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15/01/2027</w:t>
                  </w:r>
                </w:p>
              </w:tc>
            </w:tr>
            <w:tr w:rsidR="008C3935" w:rsidRPr="00D8141D" w14:paraId="55FFCC42"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387CCF72"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11</w:t>
                  </w:r>
                </w:p>
              </w:tc>
              <w:tc>
                <w:tcPr>
                  <w:tcW w:w="2835" w:type="dxa"/>
                  <w:tcBorders>
                    <w:top w:val="single" w:sz="4" w:space="0" w:color="auto"/>
                    <w:left w:val="single" w:sz="4" w:space="0" w:color="auto"/>
                    <w:bottom w:val="single" w:sz="4" w:space="0" w:color="auto"/>
                    <w:right w:val="single" w:sz="4" w:space="0" w:color="auto"/>
                  </w:tcBorders>
                  <w:vAlign w:val="center"/>
                </w:tcPr>
                <w:p w14:paraId="272F2088"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15/07/2027</w:t>
                  </w:r>
                </w:p>
              </w:tc>
            </w:tr>
            <w:tr w:rsidR="008C3935" w:rsidRPr="00D8141D" w14:paraId="7CC41346"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514BEB6C"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12</w:t>
                  </w:r>
                </w:p>
              </w:tc>
              <w:tc>
                <w:tcPr>
                  <w:tcW w:w="2835" w:type="dxa"/>
                  <w:tcBorders>
                    <w:top w:val="single" w:sz="4" w:space="0" w:color="auto"/>
                    <w:left w:val="single" w:sz="4" w:space="0" w:color="auto"/>
                    <w:bottom w:val="single" w:sz="4" w:space="0" w:color="auto"/>
                    <w:right w:val="single" w:sz="4" w:space="0" w:color="auto"/>
                  </w:tcBorders>
                  <w:vAlign w:val="center"/>
                </w:tcPr>
                <w:p w14:paraId="68937A34"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/01/2028</w:t>
                  </w:r>
                </w:p>
              </w:tc>
            </w:tr>
            <w:tr w:rsidR="008C3935" w:rsidRPr="00D8141D" w14:paraId="677A6260"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09246456"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13</w:t>
                  </w:r>
                </w:p>
              </w:tc>
              <w:tc>
                <w:tcPr>
                  <w:tcW w:w="2835" w:type="dxa"/>
                  <w:tcBorders>
                    <w:top w:val="single" w:sz="4" w:space="0" w:color="auto"/>
                    <w:left w:val="single" w:sz="4" w:space="0" w:color="auto"/>
                    <w:bottom w:val="single" w:sz="4" w:space="0" w:color="auto"/>
                    <w:right w:val="single" w:sz="4" w:space="0" w:color="auto"/>
                  </w:tcBorders>
                  <w:vAlign w:val="center"/>
                </w:tcPr>
                <w:p w14:paraId="5429ED1D"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/07/2028</w:t>
                  </w:r>
                </w:p>
              </w:tc>
            </w:tr>
            <w:tr w:rsidR="008C3935" w:rsidRPr="00D8141D" w14:paraId="7B17E2B9"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5D1CEBD8"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14</w:t>
                  </w:r>
                </w:p>
              </w:tc>
              <w:tc>
                <w:tcPr>
                  <w:tcW w:w="2835" w:type="dxa"/>
                  <w:tcBorders>
                    <w:top w:val="single" w:sz="4" w:space="0" w:color="auto"/>
                    <w:left w:val="single" w:sz="4" w:space="0" w:color="auto"/>
                    <w:bottom w:val="single" w:sz="4" w:space="0" w:color="auto"/>
                    <w:right w:val="single" w:sz="4" w:space="0" w:color="auto"/>
                  </w:tcBorders>
                  <w:vAlign w:val="center"/>
                </w:tcPr>
                <w:p w14:paraId="399097AF"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15/01/2029</w:t>
                  </w:r>
                </w:p>
              </w:tc>
            </w:tr>
            <w:tr w:rsidR="008C3935" w:rsidRPr="00D8141D" w14:paraId="66CA93C7"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5E61BE5A"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15</w:t>
                  </w:r>
                </w:p>
              </w:tc>
              <w:tc>
                <w:tcPr>
                  <w:tcW w:w="2835" w:type="dxa"/>
                  <w:tcBorders>
                    <w:top w:val="single" w:sz="4" w:space="0" w:color="auto"/>
                    <w:left w:val="single" w:sz="4" w:space="0" w:color="auto"/>
                    <w:bottom w:val="single" w:sz="4" w:space="0" w:color="auto"/>
                    <w:right w:val="single" w:sz="4" w:space="0" w:color="auto"/>
                  </w:tcBorders>
                  <w:vAlign w:val="center"/>
                </w:tcPr>
                <w:p w14:paraId="66D0794E"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/07/2029</w:t>
                  </w:r>
                </w:p>
              </w:tc>
            </w:tr>
            <w:tr w:rsidR="008C3935" w:rsidRPr="00D8141D" w14:paraId="048E073E"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04942F75"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16</w:t>
                  </w:r>
                </w:p>
              </w:tc>
              <w:tc>
                <w:tcPr>
                  <w:tcW w:w="2835" w:type="dxa"/>
                  <w:tcBorders>
                    <w:top w:val="single" w:sz="4" w:space="0" w:color="auto"/>
                    <w:left w:val="single" w:sz="4" w:space="0" w:color="auto"/>
                    <w:bottom w:val="single" w:sz="4" w:space="0" w:color="auto"/>
                    <w:right w:val="single" w:sz="4" w:space="0" w:color="auto"/>
                  </w:tcBorders>
                  <w:vAlign w:val="center"/>
                </w:tcPr>
                <w:p w14:paraId="43ED6023"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15/01/2030</w:t>
                  </w:r>
                </w:p>
              </w:tc>
            </w:tr>
            <w:tr w:rsidR="008C3935" w:rsidRPr="00D8141D" w14:paraId="62996E1D"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57B897E9"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17</w:t>
                  </w:r>
                </w:p>
              </w:tc>
              <w:tc>
                <w:tcPr>
                  <w:tcW w:w="2835" w:type="dxa"/>
                  <w:tcBorders>
                    <w:top w:val="single" w:sz="4" w:space="0" w:color="auto"/>
                    <w:left w:val="single" w:sz="4" w:space="0" w:color="auto"/>
                    <w:bottom w:val="single" w:sz="4" w:space="0" w:color="auto"/>
                    <w:right w:val="single" w:sz="4" w:space="0" w:color="auto"/>
                  </w:tcBorders>
                  <w:vAlign w:val="center"/>
                </w:tcPr>
                <w:p w14:paraId="5FA89CEF"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15/07/2030</w:t>
                  </w:r>
                </w:p>
              </w:tc>
            </w:tr>
            <w:tr w:rsidR="008C3935" w:rsidRPr="00D8141D" w14:paraId="7D4CCC62"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332240F4"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18</w:t>
                  </w:r>
                </w:p>
              </w:tc>
              <w:tc>
                <w:tcPr>
                  <w:tcW w:w="2835" w:type="dxa"/>
                  <w:tcBorders>
                    <w:top w:val="single" w:sz="4" w:space="0" w:color="auto"/>
                    <w:left w:val="single" w:sz="4" w:space="0" w:color="auto"/>
                    <w:bottom w:val="single" w:sz="4" w:space="0" w:color="auto"/>
                    <w:right w:val="single" w:sz="4" w:space="0" w:color="auto"/>
                  </w:tcBorders>
                  <w:vAlign w:val="center"/>
                </w:tcPr>
                <w:p w14:paraId="44229221"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15/01/2031</w:t>
                  </w:r>
                </w:p>
              </w:tc>
            </w:tr>
            <w:tr w:rsidR="008C3935" w:rsidRPr="00D8141D" w14:paraId="5DE78F31"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0649C7FD"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19</w:t>
                  </w:r>
                </w:p>
              </w:tc>
              <w:tc>
                <w:tcPr>
                  <w:tcW w:w="2835" w:type="dxa"/>
                  <w:tcBorders>
                    <w:top w:val="single" w:sz="4" w:space="0" w:color="auto"/>
                    <w:left w:val="single" w:sz="4" w:space="0" w:color="auto"/>
                    <w:bottom w:val="single" w:sz="4" w:space="0" w:color="auto"/>
                    <w:right w:val="single" w:sz="4" w:space="0" w:color="auto"/>
                  </w:tcBorders>
                  <w:vAlign w:val="center"/>
                </w:tcPr>
                <w:p w14:paraId="5789D61A"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15/07/2031</w:t>
                  </w:r>
                </w:p>
              </w:tc>
            </w:tr>
            <w:tr w:rsidR="008C3935" w:rsidRPr="00D8141D" w14:paraId="48FD967D"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176D2C49"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20</w:t>
                  </w:r>
                </w:p>
              </w:tc>
              <w:tc>
                <w:tcPr>
                  <w:tcW w:w="2835" w:type="dxa"/>
                  <w:tcBorders>
                    <w:top w:val="single" w:sz="4" w:space="0" w:color="auto"/>
                    <w:left w:val="single" w:sz="4" w:space="0" w:color="auto"/>
                    <w:bottom w:val="single" w:sz="4" w:space="0" w:color="auto"/>
                    <w:right w:val="single" w:sz="4" w:space="0" w:color="auto"/>
                  </w:tcBorders>
                  <w:vAlign w:val="center"/>
                </w:tcPr>
                <w:p w14:paraId="5248AC0F"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15/01/2032</w:t>
                  </w:r>
                </w:p>
              </w:tc>
            </w:tr>
            <w:tr w:rsidR="008C3935" w:rsidRPr="00D8141D" w14:paraId="1885F94B"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4383077C"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21</w:t>
                  </w:r>
                </w:p>
              </w:tc>
              <w:tc>
                <w:tcPr>
                  <w:tcW w:w="2835" w:type="dxa"/>
                  <w:tcBorders>
                    <w:top w:val="single" w:sz="4" w:space="0" w:color="auto"/>
                    <w:left w:val="single" w:sz="4" w:space="0" w:color="auto"/>
                    <w:bottom w:val="single" w:sz="4" w:space="0" w:color="auto"/>
                    <w:right w:val="single" w:sz="4" w:space="0" w:color="auto"/>
                  </w:tcBorders>
                  <w:vAlign w:val="center"/>
                </w:tcPr>
                <w:p w14:paraId="14C3043B"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15/07/2032</w:t>
                  </w:r>
                </w:p>
              </w:tc>
            </w:tr>
            <w:tr w:rsidR="008C3935" w:rsidRPr="00D8141D" w14:paraId="0EA0BEF2"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66B96C04"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22</w:t>
                  </w:r>
                </w:p>
              </w:tc>
              <w:tc>
                <w:tcPr>
                  <w:tcW w:w="2835" w:type="dxa"/>
                  <w:tcBorders>
                    <w:top w:val="single" w:sz="4" w:space="0" w:color="auto"/>
                    <w:left w:val="single" w:sz="4" w:space="0" w:color="auto"/>
                    <w:bottom w:val="single" w:sz="4" w:space="0" w:color="auto"/>
                    <w:right w:val="single" w:sz="4" w:space="0" w:color="auto"/>
                  </w:tcBorders>
                  <w:vAlign w:val="center"/>
                </w:tcPr>
                <w:p w14:paraId="7271B103"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/01/2033</w:t>
                  </w:r>
                </w:p>
              </w:tc>
            </w:tr>
            <w:tr w:rsidR="008C3935" w:rsidRPr="00D8141D" w14:paraId="6A455B4E"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47CA1152"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23</w:t>
                  </w:r>
                </w:p>
              </w:tc>
              <w:tc>
                <w:tcPr>
                  <w:tcW w:w="2835" w:type="dxa"/>
                  <w:tcBorders>
                    <w:top w:val="single" w:sz="4" w:space="0" w:color="auto"/>
                    <w:left w:val="single" w:sz="4" w:space="0" w:color="auto"/>
                    <w:bottom w:val="single" w:sz="4" w:space="0" w:color="auto"/>
                    <w:right w:val="single" w:sz="4" w:space="0" w:color="auto"/>
                  </w:tcBorders>
                  <w:vAlign w:val="center"/>
                </w:tcPr>
                <w:p w14:paraId="2E07549A"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15/07/2033</w:t>
                  </w:r>
                </w:p>
              </w:tc>
            </w:tr>
            <w:tr w:rsidR="008C3935" w:rsidRPr="00D8141D" w14:paraId="01AA7FB4"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01CCA47E"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24</w:t>
                  </w:r>
                </w:p>
              </w:tc>
              <w:tc>
                <w:tcPr>
                  <w:tcW w:w="2835" w:type="dxa"/>
                  <w:tcBorders>
                    <w:top w:val="single" w:sz="4" w:space="0" w:color="auto"/>
                    <w:left w:val="single" w:sz="4" w:space="0" w:color="auto"/>
                    <w:bottom w:val="single" w:sz="4" w:space="0" w:color="auto"/>
                    <w:right w:val="single" w:sz="4" w:space="0" w:color="auto"/>
                  </w:tcBorders>
                  <w:vAlign w:val="center"/>
                </w:tcPr>
                <w:p w14:paraId="22CF317E"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/01/2034</w:t>
                  </w:r>
                </w:p>
              </w:tc>
            </w:tr>
            <w:tr w:rsidR="008C3935" w:rsidRPr="00D8141D" w14:paraId="449B59F7"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04F1C71B"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25</w:t>
                  </w:r>
                </w:p>
              </w:tc>
              <w:tc>
                <w:tcPr>
                  <w:tcW w:w="2835" w:type="dxa"/>
                  <w:tcBorders>
                    <w:top w:val="single" w:sz="4" w:space="0" w:color="auto"/>
                    <w:left w:val="single" w:sz="4" w:space="0" w:color="auto"/>
                    <w:bottom w:val="single" w:sz="4" w:space="0" w:color="auto"/>
                    <w:right w:val="single" w:sz="4" w:space="0" w:color="auto"/>
                  </w:tcBorders>
                  <w:vAlign w:val="center"/>
                </w:tcPr>
                <w:p w14:paraId="4A6FF874"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/07/2034</w:t>
                  </w:r>
                </w:p>
              </w:tc>
            </w:tr>
            <w:tr w:rsidR="008C3935" w:rsidRPr="00D8141D" w14:paraId="10C815FE"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16D72F80"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26</w:t>
                  </w:r>
                </w:p>
              </w:tc>
              <w:tc>
                <w:tcPr>
                  <w:tcW w:w="2835" w:type="dxa"/>
                  <w:tcBorders>
                    <w:top w:val="single" w:sz="4" w:space="0" w:color="auto"/>
                    <w:left w:val="single" w:sz="4" w:space="0" w:color="auto"/>
                    <w:bottom w:val="single" w:sz="4" w:space="0" w:color="auto"/>
                    <w:right w:val="single" w:sz="4" w:space="0" w:color="auto"/>
                  </w:tcBorders>
                  <w:vAlign w:val="center"/>
                </w:tcPr>
                <w:p w14:paraId="58460203"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15/01/2035</w:t>
                  </w:r>
                </w:p>
              </w:tc>
            </w:tr>
            <w:tr w:rsidR="008C3935" w:rsidRPr="00D8141D" w14:paraId="64944701"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67007023"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27</w:t>
                  </w:r>
                </w:p>
              </w:tc>
              <w:tc>
                <w:tcPr>
                  <w:tcW w:w="2835" w:type="dxa"/>
                  <w:tcBorders>
                    <w:top w:val="single" w:sz="4" w:space="0" w:color="auto"/>
                    <w:left w:val="single" w:sz="4" w:space="0" w:color="auto"/>
                    <w:bottom w:val="single" w:sz="4" w:space="0" w:color="auto"/>
                    <w:right w:val="single" w:sz="4" w:space="0" w:color="auto"/>
                  </w:tcBorders>
                  <w:vAlign w:val="center"/>
                </w:tcPr>
                <w:p w14:paraId="16DAD7C4"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294AEA" w:rsidRPr="0020727A">
                    <w:rPr>
                      <w:rFonts w:ascii="Calibri" w:hAnsi="Calibri" w:cs="Calibri"/>
                      <w:color w:val="000000"/>
                      <w:sz w:val="16"/>
                      <w:szCs w:val="16"/>
                    </w:rPr>
                    <w:t>5</w:t>
                  </w:r>
                  <w:r w:rsidRPr="0020727A">
                    <w:rPr>
                      <w:rFonts w:ascii="Calibri" w:hAnsi="Calibri" w:cs="Calibri"/>
                      <w:color w:val="000000"/>
                      <w:sz w:val="16"/>
                      <w:szCs w:val="16"/>
                    </w:rPr>
                    <w:t>/07/2035</w:t>
                  </w:r>
                </w:p>
              </w:tc>
            </w:tr>
            <w:tr w:rsidR="008C3935" w:rsidRPr="00D8141D" w14:paraId="39EDF489"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2774D22C"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28</w:t>
                  </w:r>
                </w:p>
              </w:tc>
              <w:tc>
                <w:tcPr>
                  <w:tcW w:w="2835" w:type="dxa"/>
                  <w:tcBorders>
                    <w:top w:val="single" w:sz="4" w:space="0" w:color="auto"/>
                    <w:left w:val="single" w:sz="4" w:space="0" w:color="auto"/>
                    <w:bottom w:val="single" w:sz="4" w:space="0" w:color="auto"/>
                    <w:right w:val="single" w:sz="4" w:space="0" w:color="auto"/>
                  </w:tcBorders>
                  <w:vAlign w:val="center"/>
                </w:tcPr>
                <w:p w14:paraId="47AFAF89"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15/01/2036</w:t>
                  </w:r>
                </w:p>
              </w:tc>
            </w:tr>
            <w:tr w:rsidR="008C3935" w:rsidRPr="00D8141D" w14:paraId="48349272"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78CAF678"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29</w:t>
                  </w:r>
                </w:p>
              </w:tc>
              <w:tc>
                <w:tcPr>
                  <w:tcW w:w="2835" w:type="dxa"/>
                  <w:tcBorders>
                    <w:top w:val="single" w:sz="4" w:space="0" w:color="auto"/>
                    <w:left w:val="single" w:sz="4" w:space="0" w:color="auto"/>
                    <w:bottom w:val="single" w:sz="4" w:space="0" w:color="auto"/>
                    <w:right w:val="single" w:sz="4" w:space="0" w:color="auto"/>
                  </w:tcBorders>
                  <w:vAlign w:val="center"/>
                </w:tcPr>
                <w:p w14:paraId="1D5E5D78" w14:textId="77777777" w:rsidR="008C3935" w:rsidRPr="00D8141D" w:rsidRDefault="008C3935" w:rsidP="00520C10">
                  <w:pPr>
                    <w:pStyle w:val="p0"/>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15/07/2036</w:t>
                  </w:r>
                </w:p>
              </w:tc>
            </w:tr>
            <w:tr w:rsidR="008C3935" w:rsidRPr="0082022E" w14:paraId="14C5EB54" w14:textId="77777777" w:rsidTr="008C3935">
              <w:trPr>
                <w:trHeight w:val="131"/>
              </w:trPr>
              <w:tc>
                <w:tcPr>
                  <w:tcW w:w="993" w:type="dxa"/>
                  <w:tcBorders>
                    <w:top w:val="single" w:sz="4" w:space="0" w:color="auto"/>
                    <w:left w:val="single" w:sz="4" w:space="0" w:color="auto"/>
                    <w:bottom w:val="single" w:sz="4" w:space="0" w:color="auto"/>
                    <w:right w:val="single" w:sz="4" w:space="0" w:color="auto"/>
                  </w:tcBorders>
                </w:tcPr>
                <w:p w14:paraId="23E2EEB1" w14:textId="77777777" w:rsidR="008C3935" w:rsidRPr="00D8141D" w:rsidRDefault="008C3935" w:rsidP="00520C10">
                  <w:pPr>
                    <w:pStyle w:val="p0"/>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30</w:t>
                  </w:r>
                </w:p>
              </w:tc>
              <w:tc>
                <w:tcPr>
                  <w:tcW w:w="2835" w:type="dxa"/>
                  <w:tcBorders>
                    <w:top w:val="single" w:sz="4" w:space="0" w:color="auto"/>
                    <w:left w:val="single" w:sz="4" w:space="0" w:color="auto"/>
                    <w:bottom w:val="single" w:sz="4" w:space="0" w:color="auto"/>
                    <w:right w:val="single" w:sz="4" w:space="0" w:color="auto"/>
                  </w:tcBorders>
                </w:tcPr>
                <w:p w14:paraId="53EBB685" w14:textId="77777777" w:rsidR="008C3935" w:rsidRPr="00566CD3" w:rsidRDefault="008C3935" w:rsidP="00520C10">
                  <w:pPr>
                    <w:pStyle w:val="p0"/>
                    <w:spacing w:before="60" w:after="60" w:line="240" w:lineRule="auto"/>
                    <w:jc w:val="center"/>
                    <w:rPr>
                      <w:rFonts w:ascii="Calibri" w:hAnsi="Calibri"/>
                      <w:sz w:val="16"/>
                    </w:rPr>
                  </w:pPr>
                  <w:r w:rsidRPr="00566CD3">
                    <w:rPr>
                      <w:rFonts w:ascii="Calibri" w:hAnsi="Calibri"/>
                      <w:sz w:val="16"/>
                    </w:rPr>
                    <w:t>Data de Vencimento da Segunda Série</w:t>
                  </w:r>
                </w:p>
              </w:tc>
            </w:tr>
          </w:tbl>
          <w:p w14:paraId="07E1B549" w14:textId="77777777" w:rsidR="003873C8" w:rsidRPr="00D8141D" w:rsidRDefault="003873C8" w:rsidP="00520C10">
            <w:pPr>
              <w:pStyle w:val="HOMEBRBodyText"/>
              <w:keepLines w:val="0"/>
              <w:widowControl w:val="0"/>
              <w:spacing w:after="140" w:line="290" w:lineRule="auto"/>
              <w:jc w:val="both"/>
              <w:rPr>
                <w:rFonts w:cs="Calibri"/>
                <w:color w:val="000000"/>
                <w:lang w:val="pt-BR"/>
              </w:rPr>
            </w:pPr>
          </w:p>
        </w:tc>
      </w:tr>
      <w:tr w:rsidR="00A142EF" w:rsidRPr="0082022E" w14:paraId="085A5074" w14:textId="77777777" w:rsidTr="003E13AA">
        <w:tc>
          <w:tcPr>
            <w:tcW w:w="1345" w:type="pct"/>
            <w:shd w:val="clear" w:color="auto" w:fill="auto"/>
          </w:tcPr>
          <w:p w14:paraId="5063985F" w14:textId="77777777" w:rsidR="00A142EF" w:rsidRPr="00D8141D" w:rsidRDefault="00A142EF" w:rsidP="00A142EF">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Debêntures Adicionais</w:t>
            </w:r>
          </w:p>
        </w:tc>
        <w:tc>
          <w:tcPr>
            <w:tcW w:w="3655" w:type="pct"/>
            <w:shd w:val="clear" w:color="auto" w:fill="auto"/>
          </w:tcPr>
          <w:p w14:paraId="17D959E4" w14:textId="4B777312" w:rsidR="00A142EF" w:rsidRPr="00D8141D" w:rsidRDefault="00A142EF" w:rsidP="00A142EF">
            <w:pPr>
              <w:pStyle w:val="HOMEBRBodyText"/>
              <w:keepLines w:val="0"/>
              <w:widowControl w:val="0"/>
              <w:spacing w:after="140" w:line="290" w:lineRule="auto"/>
              <w:jc w:val="both"/>
              <w:rPr>
                <w:rFonts w:cs="Calibri"/>
                <w:lang w:val="pt-BR"/>
              </w:rPr>
            </w:pPr>
            <w:r w:rsidRPr="00D8141D">
              <w:rPr>
                <w:rFonts w:cs="Calibri"/>
                <w:lang w:val="pt-BR"/>
              </w:rPr>
              <w:t xml:space="preserve">Nos termos do parágrafo 2º do artigo 14 da Instrução CVM 400, a quantidade de Debêntures inicialmente ofertada foi aumentada em até 20% (vinte por cento), ou seja, em até 200.000 (duzentas mil) Debêntures adicionais, nas mesmas condições das Debêntures inicialmente ofertadas, sem a necessidade de novo pedido de registro à CVM ou modificação dos termos da Oferta. A critério do Coordenador Líder e da Emissora, em conjunto, conforme verificado </w:t>
            </w:r>
            <w:r w:rsidRPr="00D8141D">
              <w:rPr>
                <w:rFonts w:cs="Calibri"/>
                <w:lang w:val="pt-BR"/>
              </w:rPr>
              <w:lastRenderedPageBreak/>
              <w:t xml:space="preserve">pelo Procedimento de </w:t>
            </w:r>
            <w:r w:rsidRPr="00D8141D">
              <w:rPr>
                <w:rFonts w:cs="Calibri"/>
                <w:i/>
                <w:iCs/>
                <w:lang w:val="pt-BR"/>
              </w:rPr>
              <w:t xml:space="preserve">Bookbuilding, </w:t>
            </w:r>
            <w:r w:rsidRPr="00D8141D">
              <w:rPr>
                <w:rFonts w:cs="Calibri"/>
                <w:lang w:val="pt-BR"/>
              </w:rPr>
              <w:t>as Debêntures Adicionais foram Debêntures da Primeira Série e Debêntures da Segunda Série. As Debêntures Adicionais passarão a ter as mesmas características da Debêntures inicialmente ofertadas e passarão a integrar o conceito de “Debêntures” e serão colocadas sob o regime de melhores esforços de colocação pelo Coordenador Líder.</w:t>
            </w:r>
            <w:r>
              <w:rPr>
                <w:rFonts w:cs="Calibri"/>
                <w:lang w:val="pt-BR"/>
              </w:rPr>
              <w:t xml:space="preserve"> </w:t>
            </w:r>
            <w:r w:rsidRPr="00384472">
              <w:rPr>
                <w:rFonts w:cs="Calibri"/>
              </w:rPr>
              <w:t>Considerando que as Debêntures Adicionais serão emitidas sob regime de melhores esforços de colocação, caso não haja a integralização da totalidade das Debêntures Adicionais até a divulgação do Anúncio de Encerramento da Oferta, as Debêntures Adicionais não integralizadas serão canceladas pela Emissora</w:t>
            </w:r>
            <w:r w:rsidRPr="00315D99">
              <w:rPr>
                <w:rFonts w:cs="Calibri"/>
              </w:rPr>
              <w:t>.</w:t>
            </w:r>
          </w:p>
        </w:tc>
      </w:tr>
      <w:tr w:rsidR="003873C8" w:rsidRPr="0082022E" w14:paraId="2FC3D5EB" w14:textId="77777777" w:rsidTr="003E13AA">
        <w:tc>
          <w:tcPr>
            <w:tcW w:w="1345" w:type="pct"/>
            <w:shd w:val="clear" w:color="auto" w:fill="auto"/>
          </w:tcPr>
          <w:p w14:paraId="0BCD36B4" w14:textId="77777777"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Debêntures Incentivadas</w:t>
            </w:r>
          </w:p>
        </w:tc>
        <w:tc>
          <w:tcPr>
            <w:tcW w:w="3655" w:type="pct"/>
            <w:shd w:val="clear" w:color="auto" w:fill="auto"/>
          </w:tcPr>
          <w:p w14:paraId="5AB85295" w14:textId="77777777" w:rsidR="003873C8" w:rsidRPr="00566CD3" w:rsidRDefault="003873C8" w:rsidP="00520C10">
            <w:pPr>
              <w:pStyle w:val="HOMEBRBodyText"/>
              <w:keepLines w:val="0"/>
              <w:widowControl w:val="0"/>
              <w:spacing w:after="140" w:line="290" w:lineRule="auto"/>
              <w:jc w:val="both"/>
              <w:rPr>
                <w:lang w:val="pt-BR"/>
              </w:rPr>
            </w:pPr>
            <w:r w:rsidRPr="00566CD3">
              <w:rPr>
                <w:lang w:val="pt-BR"/>
              </w:rPr>
              <w:t xml:space="preserve">As Debêntures contarão com o incentivo previsto no artigo 2º da Lei 12.431, do Decreto 8.874, da Resolução CMN 3.947 ou norma posterior que as alterem, substituam ou complementem, conforme aplicáveis, sendo os recursos líquidos captados com as Debêntures aplicados integralmente nos Projetos. Foram expedidas as Portarias </w:t>
            </w:r>
            <w:r w:rsidR="008B4F3A" w:rsidRPr="00566CD3">
              <w:rPr>
                <w:lang w:val="pt-BR"/>
              </w:rPr>
              <w:t>do Ministério de Minas e Energia</w:t>
            </w:r>
            <w:r w:rsidRPr="00566CD3">
              <w:rPr>
                <w:lang w:val="pt-BR"/>
              </w:rPr>
              <w:t xml:space="preserve"> para enquadramento dos Projetos como prioritários.</w:t>
            </w:r>
          </w:p>
          <w:p w14:paraId="6C450AFF" w14:textId="00C0F391" w:rsidR="003873C8" w:rsidRPr="00D8141D" w:rsidRDefault="003873C8" w:rsidP="00520C10">
            <w:pPr>
              <w:pStyle w:val="HOMEBRBodyText"/>
              <w:keepLines w:val="0"/>
              <w:widowControl w:val="0"/>
              <w:spacing w:after="140" w:line="290" w:lineRule="auto"/>
              <w:jc w:val="both"/>
              <w:rPr>
                <w:rFonts w:cs="Calibri"/>
                <w:lang w:val="pt-BR"/>
              </w:rPr>
            </w:pPr>
            <w:r w:rsidRPr="00D8141D">
              <w:rPr>
                <w:rFonts w:cs="Calibri"/>
                <w:b/>
                <w:bCs/>
                <w:lang w:val="pt-BR"/>
              </w:rPr>
              <w:t xml:space="preserve">Para mais informações sobre os Projetos e a destinação dos recursos das Debêntures, veja a seção “Destinação dos Recursos”, na página </w:t>
            </w:r>
            <w:r w:rsidR="00DF1B9F" w:rsidRPr="00D8141D">
              <w:rPr>
                <w:rFonts w:cs="Calibri"/>
                <w:b/>
                <w:bCs/>
                <w:noProof/>
                <w:lang w:val="pt-BR"/>
              </w:rPr>
              <w:fldChar w:fldCharType="begin"/>
            </w:r>
            <w:r w:rsidR="00DF1B9F" w:rsidRPr="00D8141D">
              <w:rPr>
                <w:rFonts w:cs="Calibri"/>
                <w:b/>
                <w:bCs/>
                <w:lang w:val="pt-BR"/>
              </w:rPr>
              <w:instrText xml:space="preserve"> PAGEREF _Ref90229437 \h </w:instrText>
            </w:r>
            <w:r w:rsidR="00DF1B9F" w:rsidRPr="00D8141D">
              <w:rPr>
                <w:rFonts w:cs="Calibri"/>
                <w:b/>
                <w:bCs/>
                <w:noProof/>
                <w:lang w:val="pt-BR"/>
              </w:rPr>
            </w:r>
            <w:r w:rsidR="00DF1B9F" w:rsidRPr="00D8141D">
              <w:rPr>
                <w:rFonts w:cs="Calibri"/>
                <w:b/>
                <w:bCs/>
                <w:noProof/>
                <w:lang w:val="pt-BR"/>
              </w:rPr>
              <w:fldChar w:fldCharType="separate"/>
            </w:r>
            <w:r w:rsidR="001166EA">
              <w:rPr>
                <w:rFonts w:cs="Calibri"/>
                <w:b/>
                <w:bCs/>
                <w:noProof/>
                <w:lang w:val="pt-BR"/>
              </w:rPr>
              <w:t>145</w:t>
            </w:r>
            <w:r w:rsidR="00DF1B9F" w:rsidRPr="00D8141D">
              <w:rPr>
                <w:rFonts w:cs="Calibri"/>
                <w:b/>
                <w:bCs/>
                <w:noProof/>
                <w:lang w:val="pt-BR"/>
              </w:rPr>
              <w:fldChar w:fldCharType="end"/>
            </w:r>
            <w:r w:rsidRPr="00D8141D">
              <w:rPr>
                <w:rFonts w:cs="Calibri"/>
                <w:b/>
                <w:bCs/>
                <w:lang w:val="pt-BR"/>
              </w:rPr>
              <w:t xml:space="preserve"> deste Prospecto.</w:t>
            </w:r>
          </w:p>
        </w:tc>
      </w:tr>
      <w:tr w:rsidR="003873C8" w:rsidRPr="0082022E" w14:paraId="5A7766B2" w14:textId="77777777" w:rsidTr="003E13AA">
        <w:tc>
          <w:tcPr>
            <w:tcW w:w="1345" w:type="pct"/>
            <w:shd w:val="clear" w:color="auto" w:fill="auto"/>
          </w:tcPr>
          <w:p w14:paraId="06F266D3" w14:textId="77777777"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t>Destinação dos Recursos</w:t>
            </w:r>
          </w:p>
        </w:tc>
        <w:tc>
          <w:tcPr>
            <w:tcW w:w="3655" w:type="pct"/>
            <w:shd w:val="clear" w:color="auto" w:fill="auto"/>
          </w:tcPr>
          <w:p w14:paraId="1C5F66F3" w14:textId="77777777" w:rsidR="003873C8" w:rsidRPr="00D8141D" w:rsidRDefault="003873C8" w:rsidP="00520C10">
            <w:pPr>
              <w:pStyle w:val="HOMEBRBodyText"/>
              <w:keepLines w:val="0"/>
              <w:widowControl w:val="0"/>
              <w:spacing w:after="140" w:line="290" w:lineRule="auto"/>
              <w:jc w:val="both"/>
              <w:rPr>
                <w:rFonts w:cs="Calibri"/>
                <w:lang w:val="pt-BR"/>
              </w:rPr>
            </w:pPr>
            <w:r w:rsidRPr="00D8141D">
              <w:rPr>
                <w:rFonts w:cs="Calibri"/>
                <w:lang w:val="pt-BR"/>
              </w:rPr>
              <w:t>Nos termos do artigo 2º da Lei 12.431, do Decreto 8.874, da Resolução CMN 3.947 e da regulamentação aplicável, a totalidade dos recursos líquidos captados pela Emissora por meio da colocação de Debêntures será utilizada exclusivamente para os Projetos</w:t>
            </w:r>
            <w:r w:rsidR="008B4F3A" w:rsidRPr="00D8141D">
              <w:rPr>
                <w:rFonts w:cs="Calibri"/>
                <w:lang w:val="pt-BR"/>
              </w:rPr>
              <w:t xml:space="preserve"> de Investimento</w:t>
            </w:r>
            <w:r w:rsidRPr="00D8141D">
              <w:rPr>
                <w:rFonts w:cs="Calibri"/>
                <w:lang w:val="pt-BR"/>
              </w:rPr>
              <w:t>.</w:t>
            </w:r>
          </w:p>
          <w:p w14:paraId="12FD37E5" w14:textId="68D4819A" w:rsidR="003873C8" w:rsidRPr="00D8141D" w:rsidRDefault="003873C8" w:rsidP="00520C10">
            <w:pPr>
              <w:pStyle w:val="HOMEBRBodyText"/>
              <w:keepLines w:val="0"/>
              <w:widowControl w:val="0"/>
              <w:spacing w:after="140" w:line="290" w:lineRule="auto"/>
              <w:jc w:val="both"/>
              <w:rPr>
                <w:rFonts w:cs="Calibri"/>
                <w:lang w:val="pt-BR"/>
              </w:rPr>
            </w:pPr>
            <w:r w:rsidRPr="00D8141D">
              <w:rPr>
                <w:rFonts w:cs="Calibri"/>
                <w:lang w:val="pt-BR"/>
              </w:rPr>
              <w:t xml:space="preserve">As características dos Projetos, bem como todas as informações necessárias encontram-se na seção “Destinação dos Recursos”, na página </w:t>
            </w:r>
            <w:r w:rsidR="00DF1B9F" w:rsidRPr="00D8141D">
              <w:rPr>
                <w:rFonts w:cs="Calibri"/>
                <w:noProof/>
                <w:lang w:val="pt-BR"/>
              </w:rPr>
              <w:fldChar w:fldCharType="begin"/>
            </w:r>
            <w:r w:rsidR="00DF1B9F" w:rsidRPr="00D8141D">
              <w:rPr>
                <w:rFonts w:cs="Calibri"/>
                <w:lang w:val="pt-BR"/>
              </w:rPr>
              <w:instrText xml:space="preserve"> PAGEREF _Ref90229464 \h </w:instrText>
            </w:r>
            <w:r w:rsidR="00DF1B9F" w:rsidRPr="00D8141D">
              <w:rPr>
                <w:rFonts w:cs="Calibri"/>
                <w:noProof/>
                <w:lang w:val="pt-BR"/>
              </w:rPr>
            </w:r>
            <w:r w:rsidR="00DF1B9F" w:rsidRPr="00D8141D">
              <w:rPr>
                <w:rFonts w:cs="Calibri"/>
                <w:noProof/>
                <w:lang w:val="pt-BR"/>
              </w:rPr>
              <w:fldChar w:fldCharType="separate"/>
            </w:r>
            <w:r w:rsidR="001166EA">
              <w:rPr>
                <w:rFonts w:cs="Calibri"/>
                <w:noProof/>
                <w:lang w:val="pt-BR"/>
              </w:rPr>
              <w:t>145</w:t>
            </w:r>
            <w:r w:rsidR="00DF1B9F" w:rsidRPr="00D8141D">
              <w:rPr>
                <w:rFonts w:cs="Calibri"/>
                <w:noProof/>
                <w:lang w:val="pt-BR"/>
              </w:rPr>
              <w:fldChar w:fldCharType="end"/>
            </w:r>
            <w:r w:rsidRPr="00D8141D">
              <w:rPr>
                <w:rFonts w:cs="Calibri"/>
                <w:lang w:val="pt-BR"/>
              </w:rPr>
              <w:t xml:space="preserve"> deste Prospecto.</w:t>
            </w:r>
          </w:p>
          <w:p w14:paraId="175607D6" w14:textId="3E9A27DB" w:rsidR="003873C8" w:rsidRPr="00D8141D" w:rsidRDefault="003873C8" w:rsidP="00520C10">
            <w:pPr>
              <w:pStyle w:val="HOMEBRBodyText"/>
              <w:keepLines w:val="0"/>
              <w:widowControl w:val="0"/>
              <w:spacing w:after="140" w:line="290" w:lineRule="auto"/>
              <w:jc w:val="both"/>
              <w:rPr>
                <w:rFonts w:cs="Calibri"/>
                <w:bCs/>
                <w:lang w:val="pt-BR"/>
              </w:rPr>
            </w:pPr>
            <w:r w:rsidRPr="00D8141D">
              <w:rPr>
                <w:rFonts w:eastAsia="Calibri" w:cs="Calibri"/>
                <w:b/>
                <w:spacing w:val="-4"/>
                <w:lang w:val="pt-BR"/>
              </w:rPr>
              <w:t xml:space="preserve">Para mais informações sobre os Projetos e a destinação dos recursos das Debêntures, veja a seção “Destinação dos Recursos”, na página </w:t>
            </w:r>
            <w:r w:rsidR="00DF1B9F" w:rsidRPr="00D8141D">
              <w:rPr>
                <w:rFonts w:eastAsia="Calibri" w:cs="Calibri"/>
                <w:b/>
                <w:noProof/>
                <w:spacing w:val="-4"/>
                <w:lang w:val="pt-BR"/>
              </w:rPr>
              <w:fldChar w:fldCharType="begin"/>
            </w:r>
            <w:r w:rsidR="00DF1B9F" w:rsidRPr="00D8141D">
              <w:rPr>
                <w:rFonts w:eastAsia="Calibri" w:cs="Calibri"/>
                <w:b/>
                <w:spacing w:val="-4"/>
                <w:lang w:val="pt-BR"/>
              </w:rPr>
              <w:instrText xml:space="preserve"> PAGEREF _Ref90229444 \h </w:instrText>
            </w:r>
            <w:r w:rsidR="00DF1B9F" w:rsidRPr="00D8141D">
              <w:rPr>
                <w:rFonts w:eastAsia="Calibri" w:cs="Calibri"/>
                <w:b/>
                <w:noProof/>
                <w:spacing w:val="-4"/>
                <w:lang w:val="pt-BR"/>
              </w:rPr>
            </w:r>
            <w:r w:rsidR="00DF1B9F" w:rsidRPr="00D8141D">
              <w:rPr>
                <w:rFonts w:eastAsia="Calibri" w:cs="Calibri"/>
                <w:b/>
                <w:noProof/>
                <w:spacing w:val="-4"/>
                <w:lang w:val="pt-BR"/>
              </w:rPr>
              <w:fldChar w:fldCharType="separate"/>
            </w:r>
            <w:r w:rsidR="001166EA">
              <w:rPr>
                <w:rFonts w:eastAsia="Calibri" w:cs="Calibri"/>
                <w:b/>
                <w:noProof/>
                <w:spacing w:val="-4"/>
                <w:lang w:val="pt-BR"/>
              </w:rPr>
              <w:t>145</w:t>
            </w:r>
            <w:r w:rsidR="00DF1B9F" w:rsidRPr="00D8141D">
              <w:rPr>
                <w:rFonts w:eastAsia="Calibri" w:cs="Calibri"/>
                <w:b/>
                <w:noProof/>
                <w:spacing w:val="-4"/>
                <w:lang w:val="pt-BR"/>
              </w:rPr>
              <w:fldChar w:fldCharType="end"/>
            </w:r>
            <w:r w:rsidRPr="00D8141D">
              <w:rPr>
                <w:rFonts w:eastAsia="Calibri" w:cs="Calibri"/>
                <w:b/>
                <w:spacing w:val="-4"/>
                <w:lang w:val="pt-BR"/>
              </w:rPr>
              <w:t xml:space="preserve"> deste Prospecto.</w:t>
            </w:r>
          </w:p>
        </w:tc>
      </w:tr>
      <w:tr w:rsidR="003873C8" w:rsidRPr="0082022E" w14:paraId="6CC38985" w14:textId="77777777" w:rsidTr="003E13AA">
        <w:tc>
          <w:tcPr>
            <w:tcW w:w="1345" w:type="pct"/>
            <w:shd w:val="clear" w:color="auto" w:fill="auto"/>
          </w:tcPr>
          <w:p w14:paraId="31AB9F38" w14:textId="77777777" w:rsidR="003873C8" w:rsidRPr="00D8141D" w:rsidRDefault="003873C8" w:rsidP="00520C10">
            <w:pPr>
              <w:pStyle w:val="HOMEBRBodyText"/>
              <w:keepLines w:val="0"/>
              <w:widowControl w:val="0"/>
              <w:spacing w:after="140" w:line="290" w:lineRule="auto"/>
              <w:rPr>
                <w:rFonts w:eastAsia="Calibri" w:cs="Calibri"/>
                <w:b/>
                <w:lang w:val="pt-BR"/>
              </w:rPr>
            </w:pPr>
            <w:r w:rsidRPr="00D8141D">
              <w:rPr>
                <w:rFonts w:eastAsia="Calibri" w:cs="Calibri"/>
                <w:b/>
                <w:lang w:val="pt-BR"/>
              </w:rPr>
              <w:t>Direito de Preferência</w:t>
            </w:r>
          </w:p>
        </w:tc>
        <w:tc>
          <w:tcPr>
            <w:tcW w:w="3655" w:type="pct"/>
            <w:shd w:val="clear" w:color="auto" w:fill="auto"/>
          </w:tcPr>
          <w:p w14:paraId="2007F80B" w14:textId="77777777" w:rsidR="003873C8" w:rsidRPr="00D8141D" w:rsidRDefault="003873C8" w:rsidP="00520C10">
            <w:pPr>
              <w:pStyle w:val="HOMEBRBodyText"/>
              <w:keepLines w:val="0"/>
              <w:widowControl w:val="0"/>
              <w:spacing w:after="140" w:line="290" w:lineRule="auto"/>
              <w:jc w:val="both"/>
              <w:rPr>
                <w:rFonts w:cs="Calibri"/>
                <w:spacing w:val="2"/>
                <w:lang w:val="pt-BR"/>
              </w:rPr>
            </w:pPr>
            <w:r w:rsidRPr="00D8141D">
              <w:rPr>
                <w:rFonts w:cs="Calibri"/>
                <w:lang w:val="pt-BR"/>
              </w:rPr>
              <w:t>Não haverá direito de preferência dos atuais acionistas da Emissora na subscrição das Debêntures.</w:t>
            </w:r>
          </w:p>
        </w:tc>
      </w:tr>
    </w:tbl>
    <w:p w14:paraId="247FB71E" w14:textId="77777777" w:rsidR="002B3314" w:rsidRPr="00566CD3" w:rsidRDefault="002B3314">
      <w:pPr>
        <w:rPr>
          <w:sz w:val="2"/>
        </w:rPr>
      </w:pPr>
      <w:r w:rsidRPr="00566CD3">
        <w:br w:type="page"/>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85"/>
        <w:gridCol w:w="6210"/>
      </w:tblGrid>
      <w:tr w:rsidR="003873C8" w:rsidRPr="0082022E" w14:paraId="102018D3" w14:textId="77777777" w:rsidTr="003E13AA">
        <w:tc>
          <w:tcPr>
            <w:tcW w:w="1345" w:type="pct"/>
            <w:shd w:val="clear" w:color="auto" w:fill="auto"/>
          </w:tcPr>
          <w:p w14:paraId="52A0C0DB"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Diretoria de Relações com Investidores</w:t>
            </w:r>
          </w:p>
        </w:tc>
        <w:tc>
          <w:tcPr>
            <w:tcW w:w="3655" w:type="pct"/>
            <w:shd w:val="clear" w:color="auto" w:fill="auto"/>
          </w:tcPr>
          <w:p w14:paraId="7C136BEB" w14:textId="77777777" w:rsidR="003873C8" w:rsidRPr="00D8141D" w:rsidRDefault="00EC54AC" w:rsidP="003873C8">
            <w:pPr>
              <w:pStyle w:val="HOMEBRBodyText"/>
              <w:keepLines w:val="0"/>
              <w:widowControl w:val="0"/>
              <w:spacing w:after="140" w:line="290" w:lineRule="auto"/>
              <w:jc w:val="both"/>
              <w:rPr>
                <w:rFonts w:cs="Calibri"/>
                <w:bCs/>
                <w:lang w:val="pt-BR"/>
              </w:rPr>
            </w:pPr>
            <w:r w:rsidRPr="00D8141D">
              <w:rPr>
                <w:rFonts w:cs="Calibri"/>
                <w:spacing w:val="2"/>
              </w:rPr>
              <w:t>Localizada na</w:t>
            </w:r>
            <w:r w:rsidRPr="00D8141D">
              <w:rPr>
                <w:rFonts w:cs="Calibri"/>
              </w:rPr>
              <w:t xml:space="preserve"> Rua Geraldo Flausino Gomes, nº 61, 13º andar, Brooklin, Cidade de São Paulo, Estado de São Paulo CEP 04575-060</w:t>
            </w:r>
            <w:r w:rsidRPr="00D8141D">
              <w:rPr>
                <w:rFonts w:cs="Calibri"/>
                <w:spacing w:val="2"/>
              </w:rPr>
              <w:t>.</w:t>
            </w:r>
          </w:p>
        </w:tc>
      </w:tr>
      <w:tr w:rsidR="003873C8" w:rsidRPr="0082022E" w14:paraId="61A16EFB" w14:textId="77777777" w:rsidTr="003E13AA">
        <w:tc>
          <w:tcPr>
            <w:tcW w:w="1345" w:type="pct"/>
            <w:shd w:val="clear" w:color="auto" w:fill="auto"/>
          </w:tcPr>
          <w:p w14:paraId="3A651345"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Distribuição, Negociação e Custódia Eletrônica</w:t>
            </w:r>
          </w:p>
        </w:tc>
        <w:tc>
          <w:tcPr>
            <w:tcW w:w="3655" w:type="pct"/>
            <w:shd w:val="clear" w:color="auto" w:fill="auto"/>
          </w:tcPr>
          <w:p w14:paraId="52A115E2" w14:textId="77777777" w:rsidR="003873C8" w:rsidRPr="00566CD3" w:rsidRDefault="003873C8" w:rsidP="003873C8">
            <w:pPr>
              <w:pStyle w:val="Body"/>
              <w:jc w:val="both"/>
            </w:pPr>
            <w:r w:rsidRPr="00566CD3">
              <w:t>As Debêntures serão depositadas para distribuição no mercado primário por meio do MDA, administrado e operacionalizado pela B3, sendo a distribuição liquidada financeiramente por meio da B3.</w:t>
            </w:r>
          </w:p>
          <w:p w14:paraId="08D15473" w14:textId="77777777" w:rsidR="003873C8" w:rsidRPr="00D8141D" w:rsidRDefault="003873C8" w:rsidP="003873C8">
            <w:pPr>
              <w:pStyle w:val="HOMEBRBodyText"/>
              <w:keepLines w:val="0"/>
              <w:widowControl w:val="0"/>
              <w:spacing w:after="140" w:line="290" w:lineRule="auto"/>
              <w:jc w:val="both"/>
              <w:rPr>
                <w:rFonts w:cs="Calibri"/>
                <w:bCs/>
                <w:lang w:val="pt-BR"/>
              </w:rPr>
            </w:pPr>
            <w:r w:rsidRPr="00D8141D">
              <w:rPr>
                <w:rFonts w:cs="Calibri"/>
                <w:lang w:val="pt-BR"/>
              </w:rPr>
              <w:t>As Debêntures serão depositadas para negociação no mercado secundário por meio do CETIP21, administrado e operacionalizado pela B3, sendo as negociações liquidadas financeiramente e as Debêntures custodiadas eletronicamente na B3.</w:t>
            </w:r>
          </w:p>
        </w:tc>
      </w:tr>
      <w:tr w:rsidR="003873C8" w:rsidRPr="0082022E" w14:paraId="2EF46850" w14:textId="77777777" w:rsidTr="003E13AA">
        <w:tc>
          <w:tcPr>
            <w:tcW w:w="1345" w:type="pct"/>
            <w:shd w:val="clear" w:color="auto" w:fill="auto"/>
          </w:tcPr>
          <w:p w14:paraId="092B7DA9"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Distribuição Parcial</w:t>
            </w:r>
          </w:p>
        </w:tc>
        <w:tc>
          <w:tcPr>
            <w:tcW w:w="3655" w:type="pct"/>
            <w:shd w:val="clear" w:color="auto" w:fill="auto"/>
          </w:tcPr>
          <w:p w14:paraId="64807424" w14:textId="77777777" w:rsidR="003873C8" w:rsidRPr="00566CD3" w:rsidRDefault="003873C8" w:rsidP="003873C8">
            <w:pPr>
              <w:pStyle w:val="Body"/>
              <w:jc w:val="both"/>
            </w:pPr>
            <w:r w:rsidRPr="00566CD3">
              <w:t>Não será admitida a distribuição parcial das Debêntures.</w:t>
            </w:r>
          </w:p>
        </w:tc>
      </w:tr>
      <w:tr w:rsidR="003873C8" w:rsidRPr="00D8141D" w14:paraId="276250DE" w14:textId="77777777" w:rsidTr="003E13AA">
        <w:tc>
          <w:tcPr>
            <w:tcW w:w="1345" w:type="pct"/>
            <w:shd w:val="clear" w:color="auto" w:fill="auto"/>
          </w:tcPr>
          <w:p w14:paraId="715299BB"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Emissora</w:t>
            </w:r>
          </w:p>
        </w:tc>
        <w:tc>
          <w:tcPr>
            <w:tcW w:w="3655" w:type="pct"/>
            <w:shd w:val="clear" w:color="auto" w:fill="auto"/>
          </w:tcPr>
          <w:p w14:paraId="08E07E84" w14:textId="77777777" w:rsidR="003873C8" w:rsidRPr="00D8141D" w:rsidRDefault="003873C8" w:rsidP="003873C8">
            <w:pPr>
              <w:pStyle w:val="Body"/>
              <w:jc w:val="both"/>
              <w:rPr>
                <w:rFonts w:cs="Calibri"/>
                <w:bCs/>
              </w:rPr>
            </w:pPr>
            <w:r w:rsidRPr="00D8141D">
              <w:rPr>
                <w:rFonts w:eastAsia="Calibri" w:cs="Calibri"/>
              </w:rPr>
              <w:t>São Martinho S.A.</w:t>
            </w:r>
          </w:p>
        </w:tc>
      </w:tr>
      <w:tr w:rsidR="003873C8" w:rsidRPr="0082022E" w14:paraId="1B48FC86" w14:textId="77777777" w:rsidTr="003E13AA">
        <w:tc>
          <w:tcPr>
            <w:tcW w:w="1345" w:type="pct"/>
            <w:shd w:val="clear" w:color="auto" w:fill="auto"/>
          </w:tcPr>
          <w:p w14:paraId="01C50FFF"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Encargos Moratórios</w:t>
            </w:r>
          </w:p>
        </w:tc>
        <w:tc>
          <w:tcPr>
            <w:tcW w:w="3655" w:type="pct"/>
            <w:shd w:val="clear" w:color="auto" w:fill="auto"/>
          </w:tcPr>
          <w:p w14:paraId="000357B9" w14:textId="77777777" w:rsidR="003873C8" w:rsidRPr="00566CD3" w:rsidRDefault="008B4F3A" w:rsidP="003873C8">
            <w:pPr>
              <w:pStyle w:val="Body"/>
              <w:jc w:val="both"/>
            </w:pPr>
            <w:r w:rsidRPr="00566CD3">
              <w:t xml:space="preserve">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566CD3">
              <w:rPr>
                <w:b/>
              </w:rPr>
              <w:t>(i)</w:t>
            </w:r>
            <w:r w:rsidRPr="00566CD3">
              <w:t xml:space="preserve"> multa convencional, irredutível e de natureza não compensatória de 2% (dois por cento); e </w:t>
            </w:r>
            <w:r w:rsidRPr="00566CD3">
              <w:rPr>
                <w:b/>
              </w:rPr>
              <w:t>(ii)</w:t>
            </w:r>
            <w:r w:rsidRPr="00566CD3">
              <w:t> juros moratórios à razão de 1% (um por cento) ao mês, desde a data da inadimplência até a data do efetivo pagamento; ambos calculados sobre o montante devido e não pago</w:t>
            </w:r>
            <w:r w:rsidR="003873C8" w:rsidRPr="00566CD3">
              <w:t>.</w:t>
            </w:r>
          </w:p>
        </w:tc>
      </w:tr>
      <w:tr w:rsidR="003873C8" w:rsidRPr="0082022E" w14:paraId="409AC76C" w14:textId="77777777" w:rsidTr="003E13AA">
        <w:tc>
          <w:tcPr>
            <w:tcW w:w="1345" w:type="pct"/>
            <w:shd w:val="clear" w:color="auto" w:fill="auto"/>
          </w:tcPr>
          <w:p w14:paraId="5A0C6083"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Escriturador</w:t>
            </w:r>
          </w:p>
        </w:tc>
        <w:tc>
          <w:tcPr>
            <w:tcW w:w="3655" w:type="pct"/>
            <w:shd w:val="clear" w:color="auto" w:fill="auto"/>
          </w:tcPr>
          <w:p w14:paraId="27DF67B8" w14:textId="77777777" w:rsidR="003873C8" w:rsidRPr="00566CD3" w:rsidRDefault="00207243" w:rsidP="003873C8">
            <w:pPr>
              <w:pStyle w:val="Body"/>
              <w:jc w:val="both"/>
            </w:pPr>
            <w:r w:rsidRPr="00566CD3">
              <w:rPr>
                <w:b/>
              </w:rPr>
              <w:t>SIMPLIFIC PAVARINI DISTRIBUIDORA DE TÍTULOS E VALORES MOBILIÁRIOS LTDA.</w:t>
            </w:r>
            <w:r w:rsidRPr="00566CD3">
              <w:t xml:space="preserve">, </w:t>
            </w:r>
            <w:r w:rsidR="00520AE1" w:rsidRPr="00566CD3">
              <w:t>instituição financeira atuando por sua filial na cidade de São Paulo, Estado de São Paulo, na Rua Joaquim Floriano 466, bloco B, conj</w:t>
            </w:r>
            <w:r w:rsidR="00ED4305" w:rsidRPr="00566CD3">
              <w:t>.</w:t>
            </w:r>
            <w:r w:rsidR="00520AE1" w:rsidRPr="00566CD3">
              <w:t xml:space="preserve"> 1401, Itaim Bibi CEP 04534-002, inscrita no CNPJ</w:t>
            </w:r>
            <w:r w:rsidR="00F90947" w:rsidRPr="00566CD3">
              <w:t>/ME</w:t>
            </w:r>
            <w:r w:rsidR="00520AE1" w:rsidRPr="00566CD3">
              <w:t xml:space="preserve"> sob o nº 15.227.994/0004-01</w:t>
            </w:r>
            <w:r w:rsidR="008B4F3A" w:rsidRPr="00566CD3">
              <w:t>.</w:t>
            </w:r>
          </w:p>
        </w:tc>
      </w:tr>
      <w:tr w:rsidR="003873C8" w:rsidRPr="0082022E" w14:paraId="428F3E7F" w14:textId="77777777" w:rsidTr="003E13AA">
        <w:tc>
          <w:tcPr>
            <w:tcW w:w="1345" w:type="pct"/>
            <w:shd w:val="clear" w:color="auto" w:fill="auto"/>
          </w:tcPr>
          <w:p w14:paraId="0CE16250"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Espécie</w:t>
            </w:r>
          </w:p>
        </w:tc>
        <w:tc>
          <w:tcPr>
            <w:tcW w:w="3655" w:type="pct"/>
            <w:shd w:val="clear" w:color="auto" w:fill="auto"/>
          </w:tcPr>
          <w:p w14:paraId="3D855601" w14:textId="77777777" w:rsidR="003873C8" w:rsidRPr="00566CD3" w:rsidRDefault="008B4F3A" w:rsidP="003873C8">
            <w:pPr>
              <w:pStyle w:val="Body"/>
              <w:jc w:val="both"/>
            </w:pPr>
            <w:r w:rsidRPr="00566CD3">
              <w:t>As Debêntures serão da espécie quirografária, nos termos do artigo 58 da Lei das Sociedades por Ações, sem preferência.</w:t>
            </w:r>
          </w:p>
          <w:p w14:paraId="3F412E05" w14:textId="501FA1C7" w:rsidR="003873C8" w:rsidRPr="00566CD3" w:rsidRDefault="003873C8" w:rsidP="003873C8">
            <w:pPr>
              <w:pStyle w:val="Body"/>
              <w:jc w:val="both"/>
            </w:pPr>
            <w:r w:rsidRPr="00566CD3">
              <w:rPr>
                <w:b/>
              </w:rPr>
              <w:t xml:space="preserve">Para mais informações sobre a Espécie das Debêntures, veja a seção “Fatores de Risco Relacionados à Oferta e às Debêntures - As Debêntures são da espécie quirografária, sem quaisquer garantias reais, fidejussórias e sem preferência.”, na página </w:t>
            </w:r>
            <w:r w:rsidR="0016572D" w:rsidRPr="00D8141D">
              <w:rPr>
                <w:rFonts w:eastAsia="Times New Roman" w:cs="Calibri"/>
                <w:b/>
                <w:bCs/>
                <w:iCs/>
                <w:noProof/>
                <w:lang w:eastAsia="pt-BR"/>
              </w:rPr>
              <w:fldChar w:fldCharType="begin"/>
            </w:r>
            <w:r w:rsidR="0016572D" w:rsidRPr="00566CD3">
              <w:rPr>
                <w:b/>
              </w:rPr>
              <w:instrText xml:space="preserve"> PAGEREF _Ref90058358 \h </w:instrText>
            </w:r>
            <w:r w:rsidR="0016572D" w:rsidRPr="00D8141D">
              <w:rPr>
                <w:rFonts w:eastAsia="Times New Roman" w:cs="Calibri"/>
                <w:b/>
                <w:bCs/>
                <w:iCs/>
                <w:noProof/>
                <w:lang w:eastAsia="pt-BR"/>
              </w:rPr>
            </w:r>
            <w:r w:rsidR="0016572D" w:rsidRPr="00D8141D">
              <w:rPr>
                <w:rFonts w:eastAsia="Times New Roman" w:cs="Calibri"/>
                <w:b/>
                <w:bCs/>
                <w:iCs/>
                <w:noProof/>
                <w:lang w:eastAsia="pt-BR"/>
              </w:rPr>
              <w:fldChar w:fldCharType="separate"/>
            </w:r>
            <w:r w:rsidR="001166EA">
              <w:rPr>
                <w:b/>
                <w:noProof/>
              </w:rPr>
              <w:t>129</w:t>
            </w:r>
            <w:r w:rsidR="0016572D" w:rsidRPr="00D8141D">
              <w:rPr>
                <w:rFonts w:eastAsia="Times New Roman" w:cs="Calibri"/>
                <w:b/>
                <w:bCs/>
                <w:iCs/>
                <w:noProof/>
                <w:lang w:eastAsia="pt-BR"/>
              </w:rPr>
              <w:fldChar w:fldCharType="end"/>
            </w:r>
            <w:r w:rsidRPr="00566CD3">
              <w:rPr>
                <w:b/>
              </w:rPr>
              <w:t xml:space="preserve"> deste Prospecto.</w:t>
            </w:r>
          </w:p>
        </w:tc>
      </w:tr>
      <w:tr w:rsidR="00692CE0" w:rsidRPr="00032A25" w14:paraId="63F361DF" w14:textId="77777777">
        <w:tc>
          <w:tcPr>
            <w:tcW w:w="1345" w:type="pct"/>
            <w:shd w:val="clear" w:color="auto" w:fill="auto"/>
          </w:tcPr>
          <w:p w14:paraId="2C532322" w14:textId="77777777" w:rsidR="00692CE0" w:rsidRDefault="00032A25">
            <w:pPr>
              <w:pStyle w:val="HOMEBRBodyText"/>
              <w:keepLines w:val="0"/>
              <w:widowControl w:val="0"/>
              <w:spacing w:after="140" w:line="290" w:lineRule="auto"/>
              <w:rPr>
                <w:rFonts w:eastAsia="Calibri" w:cs="Calibri"/>
                <w:b/>
                <w:lang w:val="pt-BR"/>
              </w:rPr>
            </w:pPr>
            <w:r>
              <w:rPr>
                <w:rFonts w:eastAsia="Calibri" w:cs="Calibri"/>
                <w:b/>
                <w:lang w:val="pt-BR"/>
              </w:rPr>
              <w:t>Fatores de Risco</w:t>
            </w:r>
          </w:p>
        </w:tc>
        <w:tc>
          <w:tcPr>
            <w:tcW w:w="3655" w:type="pct"/>
            <w:shd w:val="clear" w:color="auto" w:fill="auto"/>
          </w:tcPr>
          <w:p w14:paraId="0C779DF4" w14:textId="77777777" w:rsidR="00692CE0" w:rsidRDefault="00032A25">
            <w:pPr>
              <w:pStyle w:val="Body"/>
              <w:jc w:val="both"/>
            </w:pPr>
            <w:r>
              <w:rPr>
                <w:rFonts w:cs="Calibri"/>
                <w:b/>
              </w:rPr>
              <w:t xml:space="preserve">Para uma descrição dos fatores que devem ser considerados antes da decisão de investimento nas Debêntures, veja a seção “Fatores </w:t>
            </w:r>
            <w:r>
              <w:rPr>
                <w:rFonts w:cs="Calibri"/>
                <w:b/>
              </w:rPr>
              <w:lastRenderedPageBreak/>
              <w:t xml:space="preserve">de Risco Relacionados à Oferta e às Debêntures” nas páginas </w:t>
            </w:r>
            <w:r>
              <w:rPr>
                <w:rFonts w:cs="Calibri"/>
                <w:b/>
                <w:noProof/>
              </w:rPr>
              <w:t>138</w:t>
            </w:r>
            <w:r>
              <w:rPr>
                <w:rFonts w:cs="Calibri"/>
                <w:b/>
                <w:bCs/>
              </w:rPr>
              <w:t xml:space="preserve"> a </w:t>
            </w:r>
            <w:r>
              <w:rPr>
                <w:rFonts w:cs="Calibri"/>
                <w:b/>
                <w:bCs/>
                <w:noProof/>
              </w:rPr>
              <w:t>150</w:t>
            </w:r>
            <w:r>
              <w:rPr>
                <w:rFonts w:cs="Calibri"/>
                <w:b/>
              </w:rPr>
              <w:t xml:space="preserve"> deste Prospecto, além de outras informações incluídas neste Prospecto.</w:t>
            </w:r>
          </w:p>
        </w:tc>
      </w:tr>
      <w:tr w:rsidR="003873C8" w:rsidRPr="0082022E" w14:paraId="3388D62C" w14:textId="77777777" w:rsidTr="003E13AA">
        <w:tc>
          <w:tcPr>
            <w:tcW w:w="1345" w:type="pct"/>
            <w:shd w:val="clear" w:color="auto" w:fill="auto"/>
          </w:tcPr>
          <w:p w14:paraId="3B80476E"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Forma de Subscrição e de Integralização e Preço de Integralização</w:t>
            </w:r>
          </w:p>
        </w:tc>
        <w:tc>
          <w:tcPr>
            <w:tcW w:w="3655" w:type="pct"/>
            <w:shd w:val="clear" w:color="auto" w:fill="auto"/>
          </w:tcPr>
          <w:p w14:paraId="434119D5" w14:textId="77777777" w:rsidR="003873C8" w:rsidRPr="00566CD3" w:rsidRDefault="008B4F3A" w:rsidP="003873C8">
            <w:pPr>
              <w:pStyle w:val="Body"/>
              <w:jc w:val="both"/>
            </w:pPr>
            <w:r w:rsidRPr="00566CD3">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r w:rsidR="003873C8" w:rsidRPr="00566CD3">
              <w:t>.</w:t>
            </w:r>
          </w:p>
        </w:tc>
      </w:tr>
      <w:tr w:rsidR="003873C8" w:rsidRPr="0082022E" w14:paraId="0C6453BF" w14:textId="77777777" w:rsidTr="003E13AA">
        <w:tc>
          <w:tcPr>
            <w:tcW w:w="1345" w:type="pct"/>
            <w:shd w:val="clear" w:color="auto" w:fill="auto"/>
          </w:tcPr>
          <w:p w14:paraId="238D2F00"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Forma</w:t>
            </w:r>
            <w:r w:rsidR="008B4F3A" w:rsidRPr="00D8141D">
              <w:rPr>
                <w:rFonts w:eastAsia="Calibri" w:cs="Calibri"/>
                <w:b/>
                <w:lang w:val="pt-BR"/>
              </w:rPr>
              <w:t>, Tipo e Comprovação de Titularidade</w:t>
            </w:r>
          </w:p>
        </w:tc>
        <w:tc>
          <w:tcPr>
            <w:tcW w:w="3655" w:type="pct"/>
            <w:shd w:val="clear" w:color="auto" w:fill="auto"/>
          </w:tcPr>
          <w:p w14:paraId="7A50E4BE" w14:textId="77777777" w:rsidR="003873C8" w:rsidRPr="00566CD3" w:rsidRDefault="008B4F3A" w:rsidP="001D0298">
            <w:pPr>
              <w:pStyle w:val="Body"/>
              <w:spacing w:line="276" w:lineRule="auto"/>
              <w:jc w:val="both"/>
            </w:pPr>
            <w:r w:rsidRPr="00566CD3">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p>
        </w:tc>
      </w:tr>
      <w:tr w:rsidR="00D51381" w:rsidRPr="0082022E" w14:paraId="4AC2234E" w14:textId="77777777" w:rsidTr="003E13AA">
        <w:tc>
          <w:tcPr>
            <w:tcW w:w="1345" w:type="pct"/>
            <w:shd w:val="clear" w:color="auto" w:fill="auto"/>
          </w:tcPr>
          <w:p w14:paraId="7FED90A3" w14:textId="77777777" w:rsidR="00D51381" w:rsidRPr="00D8141D" w:rsidRDefault="00D51381" w:rsidP="00D51381">
            <w:pPr>
              <w:pStyle w:val="HOMEBRBodyText"/>
              <w:keepLines w:val="0"/>
              <w:widowControl w:val="0"/>
              <w:spacing w:after="140" w:line="290" w:lineRule="auto"/>
              <w:rPr>
                <w:rFonts w:eastAsia="Calibri" w:cs="Calibri"/>
                <w:b/>
                <w:lang w:val="pt-BR"/>
              </w:rPr>
            </w:pPr>
            <w:r w:rsidRPr="00D8141D">
              <w:rPr>
                <w:rFonts w:eastAsia="Calibri" w:cs="Calibri"/>
                <w:b/>
                <w:lang w:val="pt-BR"/>
              </w:rPr>
              <w:t>Formador de Mercado</w:t>
            </w:r>
          </w:p>
        </w:tc>
        <w:tc>
          <w:tcPr>
            <w:tcW w:w="3655" w:type="pct"/>
            <w:shd w:val="clear" w:color="auto" w:fill="auto"/>
          </w:tcPr>
          <w:p w14:paraId="57D2BDA4" w14:textId="77777777" w:rsidR="00D51381" w:rsidRPr="00566CD3" w:rsidRDefault="00F753FD" w:rsidP="001D0298">
            <w:pPr>
              <w:pStyle w:val="Body"/>
              <w:spacing w:line="240" w:lineRule="auto"/>
              <w:jc w:val="both"/>
            </w:pPr>
            <w:r w:rsidRPr="00566CD3">
              <w:t>Em conformidade com o disposto no Código ANBIMA, o Coordenador Líder recomendou à Companhia a contratação de instituição para desenvolver atividades de formador de mercado, nos termos da Instrução da CVM nº 384, de 17 de março de 2003, no entanto, não houve contratação de formador de mercado.</w:t>
            </w:r>
          </w:p>
        </w:tc>
      </w:tr>
      <w:tr w:rsidR="003873C8" w:rsidRPr="0082022E" w14:paraId="22F22691" w14:textId="77777777" w:rsidTr="003E13AA">
        <w:tc>
          <w:tcPr>
            <w:tcW w:w="1345" w:type="pct"/>
            <w:shd w:val="clear" w:color="auto" w:fill="auto"/>
          </w:tcPr>
          <w:p w14:paraId="14D1424D"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Fundo de Amortização</w:t>
            </w:r>
          </w:p>
        </w:tc>
        <w:tc>
          <w:tcPr>
            <w:tcW w:w="3655" w:type="pct"/>
            <w:shd w:val="clear" w:color="auto" w:fill="auto"/>
          </w:tcPr>
          <w:p w14:paraId="3AE94B15" w14:textId="77777777" w:rsidR="003873C8" w:rsidRPr="00566CD3" w:rsidRDefault="003873C8" w:rsidP="001D0298">
            <w:pPr>
              <w:pStyle w:val="Body"/>
              <w:spacing w:line="240" w:lineRule="auto"/>
              <w:jc w:val="both"/>
            </w:pPr>
            <w:r w:rsidRPr="00566CD3">
              <w:t>Não será constituído fundo de amortização para a presente Emissão.</w:t>
            </w:r>
          </w:p>
        </w:tc>
      </w:tr>
      <w:tr w:rsidR="003873C8" w:rsidRPr="0082022E" w14:paraId="46864343" w14:textId="77777777" w:rsidTr="003E13AA">
        <w:tc>
          <w:tcPr>
            <w:tcW w:w="1345" w:type="pct"/>
            <w:shd w:val="clear" w:color="auto" w:fill="auto"/>
          </w:tcPr>
          <w:p w14:paraId="3EBE5C85" w14:textId="77777777" w:rsidR="003873C8" w:rsidRPr="00D8141D" w:rsidRDefault="003873C8" w:rsidP="003873C8">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Fundo de </w:t>
            </w:r>
            <w:r w:rsidR="0017376B" w:rsidRPr="00D8141D">
              <w:rPr>
                <w:rFonts w:eastAsia="Calibri" w:cs="Calibri"/>
                <w:b/>
                <w:lang w:val="pt-BR"/>
              </w:rPr>
              <w:t xml:space="preserve">Manutenção de </w:t>
            </w:r>
            <w:r w:rsidRPr="00D8141D">
              <w:rPr>
                <w:rFonts w:eastAsia="Calibri" w:cs="Calibri"/>
                <w:b/>
                <w:lang w:val="pt-BR"/>
              </w:rPr>
              <w:t>Liquidez</w:t>
            </w:r>
          </w:p>
        </w:tc>
        <w:tc>
          <w:tcPr>
            <w:tcW w:w="3655" w:type="pct"/>
            <w:shd w:val="clear" w:color="auto" w:fill="auto"/>
          </w:tcPr>
          <w:p w14:paraId="27F03DF9" w14:textId="77777777" w:rsidR="003873C8" w:rsidRPr="00566CD3" w:rsidRDefault="003873C8" w:rsidP="001D0298">
            <w:pPr>
              <w:pStyle w:val="Body"/>
              <w:spacing w:line="240" w:lineRule="auto"/>
              <w:jc w:val="both"/>
            </w:pPr>
            <w:r w:rsidRPr="00566CD3">
              <w:t>Não será constituído fundo de manutenção de liquidez ou firmado contrato de garantia de liquidez ou estabilização de preços para as Debêntures.</w:t>
            </w:r>
          </w:p>
        </w:tc>
      </w:tr>
      <w:tr w:rsidR="00D51381" w:rsidRPr="0082022E" w14:paraId="310EF463" w14:textId="77777777" w:rsidTr="003E13AA">
        <w:tc>
          <w:tcPr>
            <w:tcW w:w="1345" w:type="pct"/>
            <w:shd w:val="clear" w:color="auto" w:fill="auto"/>
          </w:tcPr>
          <w:p w14:paraId="53A28AF1" w14:textId="77777777" w:rsidR="00D51381" w:rsidRPr="00D8141D" w:rsidRDefault="00D51381" w:rsidP="00D51381">
            <w:pPr>
              <w:pStyle w:val="HOMEBRBodyText"/>
              <w:keepLines w:val="0"/>
              <w:widowControl w:val="0"/>
              <w:spacing w:after="140" w:line="290" w:lineRule="auto"/>
              <w:rPr>
                <w:rFonts w:eastAsia="Calibri" w:cs="Calibri"/>
                <w:b/>
                <w:lang w:val="pt-BR"/>
              </w:rPr>
            </w:pPr>
            <w:r w:rsidRPr="00D8141D">
              <w:rPr>
                <w:rFonts w:eastAsia="Calibri" w:cs="Calibri"/>
                <w:b/>
                <w:lang w:val="pt-BR"/>
              </w:rPr>
              <w:t>Imunidade Tributária dos Debenturistas</w:t>
            </w:r>
          </w:p>
        </w:tc>
        <w:tc>
          <w:tcPr>
            <w:tcW w:w="3655" w:type="pct"/>
            <w:shd w:val="clear" w:color="auto" w:fill="auto"/>
          </w:tcPr>
          <w:p w14:paraId="1DB930B2" w14:textId="77777777" w:rsidR="0038424C" w:rsidRPr="00566CD3" w:rsidRDefault="0038424C" w:rsidP="0038424C">
            <w:pPr>
              <w:pStyle w:val="Body"/>
              <w:jc w:val="both"/>
              <w:rPr>
                <w:spacing w:val="-6"/>
              </w:rPr>
            </w:pPr>
            <w:r w:rsidRPr="00566CD3">
              <w:rPr>
                <w:spacing w:val="-6"/>
              </w:rPr>
              <w:t xml:space="preserve">As Debêntures gozam do tratamento tributário previsto no artigo 2º da Lei 12.431, e, consequentemente, também gozam do tratamento tributário previsto no artigo 1º da Lei 12.431, conforme procedimento descrito na Cláusula 6.21 da Escritura de Emissão. Caso qualquer Debenturista tenha imunidade ou isenção tributária diferente daquelas previstas na Lei 12.431, este deverá encaminhar ao </w:t>
            </w:r>
            <w:r w:rsidR="009D09A0" w:rsidRPr="00566CD3">
              <w:rPr>
                <w:spacing w:val="-6"/>
              </w:rPr>
              <w:t>Agente de Liquidação</w:t>
            </w:r>
            <w:r w:rsidRPr="00566CD3">
              <w:rPr>
                <w:spacing w:val="-6"/>
              </w:rPr>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w:t>
            </w:r>
            <w:r w:rsidRPr="00566CD3">
              <w:rPr>
                <w:spacing w:val="-6"/>
              </w:rPr>
              <w:lastRenderedPageBreak/>
              <w:t xml:space="preserve">de qualquer Debenturista ter sua condição de imunidade ou isenção alterada, deverá informar ao </w:t>
            </w:r>
            <w:r w:rsidR="009D09A0" w:rsidRPr="00566CD3">
              <w:rPr>
                <w:spacing w:val="-6"/>
              </w:rPr>
              <w:t>Agente de Liquidação</w:t>
            </w:r>
            <w:r w:rsidRPr="00566CD3">
              <w:rPr>
                <w:spacing w:val="-6"/>
              </w:rPr>
              <w:t xml:space="preserve"> ou ao Escriturador, conforme o caso, tal alteração no prazo de 2 (dois) Dias Úteis contados da data da formalização da referida alteração. </w:t>
            </w:r>
          </w:p>
          <w:p w14:paraId="648DDAC7" w14:textId="2E24F528" w:rsidR="00D51381" w:rsidRPr="00566CD3" w:rsidRDefault="00D51381" w:rsidP="0038424C">
            <w:pPr>
              <w:pStyle w:val="Body"/>
              <w:jc w:val="both"/>
            </w:pPr>
            <w:r w:rsidRPr="00566CD3">
              <w:rPr>
                <w:b/>
                <w:color w:val="000000"/>
              </w:rPr>
              <w:t xml:space="preserve">Para mais informações sobre Tratamento Tributário e Imunidade Tributária, veja as seções “Informações Relativas à Emissão, à Oferta e às Debêntures – Características da Emissão e das Debêntures – </w:t>
            </w:r>
            <w:r w:rsidR="00DB205D" w:rsidRPr="00566CD3">
              <w:rPr>
                <w:b/>
                <w:color w:val="000000"/>
              </w:rPr>
              <w:t>Imunidade Tributária dos Debenturistas”, “Visão Geral da Lei 12.431 - Tributação das Debêntures</w:t>
            </w:r>
            <w:r w:rsidRPr="00566CD3">
              <w:rPr>
                <w:b/>
                <w:color w:val="000000"/>
              </w:rPr>
              <w:t xml:space="preserve">” e “Fatores de Risco Relacionados à Oferta e às Debêntures - </w:t>
            </w:r>
            <w:r w:rsidR="00DB205D" w:rsidRPr="00566CD3">
              <w:rPr>
                <w:b/>
                <w:color w:val="000000"/>
              </w:rPr>
              <w:t>As</w:t>
            </w:r>
            <w:r w:rsidRPr="00566CD3">
              <w:rPr>
                <w:b/>
                <w:color w:val="000000"/>
              </w:rPr>
              <w:t xml:space="preserve"> Debêntures </w:t>
            </w:r>
            <w:r w:rsidR="00DB205D" w:rsidRPr="00566CD3">
              <w:rPr>
                <w:b/>
                <w:color w:val="000000"/>
              </w:rPr>
              <w:t>podem deixar</w:t>
            </w:r>
            <w:r w:rsidRPr="00566CD3">
              <w:rPr>
                <w:b/>
                <w:color w:val="000000"/>
              </w:rPr>
              <w:t xml:space="preserve"> de satisfazer determinadas características que as enquadrem como </w:t>
            </w:r>
            <w:r w:rsidR="00DB205D" w:rsidRPr="00566CD3">
              <w:rPr>
                <w:b/>
                <w:color w:val="000000"/>
              </w:rPr>
              <w:t>debêntures com incentivo fiscal”,</w:t>
            </w:r>
            <w:r w:rsidRPr="00566CD3">
              <w:rPr>
                <w:b/>
                <w:color w:val="000000"/>
              </w:rPr>
              <w:t xml:space="preserve"> nas páginas </w:t>
            </w:r>
            <w:r w:rsidR="00F4417F" w:rsidRPr="00D8141D">
              <w:rPr>
                <w:rFonts w:eastAsia="Calibri" w:cs="Calibri"/>
                <w:b/>
                <w:noProof/>
                <w:color w:val="000000"/>
              </w:rPr>
              <w:fldChar w:fldCharType="begin"/>
            </w:r>
            <w:r w:rsidR="00F4417F" w:rsidRPr="00566CD3">
              <w:rPr>
                <w:b/>
                <w:color w:val="000000"/>
              </w:rPr>
              <w:instrText xml:space="preserve"> PAGEREF _Ref90216170 \h </w:instrText>
            </w:r>
            <w:r w:rsidR="00F4417F" w:rsidRPr="00D8141D">
              <w:rPr>
                <w:rFonts w:eastAsia="Calibri" w:cs="Calibri"/>
                <w:b/>
                <w:noProof/>
                <w:color w:val="000000"/>
              </w:rPr>
            </w:r>
            <w:r w:rsidR="00F4417F" w:rsidRPr="00D8141D">
              <w:rPr>
                <w:rFonts w:eastAsia="Calibri" w:cs="Calibri"/>
                <w:b/>
                <w:noProof/>
                <w:color w:val="000000"/>
              </w:rPr>
              <w:fldChar w:fldCharType="separate"/>
            </w:r>
            <w:r w:rsidR="001166EA">
              <w:rPr>
                <w:b/>
                <w:noProof/>
                <w:color w:val="000000"/>
              </w:rPr>
              <w:t>85</w:t>
            </w:r>
            <w:r w:rsidR="00F4417F" w:rsidRPr="00D8141D">
              <w:rPr>
                <w:rFonts w:eastAsia="Calibri" w:cs="Calibri"/>
                <w:b/>
                <w:noProof/>
                <w:color w:val="000000"/>
              </w:rPr>
              <w:fldChar w:fldCharType="end"/>
            </w:r>
            <w:r w:rsidR="00DB205D" w:rsidRPr="00566CD3">
              <w:rPr>
                <w:b/>
                <w:color w:val="000000"/>
              </w:rPr>
              <w:t xml:space="preserve">, </w:t>
            </w:r>
            <w:r w:rsidR="00854213" w:rsidRPr="00D8141D">
              <w:rPr>
                <w:rFonts w:eastAsia="Calibri" w:cs="Calibri"/>
                <w:b/>
                <w:noProof/>
                <w:color w:val="000000"/>
              </w:rPr>
              <w:fldChar w:fldCharType="begin"/>
            </w:r>
            <w:r w:rsidR="00854213" w:rsidRPr="00566CD3">
              <w:rPr>
                <w:b/>
                <w:color w:val="000000"/>
              </w:rPr>
              <w:instrText xml:space="preserve"> PAGEREF _Ref90230474 \h </w:instrText>
            </w:r>
            <w:r w:rsidR="00854213" w:rsidRPr="00D8141D">
              <w:rPr>
                <w:rFonts w:eastAsia="Calibri" w:cs="Calibri"/>
                <w:b/>
                <w:noProof/>
                <w:color w:val="000000"/>
              </w:rPr>
            </w:r>
            <w:r w:rsidR="00854213" w:rsidRPr="00D8141D">
              <w:rPr>
                <w:rFonts w:eastAsia="Calibri" w:cs="Calibri"/>
                <w:b/>
                <w:noProof/>
                <w:color w:val="000000"/>
              </w:rPr>
              <w:fldChar w:fldCharType="separate"/>
            </w:r>
            <w:r w:rsidR="001166EA">
              <w:rPr>
                <w:b/>
                <w:noProof/>
                <w:color w:val="000000"/>
              </w:rPr>
              <w:t>122</w:t>
            </w:r>
            <w:r w:rsidR="00854213" w:rsidRPr="00D8141D">
              <w:rPr>
                <w:rFonts w:eastAsia="Calibri" w:cs="Calibri"/>
                <w:b/>
                <w:noProof/>
                <w:color w:val="000000"/>
              </w:rPr>
              <w:fldChar w:fldCharType="end"/>
            </w:r>
            <w:r w:rsidRPr="00566CD3">
              <w:rPr>
                <w:b/>
                <w:color w:val="000000"/>
              </w:rPr>
              <w:t xml:space="preserve"> e </w:t>
            </w:r>
            <w:r w:rsidR="00C23EC2" w:rsidRPr="00D8141D">
              <w:rPr>
                <w:rFonts w:eastAsia="Calibri" w:cs="Calibri"/>
                <w:b/>
                <w:noProof/>
                <w:color w:val="000000"/>
              </w:rPr>
              <w:fldChar w:fldCharType="begin"/>
            </w:r>
            <w:r w:rsidR="00C23EC2" w:rsidRPr="00566CD3">
              <w:rPr>
                <w:b/>
                <w:color w:val="000000"/>
              </w:rPr>
              <w:instrText xml:space="preserve"> PAGEREF _Ref90216386 \h </w:instrText>
            </w:r>
            <w:r w:rsidR="00C23EC2" w:rsidRPr="00D8141D">
              <w:rPr>
                <w:rFonts w:eastAsia="Calibri" w:cs="Calibri"/>
                <w:b/>
                <w:noProof/>
                <w:color w:val="000000"/>
              </w:rPr>
            </w:r>
            <w:r w:rsidR="00C23EC2" w:rsidRPr="00D8141D">
              <w:rPr>
                <w:rFonts w:eastAsia="Calibri" w:cs="Calibri"/>
                <w:b/>
                <w:noProof/>
                <w:color w:val="000000"/>
              </w:rPr>
              <w:fldChar w:fldCharType="separate"/>
            </w:r>
            <w:r w:rsidR="001166EA">
              <w:rPr>
                <w:b/>
                <w:noProof/>
                <w:color w:val="000000"/>
              </w:rPr>
              <w:t>128</w:t>
            </w:r>
            <w:r w:rsidR="00C23EC2" w:rsidRPr="00D8141D">
              <w:rPr>
                <w:rFonts w:eastAsia="Calibri" w:cs="Calibri"/>
                <w:b/>
                <w:noProof/>
                <w:color w:val="000000"/>
              </w:rPr>
              <w:fldChar w:fldCharType="end"/>
            </w:r>
            <w:r w:rsidR="00DB205D" w:rsidRPr="00566CD3">
              <w:rPr>
                <w:b/>
                <w:color w:val="000000"/>
              </w:rPr>
              <w:t>,</w:t>
            </w:r>
            <w:r w:rsidRPr="00566CD3">
              <w:rPr>
                <w:b/>
                <w:color w:val="000000"/>
              </w:rPr>
              <w:t xml:space="preserve"> respectivamente, deste Prospecto.</w:t>
            </w:r>
          </w:p>
        </w:tc>
      </w:tr>
      <w:tr w:rsidR="00D51381" w:rsidRPr="0082022E" w14:paraId="5EB1330C" w14:textId="77777777" w:rsidTr="003E13AA">
        <w:tc>
          <w:tcPr>
            <w:tcW w:w="1345" w:type="pct"/>
            <w:shd w:val="clear" w:color="auto" w:fill="auto"/>
          </w:tcPr>
          <w:p w14:paraId="25C2499E" w14:textId="77777777" w:rsidR="00D51381" w:rsidRPr="00D8141D" w:rsidRDefault="00D51381" w:rsidP="00D51381">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Inadequação da Oferta a Certos Investidores</w:t>
            </w:r>
          </w:p>
        </w:tc>
        <w:tc>
          <w:tcPr>
            <w:tcW w:w="3655" w:type="pct"/>
            <w:shd w:val="clear" w:color="auto" w:fill="auto"/>
          </w:tcPr>
          <w:p w14:paraId="298EE919" w14:textId="77777777" w:rsidR="00D51381" w:rsidRPr="00D8141D" w:rsidRDefault="00D51381" w:rsidP="009648FB">
            <w:pPr>
              <w:pStyle w:val="HOMEBRBodyText"/>
              <w:keepLines w:val="0"/>
              <w:widowControl w:val="0"/>
              <w:spacing w:after="140" w:line="264" w:lineRule="auto"/>
              <w:jc w:val="both"/>
              <w:rPr>
                <w:rFonts w:cs="Calibri"/>
                <w:b/>
                <w:lang w:val="pt-BR"/>
              </w:rPr>
            </w:pPr>
            <w:r w:rsidRPr="00D8141D">
              <w:rPr>
                <w:rFonts w:cs="Calibri"/>
                <w:bCs/>
                <w:lang w:val="pt-BR"/>
              </w:rPr>
              <w:t>O investimento nas Debêntures não é adequado a investidores que: (i) não tenham profundo conhecimento dos riscos envolvidos na operação ou que não tenham acesso a consultoria especializada; (ii) necessitem de liquidez com relação às Debêntures a serem subscritas, tendo em vista a possibilidade de serem pequenas ou inexistentes as negociações das Debêntures no mercado secundário; e/ou (iii) não estejam dispostos a correr o risco de crédito de empresa do setor privado e/ou dos setores em que a Emissora atua, em particular n</w:t>
            </w:r>
            <w:r w:rsidR="00A258C2" w:rsidRPr="00D8141D">
              <w:rPr>
                <w:rFonts w:cs="Calibri"/>
                <w:bCs/>
                <w:lang w:val="pt-BR"/>
              </w:rPr>
              <w:t>o agronegócio</w:t>
            </w:r>
            <w:r w:rsidRPr="00D8141D">
              <w:rPr>
                <w:rFonts w:cs="Calibri"/>
                <w:b/>
                <w:lang w:val="pt-BR"/>
              </w:rPr>
              <w:t>.</w:t>
            </w:r>
          </w:p>
          <w:p w14:paraId="6A912E7C" w14:textId="3F2645E2" w:rsidR="00D51381" w:rsidRPr="00566CD3" w:rsidRDefault="00D51381" w:rsidP="00D51381">
            <w:pPr>
              <w:pStyle w:val="Body"/>
              <w:jc w:val="both"/>
            </w:pPr>
            <w:r w:rsidRPr="00566CD3">
              <w:rPr>
                <w:b/>
              </w:rPr>
              <w:t xml:space="preserve">Para uma avaliação adequada dos riscos associados ao investimento nas Debêntures, os investidores deverão ler a seção “Fatores de Risco Relacionados à Oferta e às Debêntures”, nas páginas </w:t>
            </w:r>
            <w:r w:rsidR="00F5633B" w:rsidRPr="00D8141D">
              <w:rPr>
                <w:rFonts w:cs="Calibri"/>
                <w:b/>
                <w:bCs/>
                <w:noProof/>
              </w:rPr>
              <w:fldChar w:fldCharType="begin"/>
            </w:r>
            <w:r w:rsidR="00F5633B" w:rsidRPr="00566CD3">
              <w:rPr>
                <w:b/>
              </w:rPr>
              <w:instrText xml:space="preserve"> PAGEREF _Ref90058749 \h </w:instrText>
            </w:r>
            <w:r w:rsidR="00F5633B" w:rsidRPr="00D8141D">
              <w:rPr>
                <w:rFonts w:cs="Calibri"/>
                <w:b/>
                <w:bCs/>
                <w:noProof/>
              </w:rPr>
            </w:r>
            <w:r w:rsidR="00F5633B" w:rsidRPr="00D8141D">
              <w:rPr>
                <w:rFonts w:cs="Calibri"/>
                <w:b/>
                <w:bCs/>
                <w:noProof/>
              </w:rPr>
              <w:fldChar w:fldCharType="separate"/>
            </w:r>
            <w:r w:rsidR="001166EA">
              <w:rPr>
                <w:b/>
                <w:noProof/>
              </w:rPr>
              <w:t>128</w:t>
            </w:r>
            <w:r w:rsidR="00F5633B" w:rsidRPr="00D8141D">
              <w:rPr>
                <w:rFonts w:cs="Calibri"/>
                <w:b/>
                <w:bCs/>
                <w:noProof/>
              </w:rPr>
              <w:fldChar w:fldCharType="end"/>
            </w:r>
            <w:r w:rsidRPr="00566CD3">
              <w:rPr>
                <w:b/>
              </w:rPr>
              <w:t xml:space="preserve"> a </w:t>
            </w:r>
            <w:r w:rsidR="00137FB1">
              <w:rPr>
                <w:rFonts w:cs="Calibri"/>
                <w:b/>
                <w:bCs/>
                <w:noProof/>
              </w:rPr>
              <w:fldChar w:fldCharType="begin"/>
            </w:r>
            <w:r w:rsidR="00137FB1" w:rsidRPr="00566CD3">
              <w:rPr>
                <w:b/>
              </w:rPr>
              <w:instrText xml:space="preserve"> PAGEREF fator_de_risco_taxa_subs \h </w:instrText>
            </w:r>
            <w:r w:rsidR="00137FB1">
              <w:rPr>
                <w:rFonts w:cs="Calibri"/>
                <w:b/>
                <w:bCs/>
                <w:noProof/>
              </w:rPr>
            </w:r>
            <w:r w:rsidR="00137FB1">
              <w:rPr>
                <w:rFonts w:cs="Calibri"/>
                <w:b/>
                <w:bCs/>
                <w:noProof/>
              </w:rPr>
              <w:fldChar w:fldCharType="separate"/>
            </w:r>
            <w:r w:rsidR="001166EA">
              <w:rPr>
                <w:b/>
                <w:noProof/>
              </w:rPr>
              <w:t>138</w:t>
            </w:r>
            <w:r w:rsidR="00137FB1">
              <w:rPr>
                <w:rFonts w:cs="Calibri"/>
                <w:b/>
                <w:bCs/>
                <w:noProof/>
              </w:rPr>
              <w:fldChar w:fldCharType="end"/>
            </w:r>
            <w:r w:rsidRPr="00566CD3">
              <w:rPr>
                <w:b/>
              </w:rPr>
              <w:t xml:space="preserve"> deste Prospecto, bem como o item “4. Fatores de Risco” do Formulário de Referência antes de aceitar a Oferta.</w:t>
            </w:r>
          </w:p>
        </w:tc>
      </w:tr>
      <w:tr w:rsidR="00D51381" w:rsidRPr="0082022E" w14:paraId="6F69C1C2" w14:textId="77777777" w:rsidTr="00F20295">
        <w:tc>
          <w:tcPr>
            <w:tcW w:w="1345" w:type="pct"/>
            <w:shd w:val="clear" w:color="auto" w:fill="auto"/>
          </w:tcPr>
          <w:p w14:paraId="4F0031B2" w14:textId="77777777" w:rsidR="00D51381" w:rsidRPr="00D8141D" w:rsidRDefault="00D51381" w:rsidP="00D51381">
            <w:pPr>
              <w:pStyle w:val="HOMEBRBodyText"/>
              <w:keepLines w:val="0"/>
              <w:widowControl w:val="0"/>
              <w:spacing w:after="140" w:line="290" w:lineRule="auto"/>
              <w:rPr>
                <w:rFonts w:eastAsia="Calibri" w:cs="Calibri"/>
                <w:b/>
                <w:lang w:val="pt-BR"/>
              </w:rPr>
            </w:pPr>
            <w:r w:rsidRPr="00D8141D">
              <w:rPr>
                <w:rFonts w:eastAsia="Calibri" w:cs="Calibri"/>
                <w:b/>
                <w:lang w:val="pt-BR"/>
              </w:rPr>
              <w:t>Informações Adicionais</w:t>
            </w:r>
          </w:p>
        </w:tc>
        <w:tc>
          <w:tcPr>
            <w:tcW w:w="3655" w:type="pct"/>
            <w:shd w:val="clear" w:color="auto" w:fill="auto"/>
          </w:tcPr>
          <w:p w14:paraId="557F4770" w14:textId="3D2DC1C1" w:rsidR="00D51381" w:rsidRPr="00D8141D" w:rsidRDefault="00D51381" w:rsidP="00576AA2">
            <w:pPr>
              <w:pStyle w:val="HOMEBRBodyText"/>
              <w:keepLines w:val="0"/>
              <w:widowControl w:val="0"/>
              <w:spacing w:after="140" w:line="260" w:lineRule="exact"/>
              <w:jc w:val="both"/>
              <w:rPr>
                <w:rFonts w:cs="Calibri"/>
                <w:spacing w:val="-4"/>
                <w:lang w:val="pt-BR"/>
              </w:rPr>
            </w:pPr>
            <w:r w:rsidRPr="00D8141D">
              <w:rPr>
                <w:rFonts w:cs="Calibri"/>
                <w:spacing w:val="-4"/>
                <w:lang w:val="pt-BR"/>
              </w:rPr>
              <w:t xml:space="preserve">Informações adicionais sobre a Emissora, as Debêntures e a Oferta poderão ser obtidas no Formulário de Referência, incorporado por referência a este Prospecto, e junto à diretoria de relações com investidores da Emissora, ao </w:t>
            </w:r>
            <w:r w:rsidRPr="00D8141D">
              <w:rPr>
                <w:rFonts w:eastAsia="Calibri" w:cs="Calibri"/>
                <w:spacing w:val="-4"/>
                <w:lang w:val="pt-BR"/>
              </w:rPr>
              <w:t>Coordenador Líder</w:t>
            </w:r>
            <w:r w:rsidRPr="00D8141D">
              <w:rPr>
                <w:rFonts w:cs="Calibri"/>
                <w:spacing w:val="-4"/>
                <w:lang w:val="pt-BR"/>
              </w:rPr>
              <w:t xml:space="preserve">, à CVM, ao Agente Fiduciário e à B3, nos endereços e </w:t>
            </w:r>
            <w:r w:rsidRPr="00D8141D">
              <w:rPr>
                <w:rFonts w:cs="Calibri"/>
                <w:i/>
                <w:spacing w:val="-4"/>
                <w:lang w:val="pt-BR"/>
              </w:rPr>
              <w:t>websites</w:t>
            </w:r>
            <w:r w:rsidRPr="00D8141D">
              <w:rPr>
                <w:rFonts w:cs="Calibri"/>
                <w:spacing w:val="-4"/>
                <w:lang w:val="pt-BR"/>
              </w:rPr>
              <w:t>, conforme o caso,</w:t>
            </w:r>
            <w:r w:rsidRPr="00D8141D">
              <w:rPr>
                <w:rFonts w:cs="Calibri"/>
                <w:i/>
                <w:spacing w:val="-4"/>
                <w:lang w:val="pt-BR"/>
              </w:rPr>
              <w:t xml:space="preserve"> </w:t>
            </w:r>
            <w:r w:rsidRPr="00D8141D">
              <w:rPr>
                <w:rFonts w:cs="Calibri"/>
                <w:spacing w:val="-4"/>
                <w:lang w:val="pt-BR"/>
              </w:rPr>
              <w:t xml:space="preserve">indicados na seção “Informações Sobre a Emissora, o </w:t>
            </w:r>
            <w:r w:rsidRPr="00D8141D">
              <w:rPr>
                <w:rFonts w:eastAsia="Calibri" w:cs="Calibri"/>
                <w:spacing w:val="-4"/>
                <w:lang w:val="pt-BR"/>
              </w:rPr>
              <w:t>Coordenador Líder</w:t>
            </w:r>
            <w:r w:rsidRPr="00D8141D">
              <w:rPr>
                <w:rFonts w:cs="Calibri"/>
                <w:spacing w:val="-4"/>
                <w:lang w:val="pt-BR"/>
              </w:rPr>
              <w:t xml:space="preserve">, os Consultores, o Agente Fiduciário, o </w:t>
            </w:r>
            <w:r w:rsidR="009D09A0" w:rsidRPr="00D8141D">
              <w:rPr>
                <w:rFonts w:cs="Calibri"/>
                <w:spacing w:val="-4"/>
                <w:lang w:val="pt-BR"/>
              </w:rPr>
              <w:t>Agente de Liquidação</w:t>
            </w:r>
            <w:r w:rsidRPr="00D8141D">
              <w:rPr>
                <w:rFonts w:cs="Calibri"/>
                <w:spacing w:val="-4"/>
                <w:lang w:val="pt-BR"/>
              </w:rPr>
              <w:t xml:space="preserve"> e Escriturador e os </w:t>
            </w:r>
            <w:r w:rsidR="00854213" w:rsidRPr="00D8141D">
              <w:rPr>
                <w:rFonts w:cs="Calibri"/>
                <w:spacing w:val="-4"/>
                <w:lang w:val="pt-BR"/>
              </w:rPr>
              <w:t>Auditores Independentes</w:t>
            </w:r>
            <w:r w:rsidRPr="00D8141D">
              <w:rPr>
                <w:rFonts w:cs="Calibri"/>
                <w:spacing w:val="-4"/>
                <w:lang w:val="pt-BR"/>
              </w:rPr>
              <w:t xml:space="preserve">” na página </w:t>
            </w:r>
            <w:r w:rsidR="00793B3F" w:rsidRPr="00D8141D">
              <w:rPr>
                <w:rFonts w:cs="Calibri"/>
                <w:noProof/>
                <w:spacing w:val="-4"/>
                <w:lang w:val="pt-BR"/>
              </w:rPr>
              <w:fldChar w:fldCharType="begin"/>
            </w:r>
            <w:r w:rsidR="00793B3F" w:rsidRPr="00D8141D">
              <w:rPr>
                <w:rFonts w:cs="Calibri"/>
                <w:spacing w:val="-4"/>
                <w:lang w:val="pt-BR"/>
              </w:rPr>
              <w:instrText xml:space="preserve"> PAGEREF _Ref90058786 \h </w:instrText>
            </w:r>
            <w:r w:rsidR="00793B3F" w:rsidRPr="00D8141D">
              <w:rPr>
                <w:rFonts w:cs="Calibri"/>
                <w:noProof/>
                <w:spacing w:val="-4"/>
                <w:lang w:val="pt-BR"/>
              </w:rPr>
            </w:r>
            <w:r w:rsidR="00793B3F" w:rsidRPr="00D8141D">
              <w:rPr>
                <w:rFonts w:cs="Calibri"/>
                <w:noProof/>
                <w:spacing w:val="-4"/>
                <w:lang w:val="pt-BR"/>
              </w:rPr>
              <w:fldChar w:fldCharType="separate"/>
            </w:r>
            <w:r w:rsidR="001166EA">
              <w:rPr>
                <w:rFonts w:cs="Calibri"/>
                <w:noProof/>
                <w:spacing w:val="-4"/>
                <w:lang w:val="pt-BR"/>
              </w:rPr>
              <w:t>143</w:t>
            </w:r>
            <w:r w:rsidR="00793B3F" w:rsidRPr="00D8141D">
              <w:rPr>
                <w:rFonts w:cs="Calibri"/>
                <w:noProof/>
                <w:spacing w:val="-4"/>
                <w:lang w:val="pt-BR"/>
              </w:rPr>
              <w:fldChar w:fldCharType="end"/>
            </w:r>
            <w:r w:rsidRPr="00D8141D">
              <w:rPr>
                <w:rFonts w:cs="Calibri"/>
                <w:spacing w:val="-4"/>
                <w:lang w:val="pt-BR"/>
              </w:rPr>
              <w:t xml:space="preserve"> deste Prospecto.</w:t>
            </w:r>
          </w:p>
          <w:p w14:paraId="0EE4825C" w14:textId="77777777" w:rsidR="00D51381" w:rsidRPr="00D8141D" w:rsidRDefault="00D51381" w:rsidP="00576AA2">
            <w:pPr>
              <w:pStyle w:val="HOMEBRBodyText"/>
              <w:keepLines w:val="0"/>
              <w:widowControl w:val="0"/>
              <w:spacing w:after="140" w:line="260" w:lineRule="exact"/>
              <w:jc w:val="both"/>
              <w:rPr>
                <w:rFonts w:cs="Calibri"/>
                <w:bCs/>
                <w:lang w:val="pt-BR"/>
              </w:rPr>
            </w:pPr>
            <w:r w:rsidRPr="00D8141D">
              <w:rPr>
                <w:rFonts w:eastAsia="Calibri" w:cs="Calibri"/>
                <w:bCs/>
                <w:lang w:val="pt-BR"/>
              </w:rPr>
              <w:t xml:space="preserve">A Oferta será registrada em conformidade com os procedimentos </w:t>
            </w:r>
            <w:r w:rsidR="005757B9" w:rsidRPr="00D8141D">
              <w:rPr>
                <w:rFonts w:eastAsia="Calibri" w:cs="Calibri"/>
                <w:bCs/>
                <w:lang w:val="pt-BR"/>
              </w:rPr>
              <w:t>da</w:t>
            </w:r>
            <w:r w:rsidRPr="00D8141D">
              <w:rPr>
                <w:rFonts w:eastAsia="Calibri" w:cs="Calibri"/>
                <w:bCs/>
                <w:lang w:val="pt-BR"/>
              </w:rPr>
              <w:t xml:space="preserve"> Instrução CVM 400, do Código ANBIMA e demais disposições legais e regulamentares aplicáveis.</w:t>
            </w:r>
          </w:p>
        </w:tc>
      </w:tr>
      <w:tr w:rsidR="00D51381" w:rsidRPr="0082022E" w14:paraId="7FEFCB5C" w14:textId="77777777" w:rsidTr="003E13AA">
        <w:tc>
          <w:tcPr>
            <w:tcW w:w="1345" w:type="pct"/>
            <w:shd w:val="clear" w:color="auto" w:fill="auto"/>
          </w:tcPr>
          <w:p w14:paraId="473B3479" w14:textId="77777777" w:rsidR="00D51381" w:rsidRPr="00D8141D" w:rsidRDefault="00D51381" w:rsidP="00D51381">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Investidores Institucionais</w:t>
            </w:r>
          </w:p>
        </w:tc>
        <w:tc>
          <w:tcPr>
            <w:tcW w:w="3655" w:type="pct"/>
            <w:shd w:val="clear" w:color="auto" w:fill="auto"/>
          </w:tcPr>
          <w:p w14:paraId="4558EFAE" w14:textId="77777777" w:rsidR="00D51381" w:rsidRPr="00566CD3" w:rsidRDefault="00D51381" w:rsidP="009648FB">
            <w:pPr>
              <w:pStyle w:val="Body"/>
              <w:spacing w:line="264" w:lineRule="auto"/>
              <w:jc w:val="both"/>
            </w:pPr>
            <w:r w:rsidRPr="00566CD3">
              <w:t>Investidores que sejam fundos de investimento, clubes de investimento, carteiras administradas, fundos de pensão, entidades administradoras de recursos de terceiros registradas na CVM, entidades autorizadas a funcionar pelo BACEN</w:t>
            </w:r>
            <w:r w:rsidR="00403C1B" w:rsidRPr="00566CD3">
              <w:t>,</w:t>
            </w:r>
            <w:r w:rsidRPr="00566CD3">
              <w:t xml:space="preserve"> seguradoras, entidades de previdência complementar e de capitalização</w:t>
            </w:r>
            <w:r w:rsidR="00403C1B" w:rsidRPr="00566CD3">
              <w:t>,</w:t>
            </w:r>
            <w:r w:rsidRPr="00566CD3">
              <w:t xml:space="preserve"> bem como pessoas físicas ou jurídicas que sejam consideradas </w:t>
            </w:r>
            <w:r w:rsidR="00403C1B" w:rsidRPr="00566CD3">
              <w:t xml:space="preserve">como investidores profissionais ou </w:t>
            </w:r>
            <w:r w:rsidRPr="00566CD3">
              <w:t xml:space="preserve">investidores qualificados, conforme definido </w:t>
            </w:r>
            <w:r w:rsidR="00403C1B" w:rsidRPr="00566CD3">
              <w:t>no conforme definido nos artigos 11 e 12 da</w:t>
            </w:r>
            <w:r w:rsidR="008C44CA" w:rsidRPr="00566CD3">
              <w:t xml:space="preserve"> Resolução CVM </w:t>
            </w:r>
            <w:r w:rsidR="00403C1B" w:rsidRPr="00566CD3">
              <w:t xml:space="preserve">nº </w:t>
            </w:r>
            <w:r w:rsidR="008C44CA" w:rsidRPr="00566CD3">
              <w:t>30</w:t>
            </w:r>
            <w:r w:rsidR="00403C1B" w:rsidRPr="00566CD3">
              <w:t>, assim como, investidores pessoas físicas ou jurídicas que formaliz</w:t>
            </w:r>
            <w:r w:rsidR="004F0CDF" w:rsidRPr="00566CD3">
              <w:t>aram</w:t>
            </w:r>
            <w:r w:rsidR="00403C1B" w:rsidRPr="00566CD3">
              <w:t xml:space="preserve"> Pedido de Reserva em valor igual ou superior a R$1.000.000,00 (um milhão de reais).</w:t>
            </w:r>
            <w:r w:rsidR="00403C1B" w:rsidRPr="00566CD3" w:rsidDel="00403C1B">
              <w:t xml:space="preserve"> </w:t>
            </w:r>
          </w:p>
        </w:tc>
      </w:tr>
      <w:tr w:rsidR="00D51381" w:rsidRPr="0082022E" w14:paraId="7CA35257" w14:textId="77777777" w:rsidTr="003E13AA">
        <w:tc>
          <w:tcPr>
            <w:tcW w:w="1345" w:type="pct"/>
            <w:shd w:val="clear" w:color="auto" w:fill="auto"/>
          </w:tcPr>
          <w:p w14:paraId="2D5990DE" w14:textId="77777777" w:rsidR="00D51381" w:rsidRPr="00D8141D" w:rsidRDefault="00D51381" w:rsidP="00D51381">
            <w:pPr>
              <w:pStyle w:val="HOMEBRBodyText"/>
              <w:keepLines w:val="0"/>
              <w:widowControl w:val="0"/>
              <w:spacing w:after="140" w:line="290" w:lineRule="auto"/>
              <w:rPr>
                <w:rFonts w:eastAsia="Calibri" w:cs="Calibri"/>
                <w:b/>
                <w:lang w:val="pt-BR"/>
              </w:rPr>
            </w:pPr>
            <w:r w:rsidRPr="00D8141D">
              <w:rPr>
                <w:rFonts w:eastAsia="Calibri" w:cs="Calibri"/>
                <w:b/>
                <w:lang w:val="pt-BR"/>
              </w:rPr>
              <w:t>Investidores Não Institucionais</w:t>
            </w:r>
          </w:p>
        </w:tc>
        <w:tc>
          <w:tcPr>
            <w:tcW w:w="3655" w:type="pct"/>
            <w:shd w:val="clear" w:color="auto" w:fill="auto"/>
          </w:tcPr>
          <w:p w14:paraId="601765A5" w14:textId="77777777" w:rsidR="00D51381" w:rsidRPr="00566CD3" w:rsidRDefault="00D51381" w:rsidP="00D51381">
            <w:pPr>
              <w:pStyle w:val="Body"/>
              <w:jc w:val="both"/>
            </w:pPr>
            <w:r w:rsidRPr="00566CD3">
              <w:t>Investidores, pessoas físicas ou jurídicas, que não estejam compreendidos na definição de Investidores Institucionais.</w:t>
            </w:r>
          </w:p>
        </w:tc>
      </w:tr>
      <w:tr w:rsidR="00D51381" w:rsidRPr="0082022E" w14:paraId="38E96814" w14:textId="77777777" w:rsidTr="003E13AA">
        <w:tc>
          <w:tcPr>
            <w:tcW w:w="1345" w:type="pct"/>
            <w:shd w:val="clear" w:color="auto" w:fill="auto"/>
          </w:tcPr>
          <w:p w14:paraId="209AC6EC" w14:textId="77777777" w:rsidR="00D51381" w:rsidRPr="00D8141D" w:rsidRDefault="00D51381" w:rsidP="00D51381">
            <w:pPr>
              <w:pStyle w:val="HOMEBRBodyText"/>
              <w:keepLines w:val="0"/>
              <w:widowControl w:val="0"/>
              <w:spacing w:after="140" w:line="290" w:lineRule="auto"/>
              <w:rPr>
                <w:rFonts w:eastAsia="Calibri" w:cs="Calibri"/>
                <w:b/>
                <w:lang w:val="pt-BR"/>
              </w:rPr>
            </w:pPr>
            <w:r w:rsidRPr="00D8141D">
              <w:rPr>
                <w:rFonts w:eastAsia="Calibri" w:cs="Calibri"/>
                <w:b/>
                <w:lang w:val="pt-BR"/>
              </w:rPr>
              <w:t>Instituições Participantes da Oferta</w:t>
            </w:r>
          </w:p>
        </w:tc>
        <w:tc>
          <w:tcPr>
            <w:tcW w:w="3655" w:type="pct"/>
            <w:shd w:val="clear" w:color="auto" w:fill="auto"/>
          </w:tcPr>
          <w:p w14:paraId="6CCE1430" w14:textId="77777777" w:rsidR="00D51381" w:rsidRPr="00D8141D" w:rsidRDefault="00D51381" w:rsidP="00D51381">
            <w:pPr>
              <w:pStyle w:val="HOMEBRBodyText"/>
              <w:keepLines w:val="0"/>
              <w:widowControl w:val="0"/>
              <w:spacing w:after="140" w:line="290" w:lineRule="auto"/>
              <w:jc w:val="both"/>
              <w:rPr>
                <w:rFonts w:eastAsia="Calibri" w:cs="Calibri"/>
                <w:lang w:val="pt-BR"/>
              </w:rPr>
            </w:pPr>
            <w:r w:rsidRPr="00D8141D">
              <w:rPr>
                <w:rFonts w:eastAsia="Calibri" w:cs="Calibri"/>
                <w:lang w:val="pt-BR"/>
              </w:rPr>
              <w:t>O Coordenador Líder e os Participantes Especiais, considerados em conjunto.</w:t>
            </w:r>
          </w:p>
        </w:tc>
      </w:tr>
      <w:tr w:rsidR="00A76890" w:rsidRPr="0082022E" w14:paraId="0468C70A" w14:textId="77777777" w:rsidTr="003E13AA">
        <w:tc>
          <w:tcPr>
            <w:tcW w:w="1345" w:type="pct"/>
            <w:shd w:val="clear" w:color="auto" w:fill="auto"/>
          </w:tcPr>
          <w:p w14:paraId="6D4A9DCE" w14:textId="77777777" w:rsidR="00A76890" w:rsidRPr="00D8141D" w:rsidRDefault="00A76890" w:rsidP="00A76890">
            <w:pPr>
              <w:pStyle w:val="HOMEBRBodyText"/>
              <w:keepLines w:val="0"/>
              <w:widowControl w:val="0"/>
              <w:spacing w:after="140" w:line="290" w:lineRule="auto"/>
              <w:rPr>
                <w:rFonts w:eastAsia="Calibri" w:cs="Calibri"/>
                <w:b/>
                <w:lang w:val="pt-BR"/>
              </w:rPr>
            </w:pPr>
            <w:r w:rsidRPr="00D8141D">
              <w:rPr>
                <w:rFonts w:eastAsia="Calibri" w:cs="Calibri"/>
                <w:b/>
                <w:lang w:val="pt-BR"/>
              </w:rPr>
              <w:t>Jornais nos quais a Emissora divulga informações</w:t>
            </w:r>
          </w:p>
        </w:tc>
        <w:tc>
          <w:tcPr>
            <w:tcW w:w="3655" w:type="pct"/>
            <w:shd w:val="clear" w:color="auto" w:fill="auto"/>
          </w:tcPr>
          <w:p w14:paraId="6294E02B" w14:textId="64781167" w:rsidR="00A76890" w:rsidRPr="00D8141D" w:rsidRDefault="00A76890" w:rsidP="00A76890">
            <w:pPr>
              <w:pStyle w:val="HOMEBRBodyText"/>
              <w:keepLines w:val="0"/>
              <w:widowControl w:val="0"/>
              <w:spacing w:after="140" w:line="290" w:lineRule="auto"/>
              <w:jc w:val="both"/>
              <w:rPr>
                <w:rFonts w:eastAsia="Calibri" w:cs="Calibri"/>
                <w:lang w:val="pt-BR"/>
              </w:rPr>
            </w:pPr>
            <w:r w:rsidRPr="00D33DFE">
              <w:rPr>
                <w:rFonts w:eastAsia="Times New Roman" w:cs="Calibri"/>
                <w:lang w:val="pt-BR" w:eastAsia="zh-CN"/>
              </w:rPr>
              <w:t xml:space="preserve">As informações referentes à Emissora, inclusive seus atos societários, são divulgadas no jornal </w:t>
            </w:r>
            <w:r w:rsidRPr="00D33DFE">
              <w:rPr>
                <w:rFonts w:cs="Calibri"/>
                <w:lang w:val="pt-BR"/>
              </w:rPr>
              <w:t>“Valor Econômico”.</w:t>
            </w:r>
          </w:p>
        </w:tc>
      </w:tr>
      <w:tr w:rsidR="000C62AA" w:rsidRPr="0082022E" w14:paraId="17BA5BD4" w14:textId="77777777" w:rsidTr="003E13AA">
        <w:tc>
          <w:tcPr>
            <w:tcW w:w="1345" w:type="pct"/>
            <w:shd w:val="clear" w:color="auto" w:fill="auto"/>
          </w:tcPr>
          <w:p w14:paraId="42A86FF3"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Local de Pagamento</w:t>
            </w:r>
          </w:p>
        </w:tc>
        <w:tc>
          <w:tcPr>
            <w:tcW w:w="3655" w:type="pct"/>
            <w:shd w:val="clear" w:color="auto" w:fill="auto"/>
          </w:tcPr>
          <w:p w14:paraId="52DB8249" w14:textId="77777777" w:rsidR="000C62AA" w:rsidRPr="00D8141D" w:rsidRDefault="0038424C" w:rsidP="000C62AA">
            <w:pPr>
              <w:pStyle w:val="HOMEBRBodyText"/>
              <w:keepLines w:val="0"/>
              <w:widowControl w:val="0"/>
              <w:spacing w:after="140" w:line="290" w:lineRule="auto"/>
              <w:jc w:val="both"/>
              <w:rPr>
                <w:rFonts w:cs="Calibri"/>
                <w:spacing w:val="-4"/>
                <w:lang w:val="pt-BR"/>
              </w:rPr>
            </w:pPr>
            <w:r w:rsidRPr="002E06C5">
              <w:rPr>
                <w:spacing w:val="-4"/>
                <w:lang w:val="pt-BR"/>
              </w:rPr>
              <w:t>Os pagamentos a que fizerem jus as Debêntures serão efetuados pela Emissora no respectivo vencimento utilizando-se, conforme o caso: (a) os procedimentos adotados pela B3 para as Debêntures custodiadas eletronicamente nela; (b) os procedimentos adotados pelo Escriturador, para as Debêntures que não estejam custodiadas eletronicamente na B3</w:t>
            </w:r>
            <w:r w:rsidRPr="00D8141D">
              <w:rPr>
                <w:rFonts w:cs="Calibri"/>
                <w:spacing w:val="-4"/>
                <w:lang w:val="pt-BR"/>
              </w:rPr>
              <w:t xml:space="preserve">; e/ou (c) na sede da Emissora, para os pagamentos que não possam ser realizados por meio do </w:t>
            </w:r>
            <w:r w:rsidR="009D09A0" w:rsidRPr="00D8141D">
              <w:rPr>
                <w:rFonts w:cs="Calibri"/>
                <w:spacing w:val="-4"/>
              </w:rPr>
              <w:t>Agente de Liquidação</w:t>
            </w:r>
            <w:r w:rsidRPr="00D8141D">
              <w:rPr>
                <w:rFonts w:cs="Calibri"/>
                <w:spacing w:val="-4"/>
                <w:lang w:val="pt-BR"/>
              </w:rPr>
              <w:t xml:space="preserve"> ou da B3</w:t>
            </w:r>
            <w:r w:rsidR="000C62AA" w:rsidRPr="00D8141D">
              <w:rPr>
                <w:rFonts w:cs="Calibri"/>
                <w:spacing w:val="-4"/>
                <w:lang w:val="pt-BR"/>
              </w:rPr>
              <w:t>.</w:t>
            </w:r>
          </w:p>
          <w:p w14:paraId="4A220F86" w14:textId="77777777" w:rsidR="000C62AA" w:rsidRPr="00D8141D" w:rsidRDefault="009D09A0" w:rsidP="002E06C5">
            <w:pPr>
              <w:pStyle w:val="HOMEBRBodyText"/>
              <w:keepLines w:val="0"/>
              <w:widowControl w:val="0"/>
              <w:spacing w:line="290" w:lineRule="auto"/>
              <w:jc w:val="both"/>
              <w:rPr>
                <w:rFonts w:cs="Calibri"/>
                <w:lang w:val="pt-BR"/>
              </w:rPr>
            </w:pPr>
            <w:r w:rsidRPr="00D8141D">
              <w:rPr>
                <w:rFonts w:cs="Calibri"/>
                <w:lang w:val="pt-BR"/>
              </w:rPr>
              <w:t>Farão jus ao recebimento de qualquer valor devido aos Debenturistas nos termos desta Escritura de Emissão aqueles que sejam Debenturistas ao final do Dia Útil imediatamente anterior à respectiva data do pagamento.</w:t>
            </w:r>
          </w:p>
        </w:tc>
      </w:tr>
      <w:tr w:rsidR="000C62AA" w:rsidRPr="0082022E" w14:paraId="0AF83BCB" w14:textId="77777777" w:rsidTr="003E13AA">
        <w:tc>
          <w:tcPr>
            <w:tcW w:w="1345" w:type="pct"/>
            <w:shd w:val="clear" w:color="auto" w:fill="auto"/>
          </w:tcPr>
          <w:p w14:paraId="636186D1"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Número da Emissão</w:t>
            </w:r>
          </w:p>
        </w:tc>
        <w:tc>
          <w:tcPr>
            <w:tcW w:w="3655" w:type="pct"/>
            <w:shd w:val="clear" w:color="auto" w:fill="auto"/>
          </w:tcPr>
          <w:p w14:paraId="2F7DDF9C" w14:textId="77777777" w:rsidR="000C62AA" w:rsidRPr="00D8141D" w:rsidRDefault="000C62AA" w:rsidP="000C62AA">
            <w:pPr>
              <w:pStyle w:val="HOMEBRBodyText"/>
              <w:keepLines w:val="0"/>
              <w:widowControl w:val="0"/>
              <w:spacing w:after="140" w:line="290" w:lineRule="auto"/>
              <w:jc w:val="both"/>
              <w:rPr>
                <w:rFonts w:cs="Calibri"/>
                <w:lang w:val="pt-BR"/>
              </w:rPr>
            </w:pPr>
            <w:r w:rsidRPr="00D8141D">
              <w:rPr>
                <w:rFonts w:cs="Calibri"/>
                <w:lang w:val="pt-BR"/>
              </w:rPr>
              <w:t>A presente Emissão representa a 4ª (quarta) emissão de debêntures da Emissora.</w:t>
            </w:r>
          </w:p>
        </w:tc>
      </w:tr>
      <w:tr w:rsidR="000C62AA" w:rsidRPr="0082022E" w14:paraId="083292A6" w14:textId="77777777" w:rsidTr="003E13AA">
        <w:tc>
          <w:tcPr>
            <w:tcW w:w="1345" w:type="pct"/>
            <w:shd w:val="clear" w:color="auto" w:fill="auto"/>
          </w:tcPr>
          <w:p w14:paraId="701A7F3C"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Número de Séries</w:t>
            </w:r>
          </w:p>
        </w:tc>
        <w:tc>
          <w:tcPr>
            <w:tcW w:w="3655" w:type="pct"/>
            <w:shd w:val="clear" w:color="auto" w:fill="auto"/>
          </w:tcPr>
          <w:p w14:paraId="43900C3F" w14:textId="77777777" w:rsidR="000C62AA" w:rsidRPr="00D8141D" w:rsidRDefault="000C62AA" w:rsidP="000C62AA">
            <w:pPr>
              <w:pStyle w:val="HOMEBRBodyText"/>
              <w:keepLines w:val="0"/>
              <w:widowControl w:val="0"/>
              <w:spacing w:after="140" w:line="290" w:lineRule="auto"/>
              <w:jc w:val="both"/>
              <w:rPr>
                <w:rFonts w:cs="Calibri"/>
                <w:lang w:val="pt-BR"/>
              </w:rPr>
            </w:pPr>
            <w:r w:rsidRPr="00D8141D">
              <w:rPr>
                <w:rFonts w:cs="Calibri"/>
                <w:lang w:val="pt-BR"/>
              </w:rPr>
              <w:t>As Debêntures serão emitidas em duas séries</w:t>
            </w:r>
            <w:r w:rsidR="0038424C" w:rsidRPr="00D8141D">
              <w:rPr>
                <w:rFonts w:cs="Calibri"/>
                <w:lang w:val="pt-BR"/>
              </w:rPr>
              <w:t>.</w:t>
            </w:r>
          </w:p>
        </w:tc>
      </w:tr>
      <w:tr w:rsidR="000C62AA" w:rsidRPr="0082022E" w14:paraId="40D5D6E4" w14:textId="77777777" w:rsidTr="003E13AA">
        <w:tc>
          <w:tcPr>
            <w:tcW w:w="1345" w:type="pct"/>
            <w:shd w:val="clear" w:color="auto" w:fill="auto"/>
          </w:tcPr>
          <w:p w14:paraId="1730A1E8"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Objeto Social</w:t>
            </w:r>
          </w:p>
        </w:tc>
        <w:tc>
          <w:tcPr>
            <w:tcW w:w="3655" w:type="pct"/>
            <w:shd w:val="clear" w:color="auto" w:fill="auto"/>
          </w:tcPr>
          <w:p w14:paraId="3FBFEC37" w14:textId="77777777" w:rsidR="000C62AA" w:rsidRPr="00D8141D" w:rsidRDefault="000C62AA" w:rsidP="00754CAC">
            <w:pPr>
              <w:pStyle w:val="HOMEBRBodyText"/>
              <w:keepLines w:val="0"/>
              <w:widowControl w:val="0"/>
              <w:spacing w:after="140"/>
              <w:jc w:val="both"/>
              <w:rPr>
                <w:rFonts w:cs="Calibri"/>
                <w:lang w:val="pt-BR"/>
              </w:rPr>
            </w:pPr>
            <w:r w:rsidRPr="00D8141D">
              <w:rPr>
                <w:rFonts w:cs="Calibri"/>
                <w:lang w:val="pt-BR"/>
              </w:rPr>
              <w:t>Nos termos do artigo 3º do Estatuto Social da Emissora, as atividades abaixo indicadas estão inseridas no objeto social da Emissora:</w:t>
            </w:r>
            <w:r w:rsidRPr="00D8141D">
              <w:rPr>
                <w:rFonts w:cs="Calibri"/>
                <w:spacing w:val="2"/>
                <w:lang w:val="pt-BR"/>
              </w:rPr>
              <w:t xml:space="preserve"> </w:t>
            </w:r>
            <w:r w:rsidRPr="00D8141D">
              <w:rPr>
                <w:rFonts w:cs="Calibri"/>
                <w:b/>
                <w:spacing w:val="2"/>
                <w:lang w:val="pt-BR"/>
              </w:rPr>
              <w:t>(i)</w:t>
            </w:r>
            <w:r w:rsidRPr="00D8141D">
              <w:rPr>
                <w:rFonts w:cs="Calibri"/>
                <w:spacing w:val="2"/>
                <w:lang w:val="pt-BR"/>
              </w:rPr>
              <w:t xml:space="preserve">  atividade agroindustrial de industrialização de cana-de açúcar, de produção própria e adquirida de terceiros, fabricação e </w:t>
            </w:r>
            <w:r w:rsidRPr="00D8141D">
              <w:rPr>
                <w:rFonts w:cs="Calibri"/>
                <w:spacing w:val="2"/>
                <w:lang w:val="pt-BR"/>
              </w:rPr>
              <w:lastRenderedPageBreak/>
              <w:t xml:space="preserve">comércio de açúcar, álcool e seus derivados e cogeração de energia elétrica; </w:t>
            </w:r>
            <w:r w:rsidRPr="00D8141D">
              <w:rPr>
                <w:rFonts w:cs="Calibri"/>
                <w:b/>
                <w:bCs/>
                <w:spacing w:val="2"/>
                <w:lang w:val="pt-BR"/>
              </w:rPr>
              <w:t xml:space="preserve">(ii) </w:t>
            </w:r>
            <w:r w:rsidRPr="00D8141D">
              <w:rPr>
                <w:rFonts w:cs="Calibri"/>
                <w:spacing w:val="2"/>
                <w:lang w:val="pt-BR"/>
              </w:rPr>
              <w:t xml:space="preserve">exploração agrícola e pecuária; </w:t>
            </w:r>
            <w:r w:rsidRPr="00D8141D">
              <w:rPr>
                <w:rFonts w:cs="Calibri"/>
                <w:b/>
                <w:bCs/>
                <w:spacing w:val="2"/>
                <w:lang w:val="pt-BR"/>
              </w:rPr>
              <w:t>(iii)</w:t>
            </w:r>
            <w:r w:rsidRPr="00D8141D">
              <w:rPr>
                <w:rFonts w:cs="Calibri"/>
                <w:spacing w:val="2"/>
                <w:lang w:val="pt-BR"/>
              </w:rPr>
              <w:t xml:space="preserve"> importação e exportação de bens, produtos e matéria-prima; </w:t>
            </w:r>
            <w:r w:rsidRPr="00D8141D">
              <w:rPr>
                <w:rFonts w:cs="Calibri"/>
                <w:b/>
                <w:bCs/>
                <w:spacing w:val="2"/>
                <w:lang w:val="pt-BR"/>
              </w:rPr>
              <w:t>(iv)</w:t>
            </w:r>
            <w:r w:rsidRPr="00D8141D">
              <w:rPr>
                <w:rFonts w:cs="Calibri"/>
                <w:spacing w:val="2"/>
                <w:lang w:val="pt-BR"/>
              </w:rPr>
              <w:t xml:space="preserve">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w:t>
            </w:r>
            <w:r w:rsidRPr="00D8141D">
              <w:rPr>
                <w:rFonts w:cs="Calibri"/>
                <w:b/>
                <w:bCs/>
                <w:spacing w:val="2"/>
                <w:lang w:val="pt-BR"/>
              </w:rPr>
              <w:t xml:space="preserve">(v) </w:t>
            </w:r>
            <w:r w:rsidRPr="00D8141D">
              <w:rPr>
                <w:rFonts w:cs="Calibri"/>
                <w:spacing w:val="2"/>
                <w:lang w:val="pt-BR"/>
              </w:rPr>
              <w:t>participação em sociedades, mediante deliberação do Conselho de Administração</w:t>
            </w:r>
            <w:r w:rsidR="0038424C" w:rsidRPr="00D8141D">
              <w:rPr>
                <w:rFonts w:cs="Calibri"/>
                <w:spacing w:val="2"/>
                <w:lang w:val="pt-BR"/>
              </w:rPr>
              <w:t>.</w:t>
            </w:r>
          </w:p>
        </w:tc>
      </w:tr>
      <w:tr w:rsidR="000C62AA" w:rsidRPr="0082022E" w14:paraId="3A223946" w14:textId="77777777" w:rsidTr="003E13AA">
        <w:tc>
          <w:tcPr>
            <w:tcW w:w="1345" w:type="pct"/>
            <w:shd w:val="clear" w:color="auto" w:fill="auto"/>
          </w:tcPr>
          <w:p w14:paraId="66A1CBA8"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Oferta de Resgate Antecipado</w:t>
            </w:r>
          </w:p>
        </w:tc>
        <w:tc>
          <w:tcPr>
            <w:tcW w:w="3655" w:type="pct"/>
            <w:shd w:val="clear" w:color="auto" w:fill="auto"/>
          </w:tcPr>
          <w:p w14:paraId="680EDC46" w14:textId="77777777" w:rsidR="00A953F8" w:rsidRPr="00D8141D" w:rsidRDefault="0038424C" w:rsidP="000C62AA">
            <w:pPr>
              <w:pStyle w:val="HOMEBRBodyText"/>
              <w:keepLines w:val="0"/>
              <w:widowControl w:val="0"/>
              <w:spacing w:after="140" w:line="290" w:lineRule="auto"/>
              <w:jc w:val="both"/>
              <w:rPr>
                <w:rFonts w:cs="Calibri"/>
                <w:lang w:val="pt-BR"/>
              </w:rPr>
            </w:pPr>
            <w:r w:rsidRPr="00D8141D">
              <w:rPr>
                <w:rFonts w:cs="Calibri"/>
                <w:lang w:val="pt-BR"/>
              </w:rPr>
              <w:t>Caso seja legalmente permitido à Emissora realizar o resgate antecipado das Debêntures, nos termos da Cláusula 7.3 da Escritura de Emissão,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w:t>
            </w:r>
            <w:r w:rsidR="000C62AA" w:rsidRPr="00D8141D">
              <w:rPr>
                <w:rFonts w:cs="Calibri"/>
                <w:lang w:val="pt-BR"/>
              </w:rPr>
              <w:t>.</w:t>
            </w:r>
            <w:r w:rsidR="00A953F8" w:rsidRPr="00D8141D">
              <w:rPr>
                <w:rFonts w:cs="Calibri"/>
                <w:lang w:val="pt-BR"/>
              </w:rPr>
              <w:t xml:space="preserve"> </w:t>
            </w:r>
          </w:p>
          <w:p w14:paraId="1D254704" w14:textId="77777777" w:rsidR="000C62AA" w:rsidRPr="00D8141D" w:rsidRDefault="00520AE1" w:rsidP="000C62AA">
            <w:pPr>
              <w:pStyle w:val="HOMEBRBodyText"/>
              <w:keepLines w:val="0"/>
              <w:widowControl w:val="0"/>
              <w:spacing w:after="140" w:line="290" w:lineRule="auto"/>
              <w:jc w:val="both"/>
              <w:rPr>
                <w:rFonts w:cs="Calibri"/>
                <w:lang w:val="pt-BR"/>
              </w:rPr>
            </w:pPr>
            <w:r w:rsidRPr="00D8141D">
              <w:rPr>
                <w:rFonts w:cs="Calibri"/>
                <w:lang w:val="pt-BR"/>
              </w:rPr>
              <w:t>A Oferta de Resgate Antecipado poderá</w:t>
            </w:r>
            <w:r w:rsidRPr="0020727A">
              <w:rPr>
                <w:lang w:val="pt-BR"/>
              </w:rPr>
              <w:t xml:space="preserve"> ser realizada para a totalidade das Debêntures ou para a totalidade das Debêntures de uma respectiva Série ou a parte das Debêntures, até o limite de 50% (cinquenta por cento) da totalidade das Debêntures de uma respectiva série</w:t>
            </w:r>
            <w:r w:rsidR="00A953F8" w:rsidRPr="0020727A">
              <w:rPr>
                <w:lang w:val="pt-BR"/>
              </w:rPr>
              <w:t xml:space="preserve">, 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w:t>
            </w:r>
            <w:bookmarkStart w:id="47" w:name="_Hlk89270376"/>
            <w:r w:rsidR="00A953F8" w:rsidRPr="0020727A">
              <w:rPr>
                <w:lang w:val="pt-BR"/>
              </w:rPr>
              <w:t xml:space="preserve">conforme a Cláusula 7.3 e seguintes </w:t>
            </w:r>
            <w:bookmarkEnd w:id="47"/>
            <w:r w:rsidR="00A953F8" w:rsidRPr="0020727A">
              <w:rPr>
                <w:lang w:val="pt-BR"/>
              </w:rPr>
              <w:t>da Escritura de Emissão.</w:t>
            </w:r>
          </w:p>
        </w:tc>
      </w:tr>
      <w:tr w:rsidR="000C62AA" w:rsidRPr="0082022E" w14:paraId="1820F935" w14:textId="77777777" w:rsidTr="003E13AA">
        <w:tc>
          <w:tcPr>
            <w:tcW w:w="1345" w:type="pct"/>
            <w:shd w:val="clear" w:color="auto" w:fill="auto"/>
          </w:tcPr>
          <w:p w14:paraId="4DFBFD95"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cs="Calibri"/>
                <w:b/>
                <w:bCs/>
                <w:lang w:val="pt-BR"/>
              </w:rPr>
              <w:lastRenderedPageBreak/>
              <w:t>Oferta Não Institucional</w:t>
            </w:r>
          </w:p>
        </w:tc>
        <w:tc>
          <w:tcPr>
            <w:tcW w:w="3655" w:type="pct"/>
            <w:shd w:val="clear" w:color="auto" w:fill="auto"/>
          </w:tcPr>
          <w:p w14:paraId="573C1E16" w14:textId="77777777" w:rsidR="000C62AA" w:rsidRPr="00D8141D" w:rsidRDefault="000C62AA" w:rsidP="000C62AA">
            <w:pPr>
              <w:pStyle w:val="HOMEBRBodyText"/>
              <w:widowControl w:val="0"/>
              <w:spacing w:after="140" w:line="290" w:lineRule="auto"/>
              <w:jc w:val="both"/>
              <w:rPr>
                <w:rFonts w:cs="Calibri"/>
                <w:bCs/>
                <w:lang w:val="pt-BR"/>
              </w:rPr>
            </w:pPr>
            <w:r w:rsidRPr="00D8141D">
              <w:rPr>
                <w:rFonts w:cs="Calibri"/>
                <w:lang w:val="pt-BR"/>
              </w:rPr>
              <w:t>Os Investidores Não Institucionais, sejam eles considerados ou não Pessoas Vinculadas, interessados em subscrever Debêntures dever</w:t>
            </w:r>
            <w:r w:rsidR="00F22BE1" w:rsidRPr="00D8141D">
              <w:rPr>
                <w:rFonts w:cs="Calibri"/>
                <w:lang w:val="pt-BR"/>
              </w:rPr>
              <w:t>ão</w:t>
            </w:r>
            <w:r w:rsidRPr="00D8141D">
              <w:rPr>
                <w:rFonts w:cs="Calibri"/>
                <w:lang w:val="pt-BR"/>
              </w:rPr>
              <w:t xml:space="preserve"> preencher e apresentar a uma Instituição Participante da Oferta suas ordens de investimento por meio de Pedido de Reserva durante o Período de Reserva, observados os procedimentos previstos neste Prospecto.</w:t>
            </w:r>
          </w:p>
          <w:p w14:paraId="385B0D7B" w14:textId="7CEB71F7" w:rsidR="000C62AA" w:rsidRPr="00D8141D" w:rsidRDefault="000C62AA" w:rsidP="000C62AA">
            <w:pPr>
              <w:pStyle w:val="HOMEBRBodyText"/>
              <w:keepLines w:val="0"/>
              <w:widowControl w:val="0"/>
              <w:spacing w:after="140" w:line="290" w:lineRule="auto"/>
              <w:jc w:val="both"/>
              <w:rPr>
                <w:rFonts w:cs="Calibri"/>
                <w:lang w:val="pt-BR"/>
              </w:rPr>
            </w:pPr>
            <w:r w:rsidRPr="00D8141D">
              <w:rPr>
                <w:rFonts w:cs="Calibri"/>
                <w:b/>
                <w:bCs/>
                <w:lang w:val="pt-BR"/>
              </w:rPr>
              <w:t>Para mais informações acerca da Oferta Não Institucional, veja a seção “Informações Relativas à Emissão, à Oferta e às Debêntures</w:t>
            </w:r>
            <w:r w:rsidRPr="00D8141D" w:rsidDel="00A80120">
              <w:rPr>
                <w:rFonts w:cs="Calibri"/>
                <w:b/>
                <w:bCs/>
                <w:lang w:val="pt-BR"/>
              </w:rPr>
              <w:t xml:space="preserve"> </w:t>
            </w:r>
            <w:r w:rsidRPr="00D8141D">
              <w:rPr>
                <w:rFonts w:cs="Calibri"/>
                <w:b/>
                <w:bCs/>
                <w:lang w:val="pt-BR"/>
              </w:rPr>
              <w:t xml:space="preserve">– Oferta Não Institucional”, na página </w:t>
            </w:r>
            <w:r w:rsidR="00793B3F" w:rsidRPr="00D8141D">
              <w:rPr>
                <w:rFonts w:cs="Calibri"/>
                <w:b/>
                <w:bCs/>
                <w:noProof/>
                <w:lang w:val="pt-BR"/>
              </w:rPr>
              <w:fldChar w:fldCharType="begin"/>
            </w:r>
            <w:r w:rsidR="00793B3F" w:rsidRPr="00D8141D">
              <w:rPr>
                <w:rFonts w:cs="Calibri"/>
                <w:b/>
                <w:bCs/>
                <w:lang w:val="pt-BR"/>
              </w:rPr>
              <w:instrText xml:space="preserve"> PAGEREF _Ref90058848 \h </w:instrText>
            </w:r>
            <w:r w:rsidR="00793B3F" w:rsidRPr="00D8141D">
              <w:rPr>
                <w:rFonts w:cs="Calibri"/>
                <w:b/>
                <w:bCs/>
                <w:noProof/>
                <w:lang w:val="pt-BR"/>
              </w:rPr>
            </w:r>
            <w:r w:rsidR="00793B3F" w:rsidRPr="00D8141D">
              <w:rPr>
                <w:rFonts w:cs="Calibri"/>
                <w:b/>
                <w:bCs/>
                <w:noProof/>
                <w:lang w:val="pt-BR"/>
              </w:rPr>
              <w:fldChar w:fldCharType="separate"/>
            </w:r>
            <w:r w:rsidR="001166EA">
              <w:rPr>
                <w:rFonts w:cs="Calibri"/>
                <w:b/>
                <w:bCs/>
                <w:noProof/>
                <w:lang w:val="pt-BR"/>
              </w:rPr>
              <w:t>105</w:t>
            </w:r>
            <w:r w:rsidR="00793B3F" w:rsidRPr="00D8141D">
              <w:rPr>
                <w:rFonts w:cs="Calibri"/>
                <w:b/>
                <w:bCs/>
                <w:noProof/>
                <w:lang w:val="pt-BR"/>
              </w:rPr>
              <w:fldChar w:fldCharType="end"/>
            </w:r>
            <w:r w:rsidRPr="00D8141D">
              <w:rPr>
                <w:rFonts w:cs="Calibri"/>
                <w:b/>
                <w:bCs/>
                <w:lang w:val="pt-BR"/>
              </w:rPr>
              <w:t xml:space="preserve"> deste Prospecto.</w:t>
            </w:r>
          </w:p>
        </w:tc>
      </w:tr>
      <w:tr w:rsidR="00020EC5" w:rsidRPr="0082022E" w14:paraId="335E2CB6" w14:textId="77777777" w:rsidTr="003E13AA">
        <w:tc>
          <w:tcPr>
            <w:tcW w:w="1345" w:type="pct"/>
            <w:shd w:val="clear" w:color="auto" w:fill="auto"/>
          </w:tcPr>
          <w:p w14:paraId="440531B5" w14:textId="77777777" w:rsidR="00020EC5" w:rsidRPr="00D8141D" w:rsidRDefault="00020EC5" w:rsidP="00020EC5">
            <w:pPr>
              <w:pStyle w:val="HOMEBRBodyText"/>
              <w:keepLines w:val="0"/>
              <w:widowControl w:val="0"/>
              <w:spacing w:after="140" w:line="290" w:lineRule="auto"/>
              <w:rPr>
                <w:rFonts w:cs="Calibri"/>
                <w:b/>
                <w:bCs/>
                <w:lang w:val="pt-BR"/>
              </w:rPr>
            </w:pPr>
            <w:r w:rsidRPr="00D8141D">
              <w:rPr>
                <w:rFonts w:eastAsia="Calibri" w:cs="Calibri"/>
                <w:b/>
                <w:lang w:val="pt-BR"/>
              </w:rPr>
              <w:t>Quantidade de Debêntures</w:t>
            </w:r>
          </w:p>
        </w:tc>
        <w:tc>
          <w:tcPr>
            <w:tcW w:w="3655" w:type="pct"/>
            <w:shd w:val="clear" w:color="auto" w:fill="auto"/>
          </w:tcPr>
          <w:p w14:paraId="1650C339" w14:textId="77777777" w:rsidR="00020EC5" w:rsidRPr="00D8141D" w:rsidRDefault="00020EC5" w:rsidP="00020EC5">
            <w:pPr>
              <w:pStyle w:val="HOMEBRBodyText"/>
              <w:widowControl w:val="0"/>
              <w:spacing w:after="140" w:line="290" w:lineRule="auto"/>
              <w:jc w:val="both"/>
              <w:rPr>
                <w:rFonts w:cs="Calibri"/>
                <w:lang w:val="pt-BR"/>
              </w:rPr>
            </w:pPr>
            <w:r w:rsidRPr="00D8141D">
              <w:rPr>
                <w:rFonts w:cs="Calibri"/>
                <w:lang w:val="pt-BR"/>
              </w:rPr>
              <w:t>Serão emitidas</w:t>
            </w:r>
            <w:r w:rsidR="002B2F78" w:rsidRPr="00D8141D">
              <w:rPr>
                <w:rFonts w:cs="Calibri"/>
                <w:lang w:val="pt-BR"/>
              </w:rPr>
              <w:t xml:space="preserve"> </w:t>
            </w:r>
            <w:r w:rsidR="007C2509" w:rsidRPr="00D8141D">
              <w:rPr>
                <w:rFonts w:cs="Calibri"/>
                <w:lang w:val="pt-BR"/>
              </w:rPr>
              <w:t>1.</w:t>
            </w:r>
            <w:r w:rsidR="007B23C4" w:rsidRPr="00D8141D">
              <w:rPr>
                <w:rFonts w:cs="Calibri"/>
                <w:lang w:val="pt-BR"/>
              </w:rPr>
              <w:t>200</w:t>
            </w:r>
            <w:r w:rsidR="007C2509" w:rsidRPr="00D8141D">
              <w:rPr>
                <w:rFonts w:cs="Calibri"/>
                <w:lang w:val="pt-BR"/>
              </w:rPr>
              <w:t>.000 (um milhão</w:t>
            </w:r>
            <w:r w:rsidR="007B23C4" w:rsidRPr="00D8141D">
              <w:rPr>
                <w:rFonts w:cs="Calibri"/>
                <w:lang w:val="pt-BR"/>
              </w:rPr>
              <w:t xml:space="preserve"> e duzentas mil</w:t>
            </w:r>
            <w:r w:rsidR="007C2509" w:rsidRPr="00D8141D">
              <w:rPr>
                <w:rFonts w:cs="Calibri"/>
                <w:lang w:val="pt-BR"/>
              </w:rPr>
              <w:t xml:space="preserve">) de </w:t>
            </w:r>
            <w:r w:rsidRPr="00D8141D">
              <w:rPr>
                <w:rFonts w:cs="Calibri"/>
                <w:lang w:val="pt-BR"/>
              </w:rPr>
              <w:t>Debêntures</w:t>
            </w:r>
            <w:r w:rsidRPr="00D8141D">
              <w:rPr>
                <w:rFonts w:eastAsia="Calibri" w:cs="Calibri"/>
                <w:lang w:val="pt-BR"/>
              </w:rPr>
              <w:t>,</w:t>
            </w:r>
            <w:r w:rsidRPr="00D8141D">
              <w:rPr>
                <w:rFonts w:cs="Calibri"/>
                <w:lang w:val="pt-BR"/>
              </w:rPr>
              <w:t xml:space="preserve"> observado que a quantidade de Debêntures inicialmente ofertada </w:t>
            </w:r>
            <w:r w:rsidR="00A258C2" w:rsidRPr="00D8141D">
              <w:rPr>
                <w:rFonts w:cs="Calibri"/>
                <w:lang w:val="pt-BR"/>
              </w:rPr>
              <w:t>foi</w:t>
            </w:r>
            <w:r w:rsidRPr="00D8141D">
              <w:rPr>
                <w:rFonts w:cs="Calibri"/>
                <w:lang w:val="pt-BR"/>
              </w:rPr>
              <w:t xml:space="preserve"> aumentada em 20% (vinte por cento), em virtude da </w:t>
            </w:r>
            <w:r w:rsidR="007B2416" w:rsidRPr="00D8141D">
              <w:rPr>
                <w:rFonts w:cs="Calibri"/>
                <w:lang w:val="pt-BR"/>
              </w:rPr>
              <w:t>colocação</w:t>
            </w:r>
            <w:r w:rsidRPr="00D8141D">
              <w:rPr>
                <w:rFonts w:cs="Calibri"/>
                <w:lang w:val="pt-BR"/>
              </w:rPr>
              <w:t xml:space="preserve"> de Debêntures Adicionais</w:t>
            </w:r>
            <w:r w:rsidR="002B2F78" w:rsidRPr="00D8141D">
              <w:rPr>
                <w:rFonts w:cs="Calibri"/>
                <w:lang w:val="pt-BR"/>
              </w:rPr>
              <w:t>.</w:t>
            </w:r>
          </w:p>
        </w:tc>
      </w:tr>
      <w:tr w:rsidR="000C62AA" w:rsidRPr="0082022E" w14:paraId="0CE7BD31" w14:textId="77777777" w:rsidTr="003E13AA">
        <w:tc>
          <w:tcPr>
            <w:tcW w:w="1345" w:type="pct"/>
            <w:shd w:val="clear" w:color="auto" w:fill="auto"/>
          </w:tcPr>
          <w:p w14:paraId="3EE61523" w14:textId="77777777" w:rsidR="000C62AA" w:rsidRPr="00D8141D" w:rsidRDefault="000C62AA" w:rsidP="000C62AA">
            <w:pPr>
              <w:pStyle w:val="HOMEBRBodyText"/>
              <w:keepLines w:val="0"/>
              <w:widowControl w:val="0"/>
              <w:spacing w:after="140" w:line="290" w:lineRule="auto"/>
              <w:rPr>
                <w:rFonts w:cs="Calibri"/>
                <w:b/>
                <w:bCs/>
                <w:lang w:val="pt-BR"/>
              </w:rPr>
            </w:pPr>
            <w:r w:rsidRPr="00D8141D">
              <w:rPr>
                <w:rFonts w:eastAsia="Calibri" w:cs="Calibri"/>
                <w:b/>
                <w:lang w:val="pt-BR"/>
              </w:rPr>
              <w:t>Participantes Especiais</w:t>
            </w:r>
          </w:p>
        </w:tc>
        <w:tc>
          <w:tcPr>
            <w:tcW w:w="3655" w:type="pct"/>
            <w:shd w:val="clear" w:color="auto" w:fill="auto"/>
          </w:tcPr>
          <w:p w14:paraId="1BC5C372" w14:textId="77777777" w:rsidR="000C62AA" w:rsidRPr="00D8141D" w:rsidRDefault="000C62AA" w:rsidP="000C62AA">
            <w:pPr>
              <w:pStyle w:val="HOMEBRBodyText"/>
              <w:widowControl w:val="0"/>
              <w:spacing w:after="140" w:line="290" w:lineRule="auto"/>
              <w:jc w:val="both"/>
              <w:rPr>
                <w:rFonts w:cs="Calibri"/>
                <w:lang w:val="pt-BR"/>
              </w:rPr>
            </w:pPr>
            <w:r w:rsidRPr="00D8141D">
              <w:rPr>
                <w:rFonts w:eastAsia="Calibri" w:cs="Calibri"/>
                <w:lang w:val="pt-BR"/>
              </w:rPr>
              <w:t>Instituições financeiras, que não se enquadrem como Coordenador Líder, autorizadas a operar no mercado de capitais para participarem da colocação das Debêntures junto a potenciais investidores e clientes.</w:t>
            </w:r>
          </w:p>
        </w:tc>
      </w:tr>
      <w:tr w:rsidR="000C62AA" w:rsidRPr="0082022E" w14:paraId="48EB851E" w14:textId="77777777" w:rsidTr="003E13AA">
        <w:tc>
          <w:tcPr>
            <w:tcW w:w="1345" w:type="pct"/>
            <w:shd w:val="clear" w:color="auto" w:fill="auto"/>
          </w:tcPr>
          <w:p w14:paraId="3151ACEF" w14:textId="77777777" w:rsidR="000C62AA" w:rsidRPr="00D8141D" w:rsidRDefault="000C62AA" w:rsidP="000C62AA">
            <w:pPr>
              <w:pStyle w:val="HOMEBRBodyText"/>
              <w:keepLines w:val="0"/>
              <w:widowControl w:val="0"/>
              <w:spacing w:after="140" w:line="290" w:lineRule="auto"/>
              <w:rPr>
                <w:rFonts w:cs="Calibri"/>
                <w:b/>
                <w:bCs/>
                <w:lang w:val="pt-BR"/>
              </w:rPr>
            </w:pPr>
            <w:r w:rsidRPr="00D8141D">
              <w:rPr>
                <w:rFonts w:eastAsia="Calibri" w:cs="Calibri"/>
                <w:b/>
                <w:lang w:val="pt-BR"/>
              </w:rPr>
              <w:t>Pedido de Reserva</w:t>
            </w:r>
          </w:p>
        </w:tc>
        <w:tc>
          <w:tcPr>
            <w:tcW w:w="3655" w:type="pct"/>
            <w:shd w:val="clear" w:color="auto" w:fill="auto"/>
          </w:tcPr>
          <w:p w14:paraId="25642624" w14:textId="77777777" w:rsidR="000C62AA" w:rsidRPr="00D8141D" w:rsidRDefault="000C62AA" w:rsidP="000C62AA">
            <w:pPr>
              <w:pStyle w:val="HOMEBRBodyText"/>
              <w:keepLines w:val="0"/>
              <w:widowControl w:val="0"/>
              <w:spacing w:after="140" w:line="290" w:lineRule="auto"/>
              <w:jc w:val="both"/>
              <w:rPr>
                <w:rFonts w:eastAsia="Calibri" w:cs="Calibri"/>
                <w:lang w:val="pt-BR" w:bidi="en-US"/>
              </w:rPr>
            </w:pPr>
            <w:r w:rsidRPr="00D8141D">
              <w:rPr>
                <w:rFonts w:cs="Calibri"/>
                <w:lang w:val="pt-BR"/>
              </w:rPr>
              <w:t>Cada formulário específico, celebrado em caráter irrevogável e irretratável, exceto nas circunstâncias ali previstas, por Investidores da Oferta, referente à intenção de subscrição das Debêntures no âmbito da Oferta</w:t>
            </w:r>
            <w:r w:rsidRPr="00D8141D">
              <w:rPr>
                <w:rFonts w:eastAsia="Calibri" w:cs="Calibri"/>
                <w:lang w:val="pt-BR" w:bidi="en-US"/>
              </w:rPr>
              <w:t>.</w:t>
            </w:r>
          </w:p>
          <w:p w14:paraId="0E17FA57" w14:textId="29C5732C" w:rsidR="000C62AA" w:rsidRPr="00D8141D" w:rsidRDefault="000C62AA" w:rsidP="000C62AA">
            <w:pPr>
              <w:pStyle w:val="HOMEBRBodyText"/>
              <w:widowControl w:val="0"/>
              <w:spacing w:after="140" w:line="290" w:lineRule="auto"/>
              <w:jc w:val="both"/>
              <w:rPr>
                <w:rFonts w:cs="Calibri"/>
                <w:lang w:val="pt-BR"/>
              </w:rPr>
            </w:pPr>
            <w:r w:rsidRPr="00D8141D">
              <w:rPr>
                <w:rFonts w:eastAsia="Calibri" w:cs="Calibri"/>
                <w:b/>
                <w:lang w:val="pt-BR"/>
              </w:rPr>
              <w:t>Para mais informações sobre a participação de Pessoas Vinculadas na Oferta, veja as seções “</w:t>
            </w:r>
            <w:r w:rsidR="00DB205D" w:rsidRPr="00D8141D">
              <w:rPr>
                <w:rFonts w:eastAsia="Calibri" w:cs="Calibri"/>
                <w:b/>
                <w:lang w:val="pt-BR"/>
              </w:rPr>
              <w:t>Sumário</w:t>
            </w:r>
            <w:r w:rsidR="008F0F95" w:rsidRPr="00D8141D">
              <w:rPr>
                <w:rFonts w:eastAsia="Calibri" w:cs="Calibri"/>
                <w:b/>
                <w:lang w:val="pt-BR"/>
              </w:rPr>
              <w:t xml:space="preserve"> da</w:t>
            </w:r>
            <w:r w:rsidRPr="00D8141D">
              <w:rPr>
                <w:rFonts w:eastAsia="Calibri" w:cs="Calibri"/>
                <w:b/>
                <w:lang w:val="pt-BR"/>
              </w:rPr>
              <w:t xml:space="preserve"> Oferta – </w:t>
            </w:r>
            <w:r w:rsidRPr="00D8141D">
              <w:rPr>
                <w:rFonts w:eastAsia="Calibri" w:cs="Calibri"/>
                <w:b/>
                <w:color w:val="000000"/>
                <w:lang w:val="pt-BR"/>
              </w:rPr>
              <w:t>Pessoas Vinculadas</w:t>
            </w:r>
            <w:r w:rsidRPr="00D8141D">
              <w:rPr>
                <w:rFonts w:eastAsia="Calibri" w:cs="Calibri"/>
                <w:b/>
                <w:lang w:val="pt-BR"/>
              </w:rPr>
              <w:t xml:space="preserve">” e “Fatores de Risco Relacionados à Oferta e às Debêntures – </w:t>
            </w:r>
            <w:r w:rsidRPr="00D8141D">
              <w:rPr>
                <w:rFonts w:cs="Calibri"/>
                <w:b/>
                <w:bCs/>
                <w:lang w:val="pt-BR"/>
              </w:rPr>
              <w:t>O investimento nas Debêntures por Investidores da Oferta que sejam Pessoas Vinculadas poderá ter um impacto adverso na liquidez das Debêntures no mercado secundário</w:t>
            </w:r>
            <w:r w:rsidRPr="00D8141D">
              <w:rPr>
                <w:rFonts w:cs="Calibri"/>
                <w:b/>
                <w:lang w:val="pt-BR" w:eastAsia="pt-BR"/>
              </w:rPr>
              <w:t>.</w:t>
            </w:r>
            <w:r w:rsidRPr="00D8141D">
              <w:rPr>
                <w:rFonts w:eastAsia="Calibri" w:cs="Calibri"/>
                <w:b/>
                <w:lang w:val="pt-BR"/>
              </w:rPr>
              <w:t xml:space="preserve">”, nas páginas </w:t>
            </w:r>
            <w:r w:rsidR="008F0F95" w:rsidRPr="00D8141D">
              <w:rPr>
                <w:rFonts w:eastAsia="Calibri" w:cs="Calibri"/>
                <w:b/>
                <w:color w:val="FF0000"/>
                <w:lang w:val="pt-BR"/>
              </w:rPr>
              <w:fldChar w:fldCharType="begin"/>
            </w:r>
            <w:r w:rsidR="008F0F95" w:rsidRPr="00D8141D">
              <w:rPr>
                <w:rFonts w:eastAsia="Calibri" w:cs="Calibri"/>
                <w:b/>
                <w:lang w:val="pt-BR"/>
              </w:rPr>
              <w:instrText xml:space="preserve"> PAGEREF _Ref90221919 \h </w:instrText>
            </w:r>
            <w:r w:rsidR="008F0F95" w:rsidRPr="00D8141D">
              <w:rPr>
                <w:rFonts w:eastAsia="Calibri" w:cs="Calibri"/>
                <w:b/>
                <w:color w:val="FF0000"/>
                <w:lang w:val="pt-BR"/>
              </w:rPr>
            </w:r>
            <w:r w:rsidR="008F0F95" w:rsidRPr="00D8141D">
              <w:rPr>
                <w:rFonts w:eastAsia="Calibri" w:cs="Calibri"/>
                <w:b/>
                <w:color w:val="FF0000"/>
                <w:lang w:val="pt-BR"/>
              </w:rPr>
              <w:fldChar w:fldCharType="separate"/>
            </w:r>
            <w:r w:rsidR="001166EA">
              <w:rPr>
                <w:rFonts w:eastAsia="Calibri" w:cs="Calibri"/>
                <w:b/>
                <w:noProof/>
                <w:lang w:val="pt-BR"/>
              </w:rPr>
              <w:t>56</w:t>
            </w:r>
            <w:r w:rsidR="008F0F95" w:rsidRPr="00D8141D">
              <w:rPr>
                <w:rFonts w:eastAsia="Calibri" w:cs="Calibri"/>
                <w:b/>
                <w:color w:val="FF0000"/>
                <w:lang w:val="pt-BR"/>
              </w:rPr>
              <w:fldChar w:fldCharType="end"/>
            </w:r>
            <w:r w:rsidR="007C2509" w:rsidRPr="00D8141D">
              <w:rPr>
                <w:rFonts w:eastAsia="Calibri" w:cs="Calibri"/>
                <w:b/>
                <w:lang w:val="pt-BR"/>
              </w:rPr>
              <w:t xml:space="preserve"> </w:t>
            </w:r>
            <w:r w:rsidRPr="00D8141D">
              <w:rPr>
                <w:rFonts w:eastAsia="Calibri" w:cs="Calibri"/>
                <w:b/>
                <w:lang w:val="pt-BR"/>
              </w:rPr>
              <w:t xml:space="preserve">e </w:t>
            </w:r>
            <w:r w:rsidR="00AC7262" w:rsidRPr="00D8141D">
              <w:rPr>
                <w:rFonts w:eastAsia="Calibri" w:cs="Calibri"/>
                <w:b/>
                <w:lang w:val="pt-BR"/>
              </w:rPr>
              <w:fldChar w:fldCharType="begin"/>
            </w:r>
            <w:r w:rsidR="00AC7262" w:rsidRPr="00D8141D">
              <w:rPr>
                <w:rFonts w:eastAsia="Calibri" w:cs="Calibri"/>
                <w:b/>
                <w:lang w:val="pt-BR"/>
              </w:rPr>
              <w:instrText xml:space="preserve"> PAGEREF _Ref90059225 \h </w:instrText>
            </w:r>
            <w:r w:rsidR="00AC7262" w:rsidRPr="00D8141D">
              <w:rPr>
                <w:rFonts w:eastAsia="Calibri" w:cs="Calibri"/>
                <w:b/>
                <w:lang w:val="pt-BR"/>
              </w:rPr>
            </w:r>
            <w:r w:rsidR="00AC7262" w:rsidRPr="00D8141D">
              <w:rPr>
                <w:rFonts w:eastAsia="Calibri" w:cs="Calibri"/>
                <w:b/>
                <w:lang w:val="pt-BR"/>
              </w:rPr>
              <w:fldChar w:fldCharType="separate"/>
            </w:r>
            <w:r w:rsidR="001166EA">
              <w:rPr>
                <w:rFonts w:eastAsia="Calibri" w:cs="Calibri"/>
                <w:b/>
                <w:noProof/>
                <w:lang w:val="pt-BR"/>
              </w:rPr>
              <w:t>134</w:t>
            </w:r>
            <w:r w:rsidR="00AC7262" w:rsidRPr="00D8141D">
              <w:rPr>
                <w:rFonts w:eastAsia="Calibri" w:cs="Calibri"/>
                <w:b/>
                <w:lang w:val="pt-BR"/>
              </w:rPr>
              <w:fldChar w:fldCharType="end"/>
            </w:r>
            <w:r w:rsidRPr="00D8141D">
              <w:rPr>
                <w:rFonts w:eastAsia="Calibri" w:cs="Calibri"/>
                <w:b/>
                <w:lang w:val="pt-BR"/>
              </w:rPr>
              <w:t>, respectivamente, deste Prospecto.</w:t>
            </w:r>
          </w:p>
        </w:tc>
      </w:tr>
      <w:tr w:rsidR="00A953F8" w:rsidRPr="0082022E" w14:paraId="7E38C40A" w14:textId="77777777" w:rsidTr="003E13AA">
        <w:tc>
          <w:tcPr>
            <w:tcW w:w="1345" w:type="pct"/>
            <w:shd w:val="clear" w:color="auto" w:fill="auto"/>
          </w:tcPr>
          <w:p w14:paraId="0E5E9B81" w14:textId="77777777" w:rsidR="00A953F8" w:rsidRPr="00D8141D" w:rsidRDefault="00A953F8"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Período de Capitalização</w:t>
            </w:r>
          </w:p>
        </w:tc>
        <w:tc>
          <w:tcPr>
            <w:tcW w:w="3655" w:type="pct"/>
            <w:shd w:val="clear" w:color="auto" w:fill="auto"/>
          </w:tcPr>
          <w:p w14:paraId="5E8061E7" w14:textId="77777777" w:rsidR="00A953F8" w:rsidRPr="00D8141D" w:rsidRDefault="00A953F8" w:rsidP="00D26E34">
            <w:pPr>
              <w:pStyle w:val="HOMEBRBodyText"/>
              <w:keepLines w:val="0"/>
              <w:widowControl w:val="0"/>
              <w:spacing w:after="140"/>
              <w:jc w:val="both"/>
              <w:rPr>
                <w:rFonts w:cs="Calibri"/>
                <w:lang w:val="pt-BR"/>
              </w:rPr>
            </w:pPr>
            <w:r w:rsidRPr="0020727A">
              <w:rPr>
                <w:lang w:val="pt-BR"/>
              </w:rPr>
              <w:t xml:space="preserve">O período de capitalização da Remuneração é, para o primeiro Período de Capitalização, o intervalo de tempo que se inicia na </w:t>
            </w:r>
            <w:r w:rsidRPr="00D8141D">
              <w:rPr>
                <w:rFonts w:cs="Calibri"/>
                <w:lang w:val="pt-BR"/>
              </w:rPr>
              <w:t>Primeira</w:t>
            </w:r>
            <w:r w:rsidRPr="0020727A">
              <w:rPr>
                <w:lang w:val="pt-BR"/>
              </w:rPr>
              <w:t xml:space="preserve"> Data de Integralização, inclusive, </w:t>
            </w:r>
            <w:r w:rsidRPr="00D8141D">
              <w:rPr>
                <w:rFonts w:cs="Calibri"/>
                <w:lang w:val="pt-BR"/>
              </w:rPr>
              <w:t>ou</w:t>
            </w:r>
            <w:r w:rsidRPr="0020727A">
              <w:rPr>
                <w:lang w:val="pt-BR"/>
              </w:rPr>
              <w:t xml:space="preserve"> na Data de Pagamento </w:t>
            </w:r>
            <w:r w:rsidRPr="00D8141D">
              <w:rPr>
                <w:rFonts w:cs="Calibri"/>
                <w:lang w:val="pt-BR"/>
              </w:rPr>
              <w:t>de Juros Remuneratórios imediatamente anterior, inclusive, no caso dos</w:t>
            </w:r>
            <w:r w:rsidRPr="0020727A">
              <w:rPr>
                <w:lang w:val="pt-BR"/>
              </w:rPr>
              <w:t xml:space="preserve"> demais Períodos de Capitalização, </w:t>
            </w:r>
            <w:r w:rsidRPr="00D8141D">
              <w:rPr>
                <w:rFonts w:cs="Calibri"/>
                <w:lang w:val="pt-BR"/>
              </w:rPr>
              <w:t>e termina na próxima</w:t>
            </w:r>
            <w:r w:rsidRPr="0020727A">
              <w:rPr>
                <w:lang w:val="pt-BR"/>
              </w:rPr>
              <w:t xml:space="preserve"> Data de Pagamento </w:t>
            </w:r>
            <w:r w:rsidRPr="00D8141D">
              <w:rPr>
                <w:rFonts w:cs="Calibri"/>
                <w:lang w:val="pt-BR"/>
              </w:rPr>
              <w:t>de Juros Remuneratórios (exclusive).</w:t>
            </w:r>
            <w:r w:rsidRPr="0020727A">
              <w:rPr>
                <w:lang w:val="pt-BR"/>
              </w:rPr>
              <w:t xml:space="preserve"> Cada Período de Capitalização sucede o anterior sem solução de continuidade, até a Data de Vencimento.</w:t>
            </w:r>
          </w:p>
        </w:tc>
      </w:tr>
      <w:tr w:rsidR="000C62AA" w:rsidRPr="0082022E" w14:paraId="4B526223" w14:textId="77777777" w:rsidTr="003E13AA">
        <w:tc>
          <w:tcPr>
            <w:tcW w:w="1345" w:type="pct"/>
            <w:shd w:val="clear" w:color="auto" w:fill="auto"/>
          </w:tcPr>
          <w:p w14:paraId="62C5ADC4" w14:textId="77777777" w:rsidR="000C62AA" w:rsidRPr="00D8141D" w:rsidRDefault="000C62AA" w:rsidP="000C62AA">
            <w:pPr>
              <w:pStyle w:val="HOMEBRBodyText"/>
              <w:keepLines w:val="0"/>
              <w:widowControl w:val="0"/>
              <w:spacing w:after="140" w:line="290" w:lineRule="auto"/>
              <w:rPr>
                <w:rFonts w:cs="Calibri"/>
                <w:b/>
                <w:bCs/>
                <w:lang w:val="pt-BR"/>
              </w:rPr>
            </w:pPr>
            <w:r w:rsidRPr="00D8141D">
              <w:rPr>
                <w:rFonts w:eastAsia="Calibri" w:cs="Calibri"/>
                <w:b/>
                <w:lang w:val="pt-BR"/>
              </w:rPr>
              <w:lastRenderedPageBreak/>
              <w:t>Período de Colocação</w:t>
            </w:r>
          </w:p>
        </w:tc>
        <w:tc>
          <w:tcPr>
            <w:tcW w:w="3655" w:type="pct"/>
            <w:shd w:val="clear" w:color="auto" w:fill="auto"/>
          </w:tcPr>
          <w:p w14:paraId="54A8150A" w14:textId="32E548D8" w:rsidR="000C62AA" w:rsidRPr="00D339B7" w:rsidRDefault="000C62AA" w:rsidP="00D26E34">
            <w:pPr>
              <w:pStyle w:val="HOMEBRBodyText"/>
              <w:keepLines w:val="0"/>
              <w:widowControl w:val="0"/>
              <w:spacing w:after="140"/>
              <w:jc w:val="both"/>
              <w:rPr>
                <w:rFonts w:eastAsia="Calibri" w:cs="Calibri"/>
                <w:b/>
                <w:spacing w:val="-4"/>
                <w:lang w:val="pt-BR"/>
              </w:rPr>
            </w:pPr>
            <w:r w:rsidRPr="00D339B7">
              <w:rPr>
                <w:rFonts w:cs="Calibri"/>
                <w:spacing w:val="-4"/>
                <w:lang w:val="pt-BR"/>
              </w:rPr>
              <w:t>Observados os requisitos indicados na Escritura de Emissão e neste Prospecto, as Debêntures serão subscritas e integralizadas à vista no prazo indicado na seção “Cronograma Estimado das Etapas da Oferta”</w:t>
            </w:r>
            <w:r w:rsidRPr="00D339B7">
              <w:rPr>
                <w:rFonts w:eastAsia="Calibri" w:cs="Calibri"/>
                <w:spacing w:val="-4"/>
                <w:lang w:val="pt-BR"/>
              </w:rPr>
              <w:t xml:space="preserve"> na página </w:t>
            </w:r>
            <w:r w:rsidR="00B56E02" w:rsidRPr="00D339B7">
              <w:rPr>
                <w:rFonts w:eastAsia="Calibri" w:cs="Calibri"/>
                <w:spacing w:val="-4"/>
                <w:lang w:val="pt-BR"/>
              </w:rPr>
              <w:fldChar w:fldCharType="begin"/>
            </w:r>
            <w:r w:rsidR="00B56E02" w:rsidRPr="00D339B7">
              <w:rPr>
                <w:rFonts w:eastAsia="Calibri" w:cs="Calibri"/>
                <w:spacing w:val="-4"/>
                <w:lang w:val="pt-BR"/>
              </w:rPr>
              <w:instrText xml:space="preserve"> PAGEREF _Ref90072450 \h </w:instrText>
            </w:r>
            <w:r w:rsidR="00B56E02" w:rsidRPr="00D339B7">
              <w:rPr>
                <w:rFonts w:eastAsia="Calibri" w:cs="Calibri"/>
                <w:spacing w:val="-4"/>
                <w:lang w:val="pt-BR"/>
              </w:rPr>
            </w:r>
            <w:r w:rsidR="00B56E02" w:rsidRPr="00D339B7">
              <w:rPr>
                <w:rFonts w:eastAsia="Calibri" w:cs="Calibri"/>
                <w:spacing w:val="-4"/>
                <w:lang w:val="pt-BR"/>
              </w:rPr>
              <w:fldChar w:fldCharType="separate"/>
            </w:r>
            <w:r w:rsidR="001166EA">
              <w:rPr>
                <w:rFonts w:eastAsia="Calibri" w:cs="Calibri"/>
                <w:noProof/>
                <w:spacing w:val="-4"/>
                <w:lang w:val="pt-BR"/>
              </w:rPr>
              <w:t>62</w:t>
            </w:r>
            <w:r w:rsidR="00B56E02" w:rsidRPr="00D339B7">
              <w:rPr>
                <w:rFonts w:eastAsia="Calibri" w:cs="Calibri"/>
                <w:spacing w:val="-4"/>
                <w:lang w:val="pt-BR"/>
              </w:rPr>
              <w:fldChar w:fldCharType="end"/>
            </w:r>
            <w:r w:rsidR="007C2509" w:rsidRPr="00D339B7">
              <w:rPr>
                <w:rFonts w:eastAsia="Calibri" w:cs="Calibri"/>
                <w:spacing w:val="-4"/>
                <w:lang w:val="pt-BR"/>
              </w:rPr>
              <w:t xml:space="preserve"> </w:t>
            </w:r>
            <w:r w:rsidRPr="00D339B7">
              <w:rPr>
                <w:rFonts w:eastAsia="Calibri" w:cs="Calibri"/>
                <w:spacing w:val="-4"/>
                <w:lang w:val="pt-BR"/>
              </w:rPr>
              <w:t>deste Prospecto.</w:t>
            </w:r>
          </w:p>
          <w:p w14:paraId="4F3BFC7F" w14:textId="77777777" w:rsidR="000C62AA" w:rsidRPr="00D339B7" w:rsidRDefault="000C62AA" w:rsidP="00D26E34">
            <w:pPr>
              <w:pStyle w:val="HOMEBRBodyText"/>
              <w:widowControl w:val="0"/>
              <w:spacing w:after="140"/>
              <w:jc w:val="both"/>
              <w:rPr>
                <w:rFonts w:cs="Calibri"/>
                <w:spacing w:val="-4"/>
                <w:lang w:val="pt-BR"/>
              </w:rPr>
            </w:pPr>
            <w:r w:rsidRPr="00D339B7">
              <w:rPr>
                <w:rFonts w:eastAsia="Calibri" w:cs="Calibri"/>
                <w:spacing w:val="-4"/>
                <w:lang w:val="pt-BR"/>
              </w:rPr>
              <w:t>Após a colocação das Debêntures, será divulgado o Anúncio de Encerramento, nos termos dos artigos 29 e 54-A da Instrução CVM 400.</w:t>
            </w:r>
          </w:p>
        </w:tc>
      </w:tr>
      <w:tr w:rsidR="00A76890" w:rsidRPr="0082022E" w14:paraId="08A93173" w14:textId="77777777" w:rsidTr="003E13AA">
        <w:tc>
          <w:tcPr>
            <w:tcW w:w="1345" w:type="pct"/>
            <w:shd w:val="clear" w:color="auto" w:fill="auto"/>
          </w:tcPr>
          <w:p w14:paraId="328BB5ED" w14:textId="77777777" w:rsidR="00A76890" w:rsidRPr="00D8141D" w:rsidRDefault="00A76890" w:rsidP="00A76890">
            <w:pPr>
              <w:pStyle w:val="HOMEBRBodyText"/>
              <w:keepLines w:val="0"/>
              <w:widowControl w:val="0"/>
              <w:spacing w:after="140" w:line="290" w:lineRule="auto"/>
              <w:rPr>
                <w:rFonts w:eastAsia="Calibri" w:cs="Calibri"/>
                <w:b/>
                <w:lang w:val="pt-BR"/>
              </w:rPr>
            </w:pPr>
            <w:r w:rsidRPr="00D8141D">
              <w:rPr>
                <w:rFonts w:eastAsia="Calibri" w:cs="Calibri"/>
                <w:b/>
                <w:lang w:val="pt-BR"/>
              </w:rPr>
              <w:t>Período de Reserva</w:t>
            </w:r>
          </w:p>
        </w:tc>
        <w:tc>
          <w:tcPr>
            <w:tcW w:w="3655" w:type="pct"/>
            <w:shd w:val="clear" w:color="auto" w:fill="auto"/>
          </w:tcPr>
          <w:p w14:paraId="34CF1D70" w14:textId="5FDFB2CC" w:rsidR="00A76890" w:rsidRPr="00D8141D" w:rsidRDefault="00A76890" w:rsidP="00A76890">
            <w:pPr>
              <w:pStyle w:val="HOMEBRBodyText"/>
              <w:keepLines w:val="0"/>
              <w:widowControl w:val="0"/>
              <w:spacing w:after="140" w:line="290" w:lineRule="auto"/>
              <w:jc w:val="both"/>
              <w:rPr>
                <w:rFonts w:cs="Calibri"/>
                <w:lang w:val="pt-BR"/>
              </w:rPr>
            </w:pPr>
            <w:r w:rsidRPr="00D33DFE">
              <w:rPr>
                <w:rFonts w:eastAsia="Calibri" w:cs="Calibri"/>
                <w:lang w:val="pt-BR" w:bidi="en-US"/>
              </w:rPr>
              <w:t xml:space="preserve">Período </w:t>
            </w:r>
            <w:r w:rsidRPr="00D33DFE">
              <w:rPr>
                <w:rFonts w:cs="Calibri"/>
                <w:lang w:val="pt-BR"/>
              </w:rPr>
              <w:t xml:space="preserve">que se iniciou em </w:t>
            </w:r>
            <w:r w:rsidRPr="00D33DFE">
              <w:rPr>
                <w:rFonts w:eastAsia="Calibri" w:cs="Calibri"/>
                <w:lang w:val="pt-BR"/>
              </w:rPr>
              <w:t>29</w:t>
            </w:r>
            <w:r w:rsidRPr="00D33DFE">
              <w:rPr>
                <w:rFonts w:cs="Calibri"/>
                <w:lang w:val="pt-BR"/>
              </w:rPr>
              <w:t xml:space="preserve"> de </w:t>
            </w:r>
            <w:r w:rsidRPr="00D33DFE">
              <w:rPr>
                <w:rFonts w:eastAsia="Calibri" w:cs="Calibri"/>
                <w:lang w:val="pt-BR"/>
              </w:rPr>
              <w:t>dezembro</w:t>
            </w:r>
            <w:r w:rsidRPr="00D33DFE">
              <w:rPr>
                <w:rFonts w:cs="Calibri"/>
                <w:lang w:val="pt-BR"/>
              </w:rPr>
              <w:t xml:space="preserve"> de </w:t>
            </w:r>
            <w:r w:rsidRPr="00D33DFE">
              <w:rPr>
                <w:rFonts w:eastAsia="Calibri" w:cs="Calibri"/>
                <w:lang w:val="pt-BR"/>
              </w:rPr>
              <w:t>2021</w:t>
            </w:r>
            <w:r w:rsidRPr="00D33DFE">
              <w:rPr>
                <w:rFonts w:cs="Calibri"/>
                <w:lang w:val="pt-BR"/>
              </w:rPr>
              <w:t xml:space="preserve"> e se encerrou em </w:t>
            </w:r>
            <w:r w:rsidRPr="00D33DFE">
              <w:rPr>
                <w:rFonts w:eastAsia="Calibri" w:cs="Calibri"/>
                <w:lang w:val="pt-BR"/>
              </w:rPr>
              <w:t>13</w:t>
            </w:r>
            <w:r w:rsidRPr="00D33DFE">
              <w:rPr>
                <w:rFonts w:cs="Calibri"/>
                <w:lang w:val="pt-BR"/>
              </w:rPr>
              <w:t xml:space="preserve"> de </w:t>
            </w:r>
            <w:r w:rsidRPr="00D33DFE">
              <w:rPr>
                <w:rFonts w:eastAsia="Calibri" w:cs="Calibri"/>
                <w:lang w:val="pt-BR"/>
              </w:rPr>
              <w:t>janeiro</w:t>
            </w:r>
            <w:r w:rsidRPr="00D33DFE">
              <w:rPr>
                <w:rFonts w:cs="Calibri"/>
                <w:lang w:val="pt-BR"/>
              </w:rPr>
              <w:t xml:space="preserve"> de </w:t>
            </w:r>
            <w:r w:rsidRPr="00D33DFE">
              <w:rPr>
                <w:rFonts w:eastAsia="Calibri" w:cs="Calibri"/>
                <w:lang w:val="pt-BR"/>
              </w:rPr>
              <w:t>2022</w:t>
            </w:r>
            <w:r w:rsidRPr="00D33DFE">
              <w:rPr>
                <w:rFonts w:cs="Calibri"/>
                <w:lang w:val="pt-BR"/>
              </w:rPr>
              <w:t xml:space="preserve"> (inclusive)</w:t>
            </w:r>
            <w:r w:rsidRPr="00D33DFE">
              <w:rPr>
                <w:rFonts w:eastAsia="Calibri" w:cs="Calibri"/>
                <w:lang w:val="pt-BR" w:bidi="en-US"/>
              </w:rPr>
              <w:t xml:space="preserve">, durante o qual os Investidores da Oferta </w:t>
            </w:r>
            <w:r w:rsidRPr="00D33DFE">
              <w:rPr>
                <w:rFonts w:cs="Calibri"/>
                <w:lang w:val="pt-BR"/>
              </w:rPr>
              <w:t xml:space="preserve">interessados em subscrever Debêntures </w:t>
            </w:r>
            <w:r w:rsidRPr="00D33DFE">
              <w:rPr>
                <w:rFonts w:eastAsia="Calibri" w:cs="Calibri"/>
                <w:lang w:val="pt-BR" w:bidi="en-US"/>
              </w:rPr>
              <w:t>puderam apresentar suas ordens de investimento por meio de Pedido de Reserva.</w:t>
            </w:r>
          </w:p>
        </w:tc>
      </w:tr>
      <w:tr w:rsidR="000C62AA" w:rsidRPr="0082022E" w14:paraId="2AF69F11" w14:textId="77777777" w:rsidTr="003E13AA">
        <w:tc>
          <w:tcPr>
            <w:tcW w:w="1345" w:type="pct"/>
            <w:shd w:val="clear" w:color="auto" w:fill="auto"/>
          </w:tcPr>
          <w:p w14:paraId="5DDAC17F" w14:textId="77777777" w:rsidR="000C62AA" w:rsidRPr="00D8141D" w:rsidRDefault="006902E3" w:rsidP="006902E3">
            <w:pPr>
              <w:pStyle w:val="Ttulo1"/>
              <w:keepNext w:val="0"/>
              <w:pageBreakBefore w:val="0"/>
              <w:widowControl w:val="0"/>
              <w:spacing w:after="140" w:line="290" w:lineRule="auto"/>
              <w:jc w:val="left"/>
              <w:rPr>
                <w:rFonts w:eastAsia="Calibri" w:cs="Calibri"/>
                <w:b w:val="0"/>
                <w:szCs w:val="24"/>
              </w:rPr>
            </w:pPr>
            <w:bookmarkStart w:id="48" w:name="_Ref90221919"/>
            <w:bookmarkStart w:id="49" w:name="_Toc95900715"/>
            <w:bookmarkStart w:id="50" w:name="_Toc95928391"/>
            <w:r w:rsidRPr="00D8141D">
              <w:rPr>
                <w:rFonts w:eastAsia="Calibri" w:cs="Calibri"/>
                <w:caps w:val="0"/>
                <w:szCs w:val="24"/>
              </w:rPr>
              <w:t>Pessoas Vinculadas</w:t>
            </w:r>
            <w:bookmarkEnd w:id="48"/>
            <w:bookmarkEnd w:id="49"/>
            <w:bookmarkEnd w:id="50"/>
          </w:p>
        </w:tc>
        <w:tc>
          <w:tcPr>
            <w:tcW w:w="3655" w:type="pct"/>
            <w:shd w:val="clear" w:color="auto" w:fill="auto"/>
          </w:tcPr>
          <w:p w14:paraId="2C3E123C" w14:textId="77777777" w:rsidR="00F15363" w:rsidRPr="00D8141D" w:rsidRDefault="00F15363" w:rsidP="00754CAC">
            <w:pPr>
              <w:pStyle w:val="HOMEBRBodyText"/>
              <w:keepLines w:val="0"/>
              <w:widowControl w:val="0"/>
              <w:spacing w:after="140"/>
              <w:jc w:val="both"/>
              <w:rPr>
                <w:rFonts w:eastAsia="Calibri" w:cs="Calibri"/>
                <w:spacing w:val="-4"/>
                <w:lang w:val="pt-BR"/>
              </w:rPr>
            </w:pPr>
            <w:r w:rsidRPr="00D8141D">
              <w:rPr>
                <w:rFonts w:eastAsia="Calibri" w:cs="Calibri"/>
                <w:spacing w:val="-4"/>
                <w:lang w:val="pt-BR"/>
              </w:rPr>
              <w:t xml:space="preserve">Investidores que sejam: </w:t>
            </w:r>
            <w:r w:rsidRPr="00D8141D">
              <w:rPr>
                <w:rFonts w:cs="Calibri"/>
                <w:b/>
                <w:spacing w:val="-4"/>
                <w:lang w:val="pt-BR"/>
              </w:rPr>
              <w:t>(i)</w:t>
            </w:r>
            <w:r w:rsidRPr="00D8141D">
              <w:rPr>
                <w:rFonts w:cs="Calibri"/>
                <w:spacing w:val="-4"/>
                <w:lang w:val="pt-BR"/>
              </w:rPr>
              <w:t xml:space="preserve"> administradores, funcionários, operadores e demais prepostos da Emissora e/ou das Instituições Participantes da Oferta, que desempenhem atividades de intermediação ou de suporte operacional diretamente envolvidos na Oferta; </w:t>
            </w:r>
            <w:r w:rsidRPr="00D8141D">
              <w:rPr>
                <w:rFonts w:cs="Calibri"/>
                <w:b/>
                <w:spacing w:val="-4"/>
                <w:lang w:val="pt-BR"/>
              </w:rPr>
              <w:t>(ii)</w:t>
            </w:r>
            <w:r w:rsidRPr="00D8141D">
              <w:rPr>
                <w:rFonts w:cs="Calibri"/>
                <w:spacing w:val="-4"/>
                <w:lang w:val="pt-BR"/>
              </w:rPr>
              <w:t xml:space="preserve"> agentes autônomos que prestem serviços à Emissora e/ou às Instituições Participantes da Oferta no âmbito da Oferta; </w:t>
            </w:r>
            <w:r w:rsidRPr="00D8141D">
              <w:rPr>
                <w:rFonts w:cs="Calibri"/>
                <w:b/>
                <w:spacing w:val="-4"/>
                <w:lang w:val="pt-BR"/>
              </w:rPr>
              <w:t>(iii)</w:t>
            </w:r>
            <w:r w:rsidRPr="00D8141D">
              <w:rPr>
                <w:rFonts w:cs="Calibri"/>
                <w:spacing w:val="-4"/>
                <w:lang w:val="pt-BR"/>
              </w:rPr>
              <w:t xml:space="preserve"> demais profissionais que mantenham, com a Emissora e/ou as Instituições Participantes da Oferta, contrato de prestação de serviços diretamente relacionados à atividade de intermediação ou de suporte operacional no âmbito da Oferta; </w:t>
            </w:r>
            <w:r w:rsidRPr="00D8141D">
              <w:rPr>
                <w:rFonts w:cs="Calibri"/>
                <w:b/>
                <w:bCs/>
                <w:spacing w:val="-4"/>
                <w:lang w:val="pt-BR"/>
              </w:rPr>
              <w:t>(iv)</w:t>
            </w:r>
            <w:r w:rsidRPr="00D8141D">
              <w:rPr>
                <w:rFonts w:cs="Calibri"/>
                <w:spacing w:val="-4"/>
                <w:lang w:val="pt-BR"/>
              </w:rPr>
              <w:t xml:space="preserve"> pessoas naturais que sejam, direta ou indiretamente, controladoras ou participem do controle societário da Emissora e/ou das Instituições Participantes da Oferta; </w:t>
            </w:r>
            <w:r w:rsidRPr="00D8141D">
              <w:rPr>
                <w:rFonts w:cs="Calibri"/>
                <w:b/>
                <w:spacing w:val="-4"/>
                <w:lang w:val="pt-BR"/>
              </w:rPr>
              <w:t>(v)</w:t>
            </w:r>
            <w:r w:rsidRPr="00D8141D">
              <w:rPr>
                <w:rFonts w:cs="Calibri"/>
                <w:spacing w:val="-4"/>
                <w:lang w:val="pt-BR"/>
              </w:rPr>
              <w:t xml:space="preserve"> sociedades controladas, direta ou indiretamente, pela Emissora e/ou pelas Instituições Participantes da Oferta ou por pessoas a elas vinculadas; </w:t>
            </w:r>
            <w:r w:rsidRPr="00D8141D">
              <w:rPr>
                <w:rFonts w:cs="Calibri"/>
                <w:b/>
                <w:spacing w:val="-4"/>
                <w:lang w:val="pt-BR"/>
              </w:rPr>
              <w:t>(vi)</w:t>
            </w:r>
            <w:r w:rsidRPr="00D8141D">
              <w:rPr>
                <w:rFonts w:cs="Calibri"/>
                <w:spacing w:val="-4"/>
                <w:lang w:val="pt-BR"/>
              </w:rPr>
              <w:t xml:space="preserve"> cônjuges ou companheiros e filhos menores das pessoas mencionadas nos itens (i) a (iv); e </w:t>
            </w:r>
            <w:r w:rsidRPr="00D8141D">
              <w:rPr>
                <w:rFonts w:cs="Calibri"/>
                <w:b/>
                <w:spacing w:val="-4"/>
                <w:lang w:val="pt-BR"/>
              </w:rPr>
              <w:t>(vii)</w:t>
            </w:r>
            <w:r w:rsidRPr="00D8141D">
              <w:rPr>
                <w:rFonts w:cs="Calibri"/>
                <w:spacing w:val="-4"/>
                <w:lang w:val="pt-BR"/>
              </w:rPr>
              <w:t xml:space="preserve"> clubes e fundos de investimento cuja maioria das cotas pertença a Pessoas Vinculadas indicadas nos itens acima, salvo se geridos discricionariamente por terceiros não vinculados, nos termos do artigo 55 da Instrução CVM 400 e do artigo </w:t>
            </w:r>
            <w:r w:rsidR="002B2F78" w:rsidRPr="00D8141D">
              <w:rPr>
                <w:rFonts w:cs="Calibri"/>
                <w:spacing w:val="-4"/>
                <w:lang w:val="pt-BR"/>
              </w:rPr>
              <w:t>2º</w:t>
            </w:r>
            <w:r w:rsidRPr="00D8141D">
              <w:rPr>
                <w:rFonts w:cs="Calibri"/>
                <w:spacing w:val="-4"/>
                <w:lang w:val="pt-BR"/>
              </w:rPr>
              <w:t xml:space="preserve">, inciso </w:t>
            </w:r>
            <w:r w:rsidR="002B2F78" w:rsidRPr="00D8141D">
              <w:rPr>
                <w:rFonts w:cs="Calibri"/>
                <w:spacing w:val="-4"/>
                <w:lang w:val="pt-BR"/>
              </w:rPr>
              <w:t>XII</w:t>
            </w:r>
            <w:r w:rsidRPr="00D8141D">
              <w:rPr>
                <w:rFonts w:cs="Calibri"/>
                <w:spacing w:val="-4"/>
                <w:lang w:val="pt-BR"/>
              </w:rPr>
              <w:t xml:space="preserve"> da </w:t>
            </w:r>
            <w:r w:rsidR="002B2F78" w:rsidRPr="00D8141D">
              <w:rPr>
                <w:rFonts w:cs="Calibri"/>
                <w:spacing w:val="-4"/>
                <w:lang w:val="pt-BR"/>
              </w:rPr>
              <w:t>Resolução</w:t>
            </w:r>
            <w:r w:rsidRPr="00D8141D">
              <w:rPr>
                <w:rFonts w:cs="Calibri"/>
                <w:spacing w:val="-4"/>
                <w:lang w:val="pt-BR"/>
              </w:rPr>
              <w:t xml:space="preserve"> CVM </w:t>
            </w:r>
            <w:r w:rsidR="002B2F78" w:rsidRPr="00D8141D">
              <w:rPr>
                <w:rFonts w:cs="Calibri"/>
                <w:spacing w:val="-4"/>
                <w:lang w:val="pt-BR"/>
              </w:rPr>
              <w:t>35</w:t>
            </w:r>
            <w:r w:rsidRPr="00D8141D">
              <w:rPr>
                <w:rFonts w:cs="Calibri"/>
                <w:spacing w:val="-4"/>
                <w:lang w:val="pt-BR"/>
              </w:rPr>
              <w:t>.</w:t>
            </w:r>
          </w:p>
          <w:p w14:paraId="644E4D41" w14:textId="21AAEEEA" w:rsidR="000C62AA" w:rsidRPr="00D8141D" w:rsidRDefault="000C62AA" w:rsidP="000C62AA">
            <w:pPr>
              <w:pStyle w:val="HOMEBRBodyText"/>
              <w:keepLines w:val="0"/>
              <w:widowControl w:val="0"/>
              <w:spacing w:after="140" w:line="290" w:lineRule="auto"/>
              <w:jc w:val="both"/>
              <w:rPr>
                <w:rFonts w:eastAsia="Calibri" w:cs="Calibri"/>
                <w:lang w:val="pt-BR" w:bidi="en-US"/>
              </w:rPr>
            </w:pPr>
            <w:r w:rsidRPr="00D8141D">
              <w:rPr>
                <w:rFonts w:eastAsia="Calibri" w:cs="Calibri"/>
                <w:b/>
                <w:lang w:val="pt-BR"/>
              </w:rPr>
              <w:t xml:space="preserve">Para mais informações sobre a participação de Pessoas Vinculadas na Oferta, veja </w:t>
            </w:r>
            <w:r w:rsidR="00DB205D" w:rsidRPr="00D8141D">
              <w:rPr>
                <w:rFonts w:eastAsia="Calibri" w:cs="Calibri"/>
                <w:b/>
                <w:lang w:val="pt-BR"/>
              </w:rPr>
              <w:t>a seção</w:t>
            </w:r>
            <w:r w:rsidRPr="00D8141D">
              <w:rPr>
                <w:rFonts w:eastAsia="Calibri" w:cs="Calibri"/>
                <w:b/>
                <w:lang w:val="pt-BR"/>
              </w:rPr>
              <w:t xml:space="preserve"> “Fatores de Risco Relacionados à Oferta e às Debêntures – </w:t>
            </w:r>
            <w:r w:rsidRPr="00D8141D">
              <w:rPr>
                <w:rFonts w:cs="Calibri"/>
                <w:b/>
                <w:bCs/>
                <w:lang w:val="pt-BR"/>
              </w:rPr>
              <w:t>O investimento nas Debêntures por Investidores da Oferta que sejam Pessoas Vinculadas poderá ter um impacto adverso na liquidez das Debêntures no mercado secundário</w:t>
            </w:r>
            <w:r w:rsidRPr="00D8141D">
              <w:rPr>
                <w:rFonts w:cs="Calibri"/>
                <w:b/>
                <w:lang w:val="pt-BR" w:eastAsia="pt-BR"/>
              </w:rPr>
              <w:t>.</w:t>
            </w:r>
            <w:r w:rsidRPr="00D8141D">
              <w:rPr>
                <w:rFonts w:eastAsia="Calibri" w:cs="Calibri"/>
                <w:b/>
                <w:lang w:val="pt-BR"/>
              </w:rPr>
              <w:t xml:space="preserve">”, </w:t>
            </w:r>
            <w:r w:rsidR="00DB205D" w:rsidRPr="00D8141D">
              <w:rPr>
                <w:rFonts w:eastAsia="Calibri" w:cs="Calibri"/>
                <w:b/>
                <w:lang w:val="pt-BR"/>
              </w:rPr>
              <w:t xml:space="preserve">na página </w:t>
            </w:r>
            <w:r w:rsidR="00157EEA" w:rsidRPr="00D8141D">
              <w:rPr>
                <w:rFonts w:eastAsia="Calibri" w:cs="Calibri"/>
                <w:b/>
                <w:noProof/>
                <w:lang w:val="pt-BR"/>
              </w:rPr>
              <w:fldChar w:fldCharType="begin"/>
            </w:r>
            <w:r w:rsidR="00157EEA" w:rsidRPr="00D8141D">
              <w:rPr>
                <w:rFonts w:eastAsia="Calibri" w:cs="Calibri"/>
                <w:b/>
                <w:lang w:val="pt-BR"/>
              </w:rPr>
              <w:instrText xml:space="preserve"> PAGEREF _Ref90059225 \h </w:instrText>
            </w:r>
            <w:r w:rsidR="00157EEA" w:rsidRPr="00D8141D">
              <w:rPr>
                <w:rFonts w:eastAsia="Calibri" w:cs="Calibri"/>
                <w:b/>
                <w:noProof/>
                <w:lang w:val="pt-BR"/>
              </w:rPr>
            </w:r>
            <w:r w:rsidR="00157EEA" w:rsidRPr="00D8141D">
              <w:rPr>
                <w:rFonts w:eastAsia="Calibri" w:cs="Calibri"/>
                <w:b/>
                <w:noProof/>
                <w:lang w:val="pt-BR"/>
              </w:rPr>
              <w:fldChar w:fldCharType="separate"/>
            </w:r>
            <w:r w:rsidR="001166EA">
              <w:rPr>
                <w:rFonts w:eastAsia="Calibri" w:cs="Calibri"/>
                <w:b/>
                <w:noProof/>
                <w:lang w:val="pt-BR"/>
              </w:rPr>
              <w:t>134</w:t>
            </w:r>
            <w:r w:rsidR="00157EEA" w:rsidRPr="00D8141D">
              <w:rPr>
                <w:rFonts w:eastAsia="Calibri" w:cs="Calibri"/>
                <w:b/>
                <w:noProof/>
                <w:lang w:val="pt-BR"/>
              </w:rPr>
              <w:fldChar w:fldCharType="end"/>
            </w:r>
            <w:r w:rsidR="00DB205D" w:rsidRPr="00D8141D">
              <w:rPr>
                <w:rFonts w:eastAsia="Calibri" w:cs="Calibri"/>
                <w:b/>
                <w:lang w:val="pt-BR"/>
              </w:rPr>
              <w:t>,</w:t>
            </w:r>
            <w:r w:rsidRPr="00D8141D">
              <w:rPr>
                <w:rFonts w:eastAsia="Calibri" w:cs="Calibri"/>
                <w:b/>
                <w:lang w:val="pt-BR"/>
              </w:rPr>
              <w:t xml:space="preserve"> respectivamente, deste Prospecto.</w:t>
            </w:r>
          </w:p>
        </w:tc>
      </w:tr>
      <w:tr w:rsidR="000C62AA" w:rsidRPr="0082022E" w14:paraId="7057C1B1" w14:textId="77777777" w:rsidTr="003E13AA">
        <w:tc>
          <w:tcPr>
            <w:tcW w:w="1345" w:type="pct"/>
            <w:shd w:val="clear" w:color="auto" w:fill="auto"/>
          </w:tcPr>
          <w:p w14:paraId="52410A98"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Plano de Distribuição</w:t>
            </w:r>
          </w:p>
        </w:tc>
        <w:tc>
          <w:tcPr>
            <w:tcW w:w="3655" w:type="pct"/>
            <w:shd w:val="clear" w:color="auto" w:fill="auto"/>
          </w:tcPr>
          <w:p w14:paraId="244044A2" w14:textId="77777777" w:rsidR="000C62AA" w:rsidRPr="00D8141D" w:rsidRDefault="00486A3B" w:rsidP="000C62AA">
            <w:pPr>
              <w:pStyle w:val="HOMEBRBodyText"/>
              <w:keepLines w:val="0"/>
              <w:widowControl w:val="0"/>
              <w:spacing w:after="140" w:line="290" w:lineRule="auto"/>
              <w:jc w:val="both"/>
              <w:rPr>
                <w:rFonts w:cs="Calibri"/>
                <w:lang w:val="pt-BR"/>
              </w:rPr>
            </w:pPr>
            <w:r w:rsidRPr="00566177">
              <w:rPr>
                <w:lang w:val="pt-BR"/>
              </w:rPr>
              <w:t>As Debêntures serão objeto de oferta pública de distribuição, nos termos da Instrução CVM </w:t>
            </w:r>
            <w:r w:rsidRPr="00D8141D">
              <w:rPr>
                <w:rFonts w:cs="Calibri"/>
                <w:lang w:val="pt-BR"/>
              </w:rPr>
              <w:t xml:space="preserve">400, sob regime de garantia firme de colocação (exceto pelas Debêntures Adicionais, as quais serão </w:t>
            </w:r>
            <w:r w:rsidRPr="00D8141D">
              <w:rPr>
                <w:rFonts w:cs="Calibri"/>
                <w:lang w:val="pt-BR"/>
              </w:rPr>
              <w:lastRenderedPageBreak/>
              <w:t>colocadas</w:t>
            </w:r>
            <w:r w:rsidRPr="00566177">
              <w:rPr>
                <w:lang w:val="pt-BR"/>
              </w:rPr>
              <w:t xml:space="preserve"> sob o regime de </w:t>
            </w:r>
            <w:r w:rsidRPr="00D8141D">
              <w:rPr>
                <w:rFonts w:cs="Calibri"/>
                <w:lang w:val="pt-BR"/>
              </w:rPr>
              <w:t>melhores esforços</w:t>
            </w:r>
            <w:r w:rsidRPr="00566177">
              <w:rPr>
                <w:lang w:val="pt-BR"/>
              </w:rPr>
              <w:t xml:space="preserve"> de colocação</w:t>
            </w:r>
            <w:r w:rsidRPr="00D8141D">
              <w:rPr>
                <w:rFonts w:cs="Calibri"/>
                <w:lang w:val="pt-BR"/>
              </w:rPr>
              <w:t>),</w:t>
            </w:r>
            <w:r w:rsidRPr="00566177">
              <w:rPr>
                <w:lang w:val="pt-BR"/>
              </w:rPr>
              <w:t xml:space="preserve"> para a totalidade das Debêntures, nos termos do Contrato de Distribuição</w:t>
            </w:r>
            <w:r w:rsidR="00C02CC2">
              <w:rPr>
                <w:lang w:val="pt-BR"/>
              </w:rPr>
              <w:t xml:space="preserve"> e do </w:t>
            </w:r>
            <w:r w:rsidR="00C02CC2" w:rsidRPr="00D8141D">
              <w:rPr>
                <w:rFonts w:cs="Calibri"/>
                <w:lang w:val="pt-BR"/>
              </w:rPr>
              <w:t>Primeiro Aditamento ao Contrato de Distribuição</w:t>
            </w:r>
            <w:r w:rsidRPr="00566177">
              <w:rPr>
                <w:lang w:val="pt-BR"/>
              </w:rPr>
              <w:t xml:space="preserve">, com a intermediação do Coordenador Líder e dos Participantes Especiais, </w:t>
            </w:r>
            <w:r w:rsidRPr="00D8141D">
              <w:rPr>
                <w:rFonts w:cs="Calibri"/>
                <w:lang w:val="pt-BR"/>
              </w:rPr>
              <w:t>observado o procedimento previsto no parágrafo 3º do artigo 33 da Instrução CVM 400</w:t>
            </w:r>
            <w:r w:rsidR="000C62AA" w:rsidRPr="00D8141D">
              <w:rPr>
                <w:rFonts w:cs="Calibri"/>
                <w:lang w:val="pt-BR"/>
              </w:rPr>
              <w:t>.</w:t>
            </w:r>
            <w:r w:rsidR="000C62AA" w:rsidRPr="00D8141D">
              <w:rPr>
                <w:rFonts w:eastAsia="Calibri" w:cs="Calibri"/>
                <w:lang w:val="pt-BR"/>
              </w:rPr>
              <w:t xml:space="preserve"> </w:t>
            </w:r>
            <w:r w:rsidRPr="00D8141D">
              <w:rPr>
                <w:rFonts w:cs="Calibri"/>
                <w:lang w:val="pt-BR"/>
              </w:rPr>
              <w:t>Os termos e condições do Plano de Distribuição seguem descritos no Contrato de Distribuição</w:t>
            </w:r>
            <w:r w:rsidR="00C02CC2" w:rsidRPr="00D8141D">
              <w:rPr>
                <w:rFonts w:cs="Calibri"/>
                <w:lang w:val="pt-BR"/>
              </w:rPr>
              <w:t>, no Primeiro Aditamento ao Contrato de Distribuição</w:t>
            </w:r>
            <w:r w:rsidRPr="00D8141D">
              <w:rPr>
                <w:rFonts w:cs="Calibri"/>
                <w:lang w:val="pt-BR"/>
              </w:rPr>
              <w:t xml:space="preserve"> e nos demais documentos da Oferta. A Oferta não contará com esforços de colocação no exterior.</w:t>
            </w:r>
          </w:p>
          <w:p w14:paraId="5095C568" w14:textId="77777777" w:rsidR="00486A3B" w:rsidRPr="00D8141D" w:rsidRDefault="00486A3B" w:rsidP="000C62AA">
            <w:pPr>
              <w:pStyle w:val="HOMEBRBodyText"/>
              <w:keepLines w:val="0"/>
              <w:widowControl w:val="0"/>
              <w:spacing w:after="140" w:line="290" w:lineRule="auto"/>
              <w:jc w:val="both"/>
              <w:rPr>
                <w:rFonts w:cs="Calibri"/>
                <w:lang w:val="pt-BR"/>
              </w:rPr>
            </w:pPr>
            <w:r w:rsidRPr="00D8141D">
              <w:rPr>
                <w:rFonts w:cs="Calibri"/>
                <w:lang w:val="pt-BR"/>
              </w:rPr>
              <w:t>No</w:t>
            </w:r>
            <w:r w:rsidR="00520AE1" w:rsidRPr="00D8141D">
              <w:rPr>
                <w:rFonts w:cs="Calibri"/>
                <w:lang w:val="pt-BR"/>
              </w:rPr>
              <w:t>s</w:t>
            </w:r>
            <w:r w:rsidRPr="00D8141D">
              <w:rPr>
                <w:rFonts w:cs="Calibri"/>
                <w:lang w:val="pt-BR"/>
              </w:rPr>
              <w:t xml:space="preserve"> termos da Instrução CVM 400, a Oferta somente ocorrerá após </w:t>
            </w:r>
            <w:r w:rsidRPr="00D8141D">
              <w:rPr>
                <w:rFonts w:cs="Calibri"/>
                <w:b/>
                <w:bCs/>
                <w:lang w:val="pt-BR"/>
              </w:rPr>
              <w:t xml:space="preserve">(i) </w:t>
            </w:r>
            <w:r w:rsidRPr="00D8141D">
              <w:rPr>
                <w:rFonts w:cs="Calibri"/>
                <w:lang w:val="pt-BR"/>
              </w:rPr>
              <w:t xml:space="preserve">a concessão do registro da Oferta pela CVM; </w:t>
            </w:r>
            <w:r w:rsidRPr="00D8141D">
              <w:rPr>
                <w:rFonts w:cs="Calibri"/>
                <w:b/>
                <w:bCs/>
                <w:lang w:val="pt-BR"/>
              </w:rPr>
              <w:t xml:space="preserve">(ii) </w:t>
            </w:r>
            <w:r w:rsidRPr="00D8141D">
              <w:rPr>
                <w:rFonts w:cs="Calibri"/>
                <w:lang w:val="pt-BR"/>
              </w:rPr>
              <w:t>a divulgação do Anúncio de Início da Oferta;</w:t>
            </w:r>
            <w:r w:rsidRPr="00D8141D">
              <w:rPr>
                <w:rFonts w:cs="Calibri"/>
                <w:b/>
                <w:bCs/>
                <w:lang w:val="pt-BR"/>
              </w:rPr>
              <w:t xml:space="preserve"> (iii) </w:t>
            </w:r>
            <w:r w:rsidRPr="00D8141D">
              <w:rPr>
                <w:rFonts w:cs="Calibri"/>
                <w:lang w:val="pt-BR"/>
              </w:rPr>
              <w:t>a disponibilização d</w:t>
            </w:r>
            <w:r w:rsidR="00326DA3">
              <w:rPr>
                <w:rFonts w:cs="Calibri"/>
                <w:lang w:val="pt-BR"/>
              </w:rPr>
              <w:t>este</w:t>
            </w:r>
            <w:r w:rsidRPr="00D8141D">
              <w:rPr>
                <w:rFonts w:cs="Calibri"/>
                <w:lang w:val="pt-BR"/>
              </w:rPr>
              <w:t xml:space="preserve"> Prospecto Definitivo contendo informações sobre a Oferta aos investidores e seu envio à CVM, nos termos do artigo 42 da Instrução CVM 400.</w:t>
            </w:r>
          </w:p>
          <w:p w14:paraId="1CC2F65C" w14:textId="77777777" w:rsidR="00486A3B" w:rsidRPr="00D8141D" w:rsidRDefault="00486A3B" w:rsidP="000C62AA">
            <w:pPr>
              <w:pStyle w:val="HOMEBRBodyText"/>
              <w:keepLines w:val="0"/>
              <w:widowControl w:val="0"/>
              <w:spacing w:after="140" w:line="290" w:lineRule="auto"/>
              <w:jc w:val="both"/>
              <w:rPr>
                <w:rFonts w:eastAsia="Calibri" w:cs="Calibri"/>
                <w:lang w:val="pt-BR"/>
              </w:rPr>
            </w:pPr>
            <w:r w:rsidRPr="00D8141D">
              <w:rPr>
                <w:rFonts w:cs="Calibri"/>
                <w:lang w:val="pt-BR"/>
              </w:rPr>
              <w:t>Observados os requisitos indicados na Escritura de Emissão, as Debêntures serão subscritas e integralizadas na Primeira Data de Integralização (conforme abaixo definido), dentro do prazo máximo de 6 (seis) meses contados da data de divulgação do Anúncio de Início da Oferta, nos termos do artigo 18 da Instrução CVM 400.</w:t>
            </w:r>
          </w:p>
          <w:p w14:paraId="7E71D726" w14:textId="457C78B8" w:rsidR="000C62AA" w:rsidRPr="00D8141D" w:rsidRDefault="000C62AA" w:rsidP="00754CAC">
            <w:pPr>
              <w:pStyle w:val="HOMEBRBodyText"/>
              <w:keepLines w:val="0"/>
              <w:widowControl w:val="0"/>
              <w:spacing w:after="140"/>
              <w:jc w:val="both"/>
              <w:rPr>
                <w:rFonts w:eastAsia="Calibri" w:cs="Calibri"/>
                <w:highlight w:val="yellow"/>
                <w:lang w:val="pt-BR"/>
              </w:rPr>
            </w:pPr>
            <w:r w:rsidRPr="00D8141D">
              <w:rPr>
                <w:rFonts w:eastAsia="Calibri" w:cs="Calibri"/>
                <w:b/>
                <w:lang w:val="pt-BR"/>
              </w:rPr>
              <w:t xml:space="preserve">Para mais informações acerca do Plano de Distribuição, veja seção “Informações Relacionadas à Emissão, à Oferta e às Debêntures – Características da Oferta – </w:t>
            </w:r>
            <w:r w:rsidR="00DB205D" w:rsidRPr="00D8141D">
              <w:rPr>
                <w:rFonts w:eastAsia="Calibri" w:cs="Calibri"/>
                <w:b/>
                <w:color w:val="000000"/>
                <w:lang w:val="pt-BR"/>
              </w:rPr>
              <w:t>Colocação e Procedimento</w:t>
            </w:r>
            <w:r w:rsidRPr="00D8141D">
              <w:rPr>
                <w:rFonts w:eastAsia="Calibri" w:cs="Calibri"/>
                <w:b/>
                <w:color w:val="000000"/>
                <w:lang w:val="pt-BR"/>
              </w:rPr>
              <w:t xml:space="preserve"> de Distribuição”, na página </w:t>
            </w:r>
            <w:r w:rsidR="00C23EC2" w:rsidRPr="00D8141D">
              <w:rPr>
                <w:rFonts w:eastAsia="Calibri" w:cs="Calibri"/>
                <w:b/>
                <w:noProof/>
                <w:color w:val="000000"/>
                <w:lang w:val="pt-BR"/>
              </w:rPr>
              <w:fldChar w:fldCharType="begin"/>
            </w:r>
            <w:r w:rsidR="00C23EC2" w:rsidRPr="00D8141D">
              <w:rPr>
                <w:rFonts w:eastAsia="Calibri" w:cs="Calibri"/>
                <w:b/>
                <w:color w:val="000000"/>
                <w:lang w:val="pt-BR"/>
              </w:rPr>
              <w:instrText xml:space="preserve"> PAGEREF _Ref90216516 \h </w:instrText>
            </w:r>
            <w:r w:rsidR="00C23EC2" w:rsidRPr="00D8141D">
              <w:rPr>
                <w:rFonts w:eastAsia="Calibri" w:cs="Calibri"/>
                <w:b/>
                <w:noProof/>
                <w:color w:val="000000"/>
                <w:lang w:val="pt-BR"/>
              </w:rPr>
            </w:r>
            <w:r w:rsidR="00C23EC2" w:rsidRPr="00D8141D">
              <w:rPr>
                <w:rFonts w:eastAsia="Calibri" w:cs="Calibri"/>
                <w:b/>
                <w:noProof/>
                <w:color w:val="000000"/>
                <w:lang w:val="pt-BR"/>
              </w:rPr>
              <w:fldChar w:fldCharType="separate"/>
            </w:r>
            <w:r w:rsidR="001166EA">
              <w:rPr>
                <w:rFonts w:eastAsia="Calibri" w:cs="Calibri"/>
                <w:b/>
                <w:noProof/>
                <w:color w:val="000000"/>
                <w:lang w:val="pt-BR"/>
              </w:rPr>
              <w:t>70</w:t>
            </w:r>
            <w:r w:rsidR="00C23EC2" w:rsidRPr="00D8141D">
              <w:rPr>
                <w:rFonts w:eastAsia="Calibri" w:cs="Calibri"/>
                <w:b/>
                <w:noProof/>
                <w:color w:val="000000"/>
                <w:lang w:val="pt-BR"/>
              </w:rPr>
              <w:fldChar w:fldCharType="end"/>
            </w:r>
            <w:r w:rsidRPr="00D8141D">
              <w:rPr>
                <w:rFonts w:eastAsia="Calibri" w:cs="Calibri"/>
                <w:b/>
                <w:color w:val="000000"/>
                <w:lang w:val="pt-BR"/>
              </w:rPr>
              <w:t xml:space="preserve"> deste Prospecto.</w:t>
            </w:r>
          </w:p>
        </w:tc>
      </w:tr>
      <w:tr w:rsidR="000C62AA" w:rsidRPr="0082022E" w14:paraId="3EB35DF8" w14:textId="77777777" w:rsidTr="003E13AA">
        <w:tc>
          <w:tcPr>
            <w:tcW w:w="1345" w:type="pct"/>
            <w:shd w:val="clear" w:color="auto" w:fill="auto"/>
          </w:tcPr>
          <w:p w14:paraId="71AE8AED"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Prazo e Data de Vencimento</w:t>
            </w:r>
          </w:p>
        </w:tc>
        <w:tc>
          <w:tcPr>
            <w:tcW w:w="3655" w:type="pct"/>
            <w:shd w:val="clear" w:color="auto" w:fill="auto"/>
          </w:tcPr>
          <w:p w14:paraId="50148807" w14:textId="77777777" w:rsidR="000C62AA" w:rsidRPr="00D8141D" w:rsidRDefault="00486A3B" w:rsidP="000C62AA">
            <w:pPr>
              <w:pStyle w:val="HOMEBRBodyText"/>
              <w:keepLines w:val="0"/>
              <w:widowControl w:val="0"/>
              <w:spacing w:after="140" w:line="290" w:lineRule="auto"/>
              <w:jc w:val="both"/>
              <w:rPr>
                <w:rFonts w:eastAsia="Calibri" w:cs="Calibri"/>
                <w:lang w:val="pt-BR"/>
              </w:rPr>
            </w:pPr>
            <w:r w:rsidRPr="0020727A">
              <w:rPr>
                <w:lang w:val="pt-BR"/>
              </w:rPr>
              <w:t xml:space="preserve">Observado o disposto na Escritura de Emissão, </w:t>
            </w:r>
            <w:r w:rsidRPr="00D8141D">
              <w:rPr>
                <w:rFonts w:cs="Calibri"/>
                <w:lang w:val="pt-BR"/>
              </w:rPr>
              <w:t xml:space="preserve">o prazo das: </w:t>
            </w:r>
            <w:r w:rsidRPr="00D8141D">
              <w:rPr>
                <w:rFonts w:cs="Calibri"/>
                <w:b/>
                <w:bCs/>
                <w:lang w:val="pt-BR"/>
              </w:rPr>
              <w:t>(i)</w:t>
            </w:r>
            <w:r w:rsidRPr="0020727A">
              <w:rPr>
                <w:b/>
                <w:lang w:val="pt-BR"/>
              </w:rPr>
              <w:t xml:space="preserve"> </w:t>
            </w:r>
            <w:r w:rsidRPr="0020727A">
              <w:rPr>
                <w:lang w:val="pt-BR"/>
              </w:rPr>
              <w:t xml:space="preserve">Debêntures </w:t>
            </w:r>
            <w:r w:rsidRPr="00D8141D">
              <w:rPr>
                <w:rFonts w:cs="Calibri"/>
                <w:lang w:val="pt-BR"/>
              </w:rPr>
              <w:t>da Primeira Série será</w:t>
            </w:r>
            <w:r w:rsidRPr="0020727A">
              <w:rPr>
                <w:lang w:val="pt-BR"/>
              </w:rPr>
              <w:t xml:space="preserve"> de 10 (dez) anos contados da Data de Emissão, vencendo-se, portanto, na Data de Vencimento da Primeira Série; e </w:t>
            </w:r>
            <w:r w:rsidRPr="0020727A">
              <w:rPr>
                <w:b/>
                <w:bCs/>
                <w:lang w:val="pt-BR"/>
              </w:rPr>
              <w:t>(ii)</w:t>
            </w:r>
            <w:r w:rsidRPr="0020727A">
              <w:rPr>
                <w:lang w:val="pt-BR"/>
              </w:rPr>
              <w:t xml:space="preserve"> </w:t>
            </w:r>
            <w:r w:rsidRPr="00D8141D">
              <w:rPr>
                <w:rFonts w:cs="Calibri"/>
                <w:lang w:val="pt-BR"/>
              </w:rPr>
              <w:t>Debêntures da Segunda Série será de 15 (quinze) anos contados da Data de Emissão, vencendo-se, portanto,</w:t>
            </w:r>
            <w:r w:rsidR="00E61795" w:rsidRPr="00D8141D">
              <w:rPr>
                <w:rFonts w:cs="Calibri"/>
                <w:lang w:val="pt-BR"/>
              </w:rPr>
              <w:t xml:space="preserve"> na Data de Vencimento da Segunda Série.</w:t>
            </w:r>
          </w:p>
        </w:tc>
      </w:tr>
      <w:tr w:rsidR="000C62AA" w:rsidRPr="0082022E" w14:paraId="052FCE8A" w14:textId="77777777" w:rsidTr="003E13AA">
        <w:tc>
          <w:tcPr>
            <w:tcW w:w="1345" w:type="pct"/>
            <w:shd w:val="clear" w:color="auto" w:fill="auto"/>
          </w:tcPr>
          <w:p w14:paraId="0228BC61"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 xml:space="preserve">Procedimento de Coleta de Intenções de Investimentos (Procedimento de </w:t>
            </w:r>
            <w:r w:rsidRPr="00D8141D">
              <w:rPr>
                <w:rFonts w:eastAsia="Calibri" w:cs="Calibri"/>
                <w:b/>
                <w:i/>
                <w:lang w:val="pt-BR"/>
              </w:rPr>
              <w:t>Bookbuilding)</w:t>
            </w:r>
          </w:p>
        </w:tc>
        <w:tc>
          <w:tcPr>
            <w:tcW w:w="3655" w:type="pct"/>
            <w:shd w:val="clear" w:color="auto" w:fill="auto"/>
          </w:tcPr>
          <w:p w14:paraId="6FCF7B13" w14:textId="7EE97D1B" w:rsidR="00E61795" w:rsidRPr="00D8141D" w:rsidRDefault="00A258C2" w:rsidP="00754CAC">
            <w:pPr>
              <w:pStyle w:val="HOMEBRBodyText"/>
              <w:keepLines w:val="0"/>
              <w:widowControl w:val="0"/>
              <w:spacing w:after="140"/>
              <w:jc w:val="both"/>
              <w:rPr>
                <w:rFonts w:cs="Calibri"/>
                <w:lang w:val="pt-BR"/>
              </w:rPr>
            </w:pPr>
            <w:r w:rsidRPr="00D8141D">
              <w:rPr>
                <w:rFonts w:cs="Calibri"/>
                <w:lang w:val="pt-BR"/>
              </w:rPr>
              <w:t>Foi adotado</w:t>
            </w:r>
            <w:r w:rsidR="00E61795" w:rsidRPr="00D8141D">
              <w:rPr>
                <w:rFonts w:cs="Calibri"/>
                <w:lang w:val="pt-BR"/>
              </w:rPr>
              <w:t xml:space="preserve"> o procedimento de coleta de intenções de investimento, nos termos dos parágrafos 1º e 2º do artigo 23 e do artigo 44 da Instrução CVM 400, com recebimento de reservas durante o Período de Reserva (conforme abaixo definido), sem lotes mínimos ou máximos, para verificação da demanda pelas Debêntures em diferentes níveis de ta</w:t>
            </w:r>
            <w:r w:rsidR="00047A4B" w:rsidRPr="00D8141D">
              <w:rPr>
                <w:rFonts w:cs="Calibri"/>
                <w:lang w:val="pt-BR"/>
              </w:rPr>
              <w:t>x</w:t>
            </w:r>
            <w:r w:rsidR="00E61795" w:rsidRPr="00D8141D">
              <w:rPr>
                <w:rFonts w:cs="Calibri"/>
                <w:lang w:val="pt-BR"/>
              </w:rPr>
              <w:t xml:space="preserve">a de juros, </w:t>
            </w:r>
            <w:r w:rsidRPr="00D8141D">
              <w:rPr>
                <w:rFonts w:cs="Calibri"/>
                <w:lang w:val="pt-BR"/>
              </w:rPr>
              <w:t>o que definiu</w:t>
            </w:r>
            <w:r w:rsidR="00E61795" w:rsidRPr="00D8141D">
              <w:rPr>
                <w:rFonts w:cs="Calibri"/>
                <w:lang w:val="pt-BR"/>
              </w:rPr>
              <w:t xml:space="preserve">, de comum acordo com a Emissora: </w:t>
            </w:r>
            <w:r w:rsidR="00E61795" w:rsidRPr="00D8141D">
              <w:rPr>
                <w:rFonts w:cs="Calibri"/>
                <w:b/>
                <w:bCs/>
                <w:lang w:val="pt-BR"/>
              </w:rPr>
              <w:t xml:space="preserve">(i) </w:t>
            </w:r>
            <w:r w:rsidR="00E61795" w:rsidRPr="00D8141D">
              <w:rPr>
                <w:rFonts w:cs="Calibri"/>
                <w:lang w:val="pt-BR"/>
              </w:rPr>
              <w:t xml:space="preserve">a existência de demanda para a colocação da </w:t>
            </w:r>
            <w:r w:rsidR="00E61795" w:rsidRPr="00D8141D">
              <w:rPr>
                <w:rFonts w:cs="Calibri"/>
                <w:lang w:val="pt-BR"/>
              </w:rPr>
              <w:lastRenderedPageBreak/>
              <w:t xml:space="preserve">totalidade das Debêntures, </w:t>
            </w:r>
            <w:r w:rsidRPr="00D8141D">
              <w:rPr>
                <w:rFonts w:cs="Calibri"/>
                <w:lang w:val="pt-BR"/>
              </w:rPr>
              <w:t>considerando</w:t>
            </w:r>
            <w:r w:rsidR="00E61795" w:rsidRPr="00D8141D">
              <w:rPr>
                <w:rFonts w:cs="Calibri"/>
                <w:lang w:val="pt-BR"/>
              </w:rPr>
              <w:t xml:space="preserve"> as Debêntures Adicionais, e </w:t>
            </w:r>
            <w:r w:rsidRPr="00D8141D">
              <w:rPr>
                <w:rFonts w:cs="Calibri"/>
                <w:lang w:val="pt-BR"/>
              </w:rPr>
              <w:t>definiu</w:t>
            </w:r>
            <w:r w:rsidR="00E61795" w:rsidRPr="00D8141D">
              <w:rPr>
                <w:rFonts w:cs="Calibri"/>
                <w:lang w:val="pt-BR"/>
              </w:rPr>
              <w:t xml:space="preserve"> sobre a realização da Emissão em 2 (duas) séries; </w:t>
            </w:r>
            <w:r w:rsidR="00E61795" w:rsidRPr="00D8141D">
              <w:rPr>
                <w:rFonts w:cs="Calibri"/>
                <w:b/>
                <w:bCs/>
                <w:lang w:val="pt-BR"/>
              </w:rPr>
              <w:t xml:space="preserve">(ii) </w:t>
            </w:r>
            <w:r w:rsidR="00E61795" w:rsidRPr="00D8141D">
              <w:rPr>
                <w:rFonts w:cs="Calibri"/>
                <w:lang w:val="pt-BR"/>
              </w:rPr>
              <w:t xml:space="preserve">a emissão e a quantidade de Debêntures da Primeira Série e de Debêntures da Segunda Série; </w:t>
            </w:r>
            <w:r w:rsidR="00E61795" w:rsidRPr="00D8141D">
              <w:rPr>
                <w:rFonts w:cs="Calibri"/>
                <w:b/>
                <w:bCs/>
                <w:lang w:val="pt-BR"/>
              </w:rPr>
              <w:t xml:space="preserve">(iii) </w:t>
            </w:r>
            <w:r w:rsidR="00E61795" w:rsidRPr="00D8141D">
              <w:rPr>
                <w:rFonts w:cs="Calibri"/>
                <w:lang w:val="pt-BR"/>
              </w:rPr>
              <w:t xml:space="preserve">a taxa final dos Juros Remuneratórios da Primeira Série; </w:t>
            </w:r>
            <w:r w:rsidR="00E61795" w:rsidRPr="00D8141D">
              <w:rPr>
                <w:rFonts w:cs="Calibri"/>
                <w:b/>
                <w:bCs/>
                <w:lang w:val="pt-BR"/>
              </w:rPr>
              <w:t>(iv)</w:t>
            </w:r>
            <w:r w:rsidR="00E61795" w:rsidRPr="00D8141D">
              <w:rPr>
                <w:rFonts w:cs="Calibri"/>
                <w:lang w:val="pt-BR"/>
              </w:rPr>
              <w:t xml:space="preserve"> a taxa final dos Juros Remuneratórios da Segunda Série; </w:t>
            </w:r>
            <w:r w:rsidR="00E61795" w:rsidRPr="00D8141D">
              <w:rPr>
                <w:rFonts w:cs="Calibri"/>
                <w:b/>
                <w:bCs/>
                <w:lang w:val="pt-BR"/>
              </w:rPr>
              <w:t>(v)</w:t>
            </w:r>
            <w:r w:rsidR="00E61795" w:rsidRPr="00D8141D">
              <w:rPr>
                <w:rFonts w:cs="Calibri"/>
                <w:lang w:val="pt-BR"/>
              </w:rPr>
              <w:t xml:space="preserve"> a colocação das Debêntures Adicionais, bem como </w:t>
            </w:r>
            <w:r w:rsidRPr="00D8141D">
              <w:rPr>
                <w:rFonts w:cs="Calibri"/>
                <w:lang w:val="pt-BR"/>
              </w:rPr>
              <w:t>as respectivas séries nas quais foram alocadas</w:t>
            </w:r>
            <w:r w:rsidR="00E61795" w:rsidRPr="00D8141D">
              <w:rPr>
                <w:rFonts w:cs="Calibri"/>
                <w:lang w:val="pt-BR"/>
              </w:rPr>
              <w:t xml:space="preserve"> as Debêntures Adicionais e, consequentemente, a quantidade de Debêntures alocada em cada uma das Séries</w:t>
            </w:r>
            <w:r w:rsidR="00E76ACF" w:rsidRPr="00D8141D">
              <w:rPr>
                <w:rFonts w:cs="Calibri"/>
                <w:lang w:val="pt-BR"/>
              </w:rPr>
              <w:t xml:space="preserve"> e</w:t>
            </w:r>
            <w:r w:rsidRPr="00D8141D">
              <w:rPr>
                <w:rFonts w:cs="Calibri"/>
                <w:lang w:val="pt-BR"/>
              </w:rPr>
              <w:t>;</w:t>
            </w:r>
            <w:r w:rsidRPr="00D8141D">
              <w:rPr>
                <w:rFonts w:cs="Calibri"/>
                <w:b/>
                <w:bCs/>
                <w:lang w:val="pt-BR"/>
              </w:rPr>
              <w:t xml:space="preserve"> (vi) </w:t>
            </w:r>
            <w:r w:rsidRPr="00D8141D">
              <w:rPr>
                <w:rFonts w:cs="Calibri"/>
                <w:lang w:val="pt-BR"/>
              </w:rPr>
              <w:t>a alocação das Debêntures entre os Investidores da Oferta</w:t>
            </w:r>
            <w:r w:rsidR="00E61795" w:rsidRPr="00D8141D">
              <w:rPr>
                <w:rFonts w:cs="Calibri"/>
                <w:lang w:val="pt-BR"/>
              </w:rPr>
              <w:t>.</w:t>
            </w:r>
          </w:p>
          <w:p w14:paraId="05B17DB2" w14:textId="763929E0" w:rsidR="000C62AA" w:rsidRPr="00D8141D" w:rsidRDefault="00E61795" w:rsidP="00754CAC">
            <w:pPr>
              <w:pStyle w:val="HOMEBRBodyText"/>
              <w:keepLines w:val="0"/>
              <w:widowControl w:val="0"/>
              <w:spacing w:after="140"/>
              <w:jc w:val="both"/>
              <w:rPr>
                <w:rFonts w:eastAsia="Calibri" w:cs="Calibri"/>
                <w:lang w:val="pt-BR"/>
              </w:rPr>
            </w:pPr>
            <w:r w:rsidRPr="00D8141D">
              <w:rPr>
                <w:rFonts w:cs="Calibri"/>
                <w:lang w:val="pt-BR"/>
              </w:rPr>
              <w:t xml:space="preserve"> </w:t>
            </w:r>
            <w:r w:rsidR="000C62AA" w:rsidRPr="00D8141D">
              <w:rPr>
                <w:rFonts w:cs="Calibri"/>
                <w:b/>
                <w:spacing w:val="-4"/>
                <w:lang w:val="pt-BR"/>
              </w:rPr>
              <w:t xml:space="preserve">O investimento nas Debêntures por Investidores que sejam Pessoas Vinculadas poderá afetar a liquidez das Debêntures no mercado secundário. </w:t>
            </w:r>
            <w:r w:rsidR="000C62AA" w:rsidRPr="00D8141D">
              <w:rPr>
                <w:rFonts w:eastAsia="Calibri" w:cs="Calibri"/>
                <w:b/>
                <w:lang w:val="pt-BR"/>
              </w:rPr>
              <w:t xml:space="preserve">Para mais informações acerca do Procedimento de </w:t>
            </w:r>
            <w:r w:rsidR="000C62AA" w:rsidRPr="00D8141D">
              <w:rPr>
                <w:rFonts w:eastAsia="Calibri" w:cs="Calibri"/>
                <w:b/>
                <w:i/>
                <w:lang w:val="pt-BR"/>
              </w:rPr>
              <w:t>Bookbuilding</w:t>
            </w:r>
            <w:r w:rsidR="000C62AA" w:rsidRPr="00D8141D">
              <w:rPr>
                <w:rFonts w:eastAsia="Calibri" w:cs="Calibri"/>
                <w:b/>
                <w:lang w:val="pt-BR"/>
              </w:rPr>
              <w:t>, veja as seções “Informações Relacionadas à Emissão, à Oferta e às Debêntures – Características da Oferta – Coleta de Intenções</w:t>
            </w:r>
            <w:r w:rsidR="00DB205D" w:rsidRPr="00D8141D">
              <w:rPr>
                <w:rFonts w:eastAsia="Calibri" w:cs="Calibri"/>
                <w:b/>
                <w:lang w:val="pt-BR"/>
              </w:rPr>
              <w:t xml:space="preserve"> de Investimento</w:t>
            </w:r>
            <w:r w:rsidR="000C62AA" w:rsidRPr="00D8141D">
              <w:rPr>
                <w:rFonts w:eastAsia="Calibri" w:cs="Calibri"/>
                <w:b/>
                <w:lang w:val="pt-BR"/>
              </w:rPr>
              <w:t xml:space="preserve"> de Investimento (Procedimento de </w:t>
            </w:r>
            <w:r w:rsidR="000C62AA" w:rsidRPr="00D8141D">
              <w:rPr>
                <w:rFonts w:eastAsia="Calibri" w:cs="Calibri"/>
                <w:b/>
                <w:i/>
                <w:lang w:val="pt-BR"/>
              </w:rPr>
              <w:t>Bookbuilding</w:t>
            </w:r>
            <w:r w:rsidR="000C62AA" w:rsidRPr="00D8141D">
              <w:rPr>
                <w:rFonts w:eastAsia="Calibri" w:cs="Calibri"/>
                <w:b/>
                <w:lang w:val="pt-BR"/>
              </w:rPr>
              <w:t xml:space="preserve">)” e “Fatores de Risco Relacionados à Oferta e às Debêntures – </w:t>
            </w:r>
            <w:r w:rsidR="000C62AA" w:rsidRPr="00D8141D">
              <w:rPr>
                <w:rFonts w:cs="Calibri"/>
                <w:b/>
                <w:bCs/>
                <w:lang w:val="pt-BR"/>
              </w:rPr>
              <w:t>O investimento nas Debêntures por Investidores da Oferta que sejam Pessoas Vinculadas poderá ter um impacto adverso na liquidez das Debêntures no mercado secundário.</w:t>
            </w:r>
            <w:r w:rsidR="000C62AA" w:rsidRPr="00D8141D">
              <w:rPr>
                <w:rFonts w:cs="Calibri"/>
                <w:b/>
                <w:spacing w:val="-4"/>
                <w:lang w:val="pt-BR"/>
              </w:rPr>
              <w:t>”</w:t>
            </w:r>
            <w:r w:rsidR="000C62AA" w:rsidRPr="00D8141D">
              <w:rPr>
                <w:rFonts w:eastAsia="Calibri" w:cs="Calibri"/>
                <w:b/>
                <w:lang w:val="pt-BR"/>
              </w:rPr>
              <w:t xml:space="preserve">, nas páginas </w:t>
            </w:r>
            <w:r w:rsidR="00FC0D8E" w:rsidRPr="00D8141D">
              <w:rPr>
                <w:rFonts w:eastAsia="Calibri" w:cs="Calibri"/>
                <w:b/>
                <w:color w:val="FF0000"/>
                <w:lang w:val="pt-BR"/>
              </w:rPr>
              <w:fldChar w:fldCharType="begin"/>
            </w:r>
            <w:r w:rsidR="00FC0D8E" w:rsidRPr="00D8141D">
              <w:rPr>
                <w:rFonts w:eastAsia="Calibri" w:cs="Calibri"/>
                <w:b/>
                <w:lang w:val="pt-BR"/>
              </w:rPr>
              <w:instrText xml:space="preserve"> PAGEREF _Ref90059565 \h </w:instrText>
            </w:r>
            <w:r w:rsidR="00FC0D8E" w:rsidRPr="00D8141D">
              <w:rPr>
                <w:rFonts w:eastAsia="Calibri" w:cs="Calibri"/>
                <w:b/>
                <w:color w:val="FF0000"/>
                <w:lang w:val="pt-BR"/>
              </w:rPr>
            </w:r>
            <w:r w:rsidR="00FC0D8E" w:rsidRPr="00D8141D">
              <w:rPr>
                <w:rFonts w:eastAsia="Calibri" w:cs="Calibri"/>
                <w:b/>
                <w:color w:val="FF0000"/>
                <w:lang w:val="pt-BR"/>
              </w:rPr>
              <w:fldChar w:fldCharType="separate"/>
            </w:r>
            <w:r w:rsidR="001166EA">
              <w:rPr>
                <w:rFonts w:eastAsia="Calibri" w:cs="Calibri"/>
                <w:b/>
                <w:noProof/>
                <w:lang w:val="pt-BR"/>
              </w:rPr>
              <w:t>71</w:t>
            </w:r>
            <w:r w:rsidR="00FC0D8E" w:rsidRPr="00D8141D">
              <w:rPr>
                <w:rFonts w:eastAsia="Calibri" w:cs="Calibri"/>
                <w:b/>
                <w:color w:val="FF0000"/>
                <w:lang w:val="pt-BR"/>
              </w:rPr>
              <w:fldChar w:fldCharType="end"/>
            </w:r>
            <w:r w:rsidR="000C62AA" w:rsidRPr="00D8141D">
              <w:rPr>
                <w:rFonts w:eastAsia="Calibri" w:cs="Calibri"/>
                <w:b/>
                <w:lang w:val="pt-BR"/>
              </w:rPr>
              <w:t xml:space="preserve"> e </w:t>
            </w:r>
            <w:r w:rsidR="00AC7262" w:rsidRPr="00D8141D">
              <w:rPr>
                <w:rFonts w:eastAsia="Calibri" w:cs="Calibri"/>
                <w:b/>
                <w:noProof/>
                <w:lang w:val="pt-BR"/>
              </w:rPr>
              <w:fldChar w:fldCharType="begin"/>
            </w:r>
            <w:r w:rsidR="00AC7262" w:rsidRPr="00D8141D">
              <w:rPr>
                <w:rFonts w:eastAsia="Calibri" w:cs="Calibri"/>
                <w:b/>
                <w:lang w:val="pt-BR"/>
              </w:rPr>
              <w:instrText xml:space="preserve"> PAGEREF _Ref90059225 \h </w:instrText>
            </w:r>
            <w:r w:rsidR="00AC7262" w:rsidRPr="00D8141D">
              <w:rPr>
                <w:rFonts w:eastAsia="Calibri" w:cs="Calibri"/>
                <w:b/>
                <w:noProof/>
                <w:lang w:val="pt-BR"/>
              </w:rPr>
            </w:r>
            <w:r w:rsidR="00AC7262" w:rsidRPr="00D8141D">
              <w:rPr>
                <w:rFonts w:eastAsia="Calibri" w:cs="Calibri"/>
                <w:b/>
                <w:noProof/>
                <w:lang w:val="pt-BR"/>
              </w:rPr>
              <w:fldChar w:fldCharType="separate"/>
            </w:r>
            <w:r w:rsidR="001166EA">
              <w:rPr>
                <w:rFonts w:eastAsia="Calibri" w:cs="Calibri"/>
                <w:b/>
                <w:noProof/>
                <w:lang w:val="pt-BR"/>
              </w:rPr>
              <w:t>134</w:t>
            </w:r>
            <w:r w:rsidR="00AC7262" w:rsidRPr="00D8141D">
              <w:rPr>
                <w:rFonts w:eastAsia="Calibri" w:cs="Calibri"/>
                <w:b/>
                <w:noProof/>
                <w:lang w:val="pt-BR"/>
              </w:rPr>
              <w:fldChar w:fldCharType="end"/>
            </w:r>
            <w:r w:rsidR="000C62AA" w:rsidRPr="00D8141D">
              <w:rPr>
                <w:rFonts w:eastAsia="Calibri" w:cs="Calibri"/>
                <w:b/>
                <w:lang w:val="pt-BR"/>
              </w:rPr>
              <w:t xml:space="preserve"> deste Prospecto.</w:t>
            </w:r>
          </w:p>
        </w:tc>
      </w:tr>
      <w:tr w:rsidR="000C62AA" w:rsidRPr="0082022E" w14:paraId="2B62D7E7" w14:textId="77777777" w:rsidTr="003E13AA">
        <w:tc>
          <w:tcPr>
            <w:tcW w:w="1345" w:type="pct"/>
            <w:shd w:val="clear" w:color="auto" w:fill="auto"/>
          </w:tcPr>
          <w:p w14:paraId="16133271"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Público-alvo da Oferta</w:t>
            </w:r>
          </w:p>
        </w:tc>
        <w:tc>
          <w:tcPr>
            <w:tcW w:w="3655" w:type="pct"/>
            <w:shd w:val="clear" w:color="auto" w:fill="auto"/>
          </w:tcPr>
          <w:p w14:paraId="7982D644" w14:textId="77777777" w:rsidR="000C62AA" w:rsidRPr="00D8141D" w:rsidRDefault="000C62AA" w:rsidP="000C62AA">
            <w:pPr>
              <w:pStyle w:val="HOMEBRBodyText"/>
              <w:widowControl w:val="0"/>
              <w:tabs>
                <w:tab w:val="left" w:pos="690"/>
              </w:tabs>
              <w:spacing w:after="140" w:line="290" w:lineRule="auto"/>
              <w:jc w:val="both"/>
              <w:rPr>
                <w:rFonts w:cs="Calibri"/>
                <w:lang w:val="pt-BR"/>
              </w:rPr>
            </w:pPr>
            <w:r w:rsidRPr="00D8141D">
              <w:rPr>
                <w:rFonts w:cs="Calibri"/>
                <w:lang w:val="pt-BR"/>
              </w:rPr>
              <w:t>O Público-alvo da Oferta é composto pelos Investidores.</w:t>
            </w:r>
          </w:p>
        </w:tc>
      </w:tr>
      <w:tr w:rsidR="000C62AA" w:rsidRPr="0082022E" w14:paraId="1D84D760" w14:textId="77777777" w:rsidTr="003E13AA">
        <w:tc>
          <w:tcPr>
            <w:tcW w:w="1345" w:type="pct"/>
            <w:shd w:val="clear" w:color="auto" w:fill="auto"/>
          </w:tcPr>
          <w:p w14:paraId="0A0193A9"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Quóruns de Deliberação</w:t>
            </w:r>
          </w:p>
        </w:tc>
        <w:tc>
          <w:tcPr>
            <w:tcW w:w="3655" w:type="pct"/>
            <w:shd w:val="clear" w:color="auto" w:fill="auto"/>
          </w:tcPr>
          <w:p w14:paraId="798A6C98" w14:textId="77777777" w:rsidR="000C62AA" w:rsidRPr="00D8141D" w:rsidRDefault="000C62AA" w:rsidP="000C62AA">
            <w:pPr>
              <w:pStyle w:val="HOMEBRBodyText"/>
              <w:widowControl w:val="0"/>
              <w:spacing w:after="140" w:line="290" w:lineRule="auto"/>
              <w:jc w:val="both"/>
              <w:rPr>
                <w:rFonts w:cs="Calibri"/>
                <w:lang w:val="pt-BR"/>
              </w:rPr>
            </w:pPr>
            <w:r w:rsidRPr="00D8141D">
              <w:rPr>
                <w:rFonts w:cs="Calibri"/>
                <w:lang w:val="pt-BR"/>
              </w:rPr>
              <w:t>Os Debenturistas poderão, a qualquer tempo, reunir-se em Assembleia Geral de Debenturistas, de acordo com o disposto no artigo 71 da Lei das Sociedades por Ações, a fim de deliberarem sobre matéria de interesse da comunhão dos Debenturistas.</w:t>
            </w:r>
          </w:p>
          <w:p w14:paraId="4E74F7E2" w14:textId="77777777" w:rsidR="000C62AA" w:rsidRPr="00D8141D" w:rsidRDefault="000C62AA" w:rsidP="000C62AA">
            <w:pPr>
              <w:pStyle w:val="HOMEBRBodyText"/>
              <w:keepLines w:val="0"/>
              <w:widowControl w:val="0"/>
              <w:spacing w:after="140" w:line="290" w:lineRule="auto"/>
              <w:jc w:val="both"/>
              <w:rPr>
                <w:rFonts w:cs="Calibri"/>
                <w:lang w:val="pt-BR"/>
              </w:rPr>
            </w:pPr>
            <w:r w:rsidRPr="00D8141D">
              <w:rPr>
                <w:rFonts w:cs="Calibri"/>
                <w:lang w:val="pt-BR"/>
              </w:rPr>
              <w:t>Exceto pelo disposto no parágrafo abaixo</w:t>
            </w:r>
            <w:r w:rsidR="002B2F78" w:rsidRPr="00D8141D">
              <w:rPr>
                <w:rFonts w:cs="Calibri"/>
                <w:lang w:val="pt-BR"/>
              </w:rPr>
              <w:t xml:space="preserve"> e na Cláusula 8.1.4</w:t>
            </w:r>
            <w:r w:rsidRPr="00D8141D">
              <w:rPr>
                <w:rFonts w:cs="Calibri"/>
                <w:lang w:val="pt-BR"/>
              </w:rPr>
              <w:t>, as deliberações a serem tomadas em Assembleia Geral de Debenturistas, inclusive quanto a pedidos de renúncia (</w:t>
            </w:r>
            <w:r w:rsidRPr="00D8141D">
              <w:rPr>
                <w:rFonts w:cs="Calibri"/>
                <w:i/>
                <w:lang w:val="pt-BR"/>
              </w:rPr>
              <w:t xml:space="preserve">waiver) </w:t>
            </w:r>
            <w:r w:rsidRPr="00D8141D">
              <w:rPr>
                <w:rFonts w:cs="Calibri"/>
                <w:lang w:val="pt-BR"/>
              </w:rPr>
              <w:t xml:space="preserve">ou perdão temporário referentes aos Eventos de Vencimento Antecipado, </w:t>
            </w:r>
            <w:r w:rsidR="002B2F78" w:rsidRPr="00D8141D">
              <w:rPr>
                <w:rFonts w:cs="Calibri"/>
                <w:lang w:val="pt-BR"/>
              </w:rPr>
              <w:t xml:space="preserve">as </w:t>
            </w:r>
            <w:r w:rsidRPr="00D8141D">
              <w:rPr>
                <w:rFonts w:cs="Calibri"/>
                <w:lang w:val="pt-BR"/>
              </w:rPr>
              <w:t>deliberações</w:t>
            </w:r>
            <w:r w:rsidR="002B2F78" w:rsidRPr="00D8141D">
              <w:rPr>
                <w:rFonts w:cs="Calibri"/>
                <w:lang w:val="pt-BR"/>
              </w:rPr>
              <w:t>,</w:t>
            </w:r>
            <w:r w:rsidRPr="00D8141D">
              <w:rPr>
                <w:rFonts w:cs="Calibri"/>
                <w:lang w:val="pt-BR"/>
              </w:rPr>
              <w:t xml:space="preserve"> em primeira convocação</w:t>
            </w:r>
            <w:r w:rsidR="002B2F78" w:rsidRPr="00D8141D">
              <w:rPr>
                <w:rFonts w:cs="Calibri"/>
                <w:lang w:val="pt-BR"/>
              </w:rPr>
              <w:t>,</w:t>
            </w:r>
            <w:r w:rsidRPr="00D8141D">
              <w:rPr>
                <w:rFonts w:cs="Calibri"/>
                <w:lang w:val="pt-BR"/>
              </w:rPr>
              <w:t xml:space="preserve"> serão </w:t>
            </w:r>
            <w:r w:rsidR="002B2F78" w:rsidRPr="00D8141D">
              <w:rPr>
                <w:rFonts w:cs="Calibri"/>
                <w:lang w:val="pt-BR"/>
              </w:rPr>
              <w:t xml:space="preserve">tomadas por Debenturistas que representem, pelo menos, (a) </w:t>
            </w:r>
            <w:r w:rsidRPr="00D8141D">
              <w:rPr>
                <w:rFonts w:cs="Calibri"/>
                <w:lang w:val="pt-BR"/>
              </w:rPr>
              <w:t xml:space="preserve">50% (cinquenta por cento) mais </w:t>
            </w:r>
            <w:r w:rsidR="002B2F78" w:rsidRPr="00D8141D">
              <w:rPr>
                <w:rFonts w:cs="Calibri"/>
                <w:lang w:val="pt-BR"/>
              </w:rPr>
              <w:t xml:space="preserve">1 (uma) das Debêntures da Primeira Série em Circulação, no caso </w:t>
            </w:r>
            <w:r w:rsidRPr="00D8141D">
              <w:rPr>
                <w:rFonts w:cs="Calibri"/>
                <w:lang w:val="pt-BR"/>
              </w:rPr>
              <w:t xml:space="preserve">das Debêntures </w:t>
            </w:r>
            <w:r w:rsidR="002B2F78" w:rsidRPr="00D8141D">
              <w:rPr>
                <w:rFonts w:cs="Calibri"/>
                <w:lang w:val="pt-BR"/>
              </w:rPr>
              <w:t xml:space="preserve">da Primeira Série; e (b) 50% (cinquenta por cento) mais 1 (uma) das Debêntures da Segunda Série </w:t>
            </w:r>
            <w:r w:rsidRPr="00D8141D">
              <w:rPr>
                <w:rFonts w:cs="Calibri"/>
                <w:lang w:val="pt-BR"/>
              </w:rPr>
              <w:t xml:space="preserve">em Circulação </w:t>
            </w:r>
            <w:r w:rsidR="002B2F78" w:rsidRPr="00D8141D">
              <w:rPr>
                <w:rFonts w:cs="Calibri"/>
                <w:lang w:val="pt-BR"/>
              </w:rPr>
              <w:t xml:space="preserve">, no caso das Debêntures da Segunda Série. Em segunda convocação, as deliberações serão tomadas por, pelo menos, (a) a maioria simples dos Debenturistas </w:t>
            </w:r>
            <w:r w:rsidRPr="00D8141D">
              <w:rPr>
                <w:rFonts w:cs="Calibri"/>
                <w:lang w:val="pt-BR"/>
              </w:rPr>
              <w:t xml:space="preserve">presentes </w:t>
            </w:r>
            <w:r w:rsidR="002B2F78" w:rsidRPr="00D8141D">
              <w:rPr>
                <w:rFonts w:cs="Calibri"/>
                <w:lang w:val="pt-BR"/>
              </w:rPr>
              <w:t xml:space="preserve">detentores </w:t>
            </w:r>
            <w:r w:rsidR="002B2F78" w:rsidRPr="00D8141D">
              <w:rPr>
                <w:rFonts w:cs="Calibri"/>
                <w:lang w:val="pt-BR"/>
              </w:rPr>
              <w:lastRenderedPageBreak/>
              <w:t>das Debêntures da Primeira Série, no caso das Debêntures da Primeira Série</w:t>
            </w:r>
            <w:r w:rsidRPr="00D8141D">
              <w:rPr>
                <w:rFonts w:cs="Calibri"/>
                <w:lang w:val="pt-BR"/>
              </w:rPr>
              <w:t xml:space="preserve">, desde que </w:t>
            </w:r>
            <w:r w:rsidR="002B2F78" w:rsidRPr="00D8141D">
              <w:rPr>
                <w:rFonts w:cs="Calibri"/>
                <w:lang w:val="pt-BR"/>
              </w:rPr>
              <w:t>representem</w:t>
            </w:r>
            <w:r w:rsidRPr="00D8141D">
              <w:rPr>
                <w:rFonts w:cs="Calibri"/>
                <w:lang w:val="pt-BR"/>
              </w:rPr>
              <w:t xml:space="preserve">, no mínimo, </w:t>
            </w:r>
            <w:r w:rsidR="002B2F78" w:rsidRPr="00D8141D">
              <w:rPr>
                <w:rFonts w:cs="Calibri"/>
                <w:lang w:val="pt-BR"/>
              </w:rPr>
              <w:t>10% (dez</w:t>
            </w:r>
            <w:r w:rsidRPr="00D8141D">
              <w:rPr>
                <w:rFonts w:cs="Calibri"/>
                <w:lang w:val="pt-BR"/>
              </w:rPr>
              <w:t xml:space="preserve"> por cento) das Debêntures em Circulação</w:t>
            </w:r>
            <w:r w:rsidR="002B2F78" w:rsidRPr="00D8141D">
              <w:rPr>
                <w:rFonts w:cs="Calibri"/>
                <w:lang w:val="pt-BR"/>
              </w:rPr>
              <w:t>; e (b) a maioria simples dos Debenturistas presentes detentores das Debêntures da Segunda Série, no caso das Debêntures da Segunda Série, desde que representem, no mínimo, 10% (dez por cento) das Debêntures em Circulação, inclusive com relação a alterações nas cláusulas ou condições previstas nesta Escritura de Emissão que não apresentem outro quórum específico</w:t>
            </w:r>
            <w:r w:rsidRPr="00D8141D">
              <w:rPr>
                <w:rFonts w:cs="Calibri"/>
                <w:lang w:val="pt-BR"/>
              </w:rPr>
              <w:t>.</w:t>
            </w:r>
          </w:p>
          <w:p w14:paraId="78566BE5" w14:textId="77777777" w:rsidR="000C62AA" w:rsidRPr="00D8141D" w:rsidRDefault="000C62AA" w:rsidP="000C62AA">
            <w:pPr>
              <w:pStyle w:val="HOMEBRBodyText"/>
              <w:keepLines w:val="0"/>
              <w:widowControl w:val="0"/>
              <w:spacing w:after="140" w:line="290" w:lineRule="auto"/>
              <w:jc w:val="both"/>
              <w:rPr>
                <w:rFonts w:cs="Calibri"/>
                <w:lang w:val="pt-BR"/>
              </w:rPr>
            </w:pPr>
            <w:r w:rsidRPr="00D8141D">
              <w:rPr>
                <w:rFonts w:cs="Calibri"/>
                <w:lang w:val="pt-BR"/>
              </w:rPr>
              <w:t xml:space="preserve">Não estão incluídos no quórum a que se refere o parágrafo acima as alterações relativas às características das Debêntures, conforme venham a ser propostas pela Emissora, assim entendidas </w:t>
            </w:r>
            <w:r w:rsidRPr="00D8141D">
              <w:rPr>
                <w:rFonts w:cs="Calibri"/>
                <w:b/>
                <w:lang w:val="pt-BR"/>
              </w:rPr>
              <w:t>(i)</w:t>
            </w:r>
            <w:r w:rsidR="002B2F78" w:rsidRPr="00D8141D">
              <w:rPr>
                <w:rFonts w:cs="Calibri"/>
                <w:bCs/>
                <w:lang w:val="pt-BR"/>
              </w:rPr>
              <w:t xml:space="preserve"> as disposições</w:t>
            </w:r>
            <w:r w:rsidRPr="00D8141D">
              <w:rPr>
                <w:rFonts w:cs="Calibri"/>
                <w:lang w:val="pt-BR"/>
              </w:rPr>
              <w:t xml:space="preserve"> da </w:t>
            </w:r>
            <w:r w:rsidR="002B2F78" w:rsidRPr="00D8141D">
              <w:rPr>
                <w:rFonts w:cs="Calibri"/>
                <w:bCs/>
                <w:lang w:val="pt-BR"/>
              </w:rPr>
              <w:t xml:space="preserve">Cláusula 11 da Escritura de Emissão; (ii) qualquer dos quóruns previstos na Escritura de Emissão; (iii) a </w:t>
            </w:r>
            <w:r w:rsidRPr="00D8141D">
              <w:rPr>
                <w:rFonts w:cs="Calibri"/>
                <w:lang w:val="pt-BR"/>
              </w:rPr>
              <w:t>Remuneração</w:t>
            </w:r>
            <w:r w:rsidR="002B2F78" w:rsidRPr="00D8141D">
              <w:rPr>
                <w:rFonts w:cs="Calibri"/>
                <w:bCs/>
                <w:lang w:val="pt-BR"/>
              </w:rPr>
              <w:t xml:space="preserve"> e/ou as disposições </w:t>
            </w:r>
            <w:r w:rsidRPr="00D8141D">
              <w:rPr>
                <w:rFonts w:cs="Calibri"/>
                <w:lang w:val="pt-BR"/>
              </w:rPr>
              <w:t xml:space="preserve">a </w:t>
            </w:r>
            <w:r w:rsidR="002B2F78" w:rsidRPr="00D8141D">
              <w:rPr>
                <w:rFonts w:cs="Calibri"/>
                <w:bCs/>
                <w:lang w:val="pt-BR"/>
              </w:rPr>
              <w:t xml:space="preserve">ela relativas constantes da Escritura de Emissão; (iv) quaisquer das datas de pagamento de quaisquer valores previstos na Escritura de Emissão; (v) </w:t>
            </w:r>
            <w:r w:rsidRPr="00D8141D">
              <w:rPr>
                <w:rFonts w:cs="Calibri"/>
                <w:lang w:val="pt-BR"/>
              </w:rPr>
              <w:t xml:space="preserve">o prazo de vencimento das Debêntures; </w:t>
            </w:r>
            <w:r w:rsidRPr="00D8141D">
              <w:rPr>
                <w:rFonts w:cs="Calibri"/>
                <w:b/>
                <w:lang w:val="pt-BR"/>
              </w:rPr>
              <w:t>(</w:t>
            </w:r>
            <w:r w:rsidR="002B2F78" w:rsidRPr="00D8141D">
              <w:rPr>
                <w:rFonts w:cs="Calibri"/>
                <w:bCs/>
                <w:lang w:val="pt-BR"/>
              </w:rPr>
              <w:t xml:space="preserve">vi) a espécie das Debêntures; (vii) as disposições relativas ao Resgate Obrigatório e/ou à Oferta de Resgate Antecipado; (viii) </w:t>
            </w:r>
            <w:r w:rsidRPr="00D8141D">
              <w:rPr>
                <w:rFonts w:cs="Calibri"/>
                <w:lang w:val="pt-BR"/>
              </w:rPr>
              <w:t xml:space="preserve">os valores e </w:t>
            </w:r>
            <w:r w:rsidR="002B2F78" w:rsidRPr="00D8141D">
              <w:rPr>
                <w:rFonts w:cs="Calibri"/>
                <w:bCs/>
                <w:lang w:val="pt-BR"/>
              </w:rPr>
              <w:t>datas</w:t>
            </w:r>
            <w:r w:rsidRPr="00D8141D">
              <w:rPr>
                <w:rFonts w:cs="Calibri"/>
                <w:lang w:val="pt-BR"/>
              </w:rPr>
              <w:t xml:space="preserve"> de amortização do principal das Debêntures; </w:t>
            </w:r>
            <w:r w:rsidRPr="00D8141D">
              <w:rPr>
                <w:rFonts w:cs="Calibri"/>
                <w:b/>
                <w:lang w:val="pt-BR"/>
              </w:rPr>
              <w:t>(</w:t>
            </w:r>
            <w:r w:rsidR="002B2F78" w:rsidRPr="00D8141D">
              <w:rPr>
                <w:rFonts w:cs="Calibri"/>
                <w:bCs/>
                <w:lang w:val="pt-BR"/>
              </w:rPr>
              <w:t>ix) de qualquer dos</w:t>
            </w:r>
            <w:r w:rsidRPr="00D8141D">
              <w:rPr>
                <w:rFonts w:cs="Calibri"/>
                <w:lang w:val="pt-BR"/>
              </w:rPr>
              <w:t xml:space="preserve"> Eventos de Vencimento Antecipado</w:t>
            </w:r>
            <w:r w:rsidR="002B2F78" w:rsidRPr="00D8141D">
              <w:rPr>
                <w:rFonts w:cs="Calibri"/>
                <w:bCs/>
                <w:lang w:val="pt-BR"/>
              </w:rPr>
              <w:t xml:space="preserve"> estabelecidos</w:t>
            </w:r>
            <w:r w:rsidRPr="00D8141D">
              <w:rPr>
                <w:rFonts w:cs="Calibri"/>
                <w:lang w:val="pt-BR"/>
              </w:rPr>
              <w:t xml:space="preserve"> na Cláusula </w:t>
            </w:r>
            <w:r w:rsidR="002B2F78" w:rsidRPr="00D8141D">
              <w:rPr>
                <w:rFonts w:cs="Calibri"/>
                <w:bCs/>
                <w:lang w:val="pt-BR"/>
              </w:rPr>
              <w:t xml:space="preserve">8 da Escritura de Emissão (este item não inclui eventual solicitação de </w:t>
            </w:r>
            <w:r w:rsidR="002B2F78" w:rsidRPr="00D8141D">
              <w:rPr>
                <w:rFonts w:cs="Calibri"/>
                <w:bCs/>
                <w:i/>
                <w:iCs/>
                <w:lang w:val="pt-BR"/>
              </w:rPr>
              <w:t>waiver</w:t>
            </w:r>
            <w:r w:rsidR="002B2F78" w:rsidRPr="00D8141D">
              <w:rPr>
                <w:rFonts w:cs="Calibri"/>
                <w:bCs/>
                <w:lang w:val="pt-BR"/>
              </w:rPr>
              <w:t xml:space="preserve"> prévio aos Debenturistas, que deverá observar o quórum geral previsto acima); ou (x) alteração das obrigações adicionais da Emissora estabelecidas na Cláusula 9 da Escritura de Emissão</w:t>
            </w:r>
            <w:r w:rsidRPr="00D8141D">
              <w:rPr>
                <w:rFonts w:cs="Calibri"/>
                <w:lang w:val="pt-BR"/>
              </w:rPr>
              <w:t>, dependerão da aprovação, tanto em primeira quanto em segunda convocações, por Debenturistas que representem, no mínimo, 75% (setenta e cinco por cento) das Debêntures em Circulação</w:t>
            </w:r>
            <w:r w:rsidR="002B2F78" w:rsidRPr="00D8141D">
              <w:rPr>
                <w:rFonts w:cs="Calibri"/>
                <w:lang w:val="pt-BR"/>
              </w:rPr>
              <w:t xml:space="preserve"> das Debêntures da Primeira Série e/ou das Debêntures da Segunda Série, conforme aplicável</w:t>
            </w:r>
            <w:r w:rsidRPr="00D8141D">
              <w:rPr>
                <w:rFonts w:cs="Calibri"/>
                <w:lang w:val="pt-BR"/>
              </w:rPr>
              <w:t>.</w:t>
            </w:r>
          </w:p>
          <w:p w14:paraId="26762562" w14:textId="7E168769" w:rsidR="000C62AA" w:rsidRPr="00D8141D" w:rsidRDefault="000C62AA" w:rsidP="000C62AA">
            <w:pPr>
              <w:pStyle w:val="HOMEBRBodyText"/>
              <w:widowControl w:val="0"/>
              <w:tabs>
                <w:tab w:val="left" w:pos="690"/>
              </w:tabs>
              <w:spacing w:after="140" w:line="290" w:lineRule="auto"/>
              <w:jc w:val="both"/>
              <w:rPr>
                <w:rFonts w:cs="Calibri"/>
                <w:lang w:val="pt-BR"/>
              </w:rPr>
            </w:pPr>
            <w:r w:rsidRPr="00D8141D">
              <w:rPr>
                <w:rFonts w:eastAsia="Calibri" w:cs="Calibri"/>
                <w:b/>
                <w:lang w:val="pt-BR"/>
              </w:rPr>
              <w:t xml:space="preserve">Para mais informações acerca dos quóruns de deliberação das Assembleias Gerais de Debenturistas, veja seção “Informações Relacionadas à Emissão, à Oferta e às Debêntures – Assembleia Geral de Debenturistas”, na página </w:t>
            </w:r>
            <w:r w:rsidR="00FF58EC" w:rsidRPr="00D8141D">
              <w:rPr>
                <w:rFonts w:eastAsia="Calibri" w:cs="Calibri"/>
                <w:b/>
                <w:noProof/>
                <w:lang w:val="pt-BR"/>
              </w:rPr>
              <w:fldChar w:fldCharType="begin"/>
            </w:r>
            <w:r w:rsidR="00FF58EC" w:rsidRPr="00D8141D">
              <w:rPr>
                <w:rFonts w:eastAsia="Calibri" w:cs="Calibri"/>
                <w:b/>
                <w:lang w:val="pt-BR"/>
              </w:rPr>
              <w:instrText xml:space="preserve"> PAGEREF _Ref90059824 \h </w:instrText>
            </w:r>
            <w:r w:rsidR="00FF58EC" w:rsidRPr="00D8141D">
              <w:rPr>
                <w:rFonts w:eastAsia="Calibri" w:cs="Calibri"/>
                <w:b/>
                <w:noProof/>
                <w:lang w:val="pt-BR"/>
              </w:rPr>
            </w:r>
            <w:r w:rsidR="00FF58EC" w:rsidRPr="00D8141D">
              <w:rPr>
                <w:rFonts w:eastAsia="Calibri" w:cs="Calibri"/>
                <w:b/>
                <w:noProof/>
                <w:lang w:val="pt-BR"/>
              </w:rPr>
              <w:fldChar w:fldCharType="separate"/>
            </w:r>
            <w:r w:rsidR="001166EA">
              <w:rPr>
                <w:rFonts w:eastAsia="Calibri" w:cs="Calibri"/>
                <w:b/>
                <w:noProof/>
                <w:lang w:val="pt-BR"/>
              </w:rPr>
              <w:t>102</w:t>
            </w:r>
            <w:r w:rsidR="00FF58EC" w:rsidRPr="00D8141D">
              <w:rPr>
                <w:rFonts w:eastAsia="Calibri" w:cs="Calibri"/>
                <w:b/>
                <w:noProof/>
                <w:lang w:val="pt-BR"/>
              </w:rPr>
              <w:fldChar w:fldCharType="end"/>
            </w:r>
            <w:r w:rsidRPr="00D8141D">
              <w:rPr>
                <w:rFonts w:eastAsia="Calibri" w:cs="Calibri"/>
                <w:b/>
                <w:lang w:val="pt-BR"/>
              </w:rPr>
              <w:t xml:space="preserve"> deste Prospecto.</w:t>
            </w:r>
          </w:p>
        </w:tc>
      </w:tr>
      <w:tr w:rsidR="000C62AA" w:rsidRPr="0082022E" w14:paraId="3B3E8343" w14:textId="77777777" w:rsidTr="003E13AA">
        <w:tc>
          <w:tcPr>
            <w:tcW w:w="1345" w:type="pct"/>
            <w:shd w:val="clear" w:color="auto" w:fill="auto"/>
          </w:tcPr>
          <w:p w14:paraId="0C474F40"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Regime de Colocação</w:t>
            </w:r>
          </w:p>
        </w:tc>
        <w:tc>
          <w:tcPr>
            <w:tcW w:w="3655" w:type="pct"/>
            <w:shd w:val="clear" w:color="auto" w:fill="auto"/>
          </w:tcPr>
          <w:p w14:paraId="26B807C5" w14:textId="77777777" w:rsidR="000C62AA" w:rsidRPr="00D8141D" w:rsidRDefault="000C62AA" w:rsidP="000C62AA">
            <w:pPr>
              <w:pStyle w:val="HOMEBRBodyText"/>
              <w:spacing w:after="140" w:line="290" w:lineRule="auto"/>
              <w:jc w:val="both"/>
              <w:rPr>
                <w:rFonts w:cs="Calibri"/>
                <w:lang w:val="pt-BR"/>
              </w:rPr>
            </w:pPr>
            <w:r w:rsidRPr="00D8141D">
              <w:rPr>
                <w:rFonts w:cs="Calibri"/>
                <w:lang w:val="pt-BR"/>
              </w:rPr>
              <w:t>Cumpridas as Condições Precedentes listadas no Contrato de Distribuição</w:t>
            </w:r>
            <w:r w:rsidR="00C02CC2" w:rsidRPr="00D8141D">
              <w:rPr>
                <w:rFonts w:cs="Calibri"/>
                <w:lang w:val="pt-BR"/>
              </w:rPr>
              <w:t xml:space="preserve"> e no Primeiro Aditamento ao</w:t>
            </w:r>
            <w:r w:rsidRPr="00D8141D">
              <w:rPr>
                <w:rFonts w:cs="Calibri"/>
                <w:lang w:val="pt-BR"/>
              </w:rPr>
              <w:t xml:space="preserve"> Contrato de Distribuição, o Coordenador Líder realizará a Oferta, de acordo com o Plano de Distribuição, sob regime de garantia firme </w:t>
            </w:r>
            <w:r w:rsidR="0002069B" w:rsidRPr="00D8141D">
              <w:rPr>
                <w:rFonts w:cs="Calibri"/>
                <w:lang w:val="pt-BR"/>
              </w:rPr>
              <w:t>no montante total de R$1.000.000.000,00 (um bilhão de reais)</w:t>
            </w:r>
            <w:r w:rsidRPr="00D8141D">
              <w:rPr>
                <w:rFonts w:cs="Calibri"/>
                <w:lang w:val="pt-BR"/>
              </w:rPr>
              <w:t xml:space="preserve"> (“</w:t>
            </w:r>
            <w:r w:rsidRPr="00D8141D">
              <w:rPr>
                <w:rFonts w:cs="Calibri"/>
                <w:bCs/>
                <w:u w:val="single"/>
                <w:lang w:val="pt-BR"/>
              </w:rPr>
              <w:t>Garantia Firme</w:t>
            </w:r>
            <w:r w:rsidRPr="00D8141D">
              <w:rPr>
                <w:rFonts w:cs="Calibri"/>
                <w:lang w:val="pt-BR"/>
              </w:rPr>
              <w:t>”).</w:t>
            </w:r>
          </w:p>
          <w:p w14:paraId="7D0EC8E9" w14:textId="12A814D7" w:rsidR="000C62AA" w:rsidRPr="00D8141D" w:rsidRDefault="000C62AA" w:rsidP="000C62AA">
            <w:pPr>
              <w:pStyle w:val="HOMEBRBodyText"/>
              <w:widowControl w:val="0"/>
              <w:spacing w:after="140" w:line="290" w:lineRule="auto"/>
              <w:jc w:val="both"/>
              <w:rPr>
                <w:rFonts w:cs="Calibri"/>
                <w:lang w:val="pt-BR"/>
              </w:rPr>
            </w:pPr>
            <w:r w:rsidRPr="00D8141D">
              <w:rPr>
                <w:rFonts w:eastAsia="Calibri" w:cs="Calibri"/>
                <w:b/>
                <w:lang w:val="pt-BR"/>
              </w:rPr>
              <w:t xml:space="preserve">Para mais informações acerca do Regime de Colocação, veja a seção “Informações Relativas à Emissão, à Oferta e às Debêntures – Contrato de Distribuição – Regime de Colocação”, na página </w:t>
            </w:r>
            <w:r w:rsidR="0063390C" w:rsidRPr="00D8141D">
              <w:rPr>
                <w:rFonts w:eastAsia="Calibri" w:cs="Calibri"/>
                <w:b/>
                <w:noProof/>
                <w:lang w:val="pt-BR"/>
              </w:rPr>
              <w:fldChar w:fldCharType="begin"/>
            </w:r>
            <w:r w:rsidR="0063390C" w:rsidRPr="00D8141D">
              <w:rPr>
                <w:rFonts w:eastAsia="Calibri" w:cs="Calibri"/>
                <w:b/>
                <w:lang w:val="pt-BR"/>
              </w:rPr>
              <w:instrText xml:space="preserve"> PAGEREF _Ref434934462 \h </w:instrText>
            </w:r>
            <w:r w:rsidR="0063390C" w:rsidRPr="00D8141D">
              <w:rPr>
                <w:rFonts w:eastAsia="Calibri" w:cs="Calibri"/>
                <w:b/>
                <w:noProof/>
                <w:lang w:val="pt-BR"/>
              </w:rPr>
            </w:r>
            <w:r w:rsidR="0063390C" w:rsidRPr="00D8141D">
              <w:rPr>
                <w:rFonts w:eastAsia="Calibri" w:cs="Calibri"/>
                <w:b/>
                <w:noProof/>
                <w:lang w:val="pt-BR"/>
              </w:rPr>
              <w:fldChar w:fldCharType="separate"/>
            </w:r>
            <w:r w:rsidR="001166EA">
              <w:rPr>
                <w:rFonts w:eastAsia="Calibri" w:cs="Calibri"/>
                <w:b/>
                <w:noProof/>
                <w:lang w:val="pt-BR"/>
              </w:rPr>
              <w:t>113</w:t>
            </w:r>
            <w:r w:rsidR="0063390C" w:rsidRPr="00D8141D">
              <w:rPr>
                <w:rFonts w:eastAsia="Calibri" w:cs="Calibri"/>
                <w:b/>
                <w:noProof/>
                <w:lang w:val="pt-BR"/>
              </w:rPr>
              <w:fldChar w:fldCharType="end"/>
            </w:r>
            <w:r w:rsidRPr="00D8141D">
              <w:rPr>
                <w:rFonts w:eastAsia="Calibri" w:cs="Calibri"/>
                <w:b/>
                <w:lang w:val="pt-BR"/>
              </w:rPr>
              <w:t xml:space="preserve"> deste Prospecto.</w:t>
            </w:r>
          </w:p>
        </w:tc>
      </w:tr>
      <w:tr w:rsidR="000C62AA" w:rsidRPr="0082022E" w14:paraId="563FE18D" w14:textId="77777777" w:rsidTr="003E13AA">
        <w:tc>
          <w:tcPr>
            <w:tcW w:w="1345" w:type="pct"/>
            <w:shd w:val="clear" w:color="auto" w:fill="auto"/>
          </w:tcPr>
          <w:p w14:paraId="683E7B7A"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Registro na CVM</w:t>
            </w:r>
          </w:p>
        </w:tc>
        <w:tc>
          <w:tcPr>
            <w:tcW w:w="3655" w:type="pct"/>
            <w:shd w:val="clear" w:color="auto" w:fill="auto"/>
          </w:tcPr>
          <w:p w14:paraId="4013E4DE" w14:textId="77777777" w:rsidR="000C62AA" w:rsidRPr="00D8141D" w:rsidRDefault="000C62AA" w:rsidP="000C62AA">
            <w:pPr>
              <w:pStyle w:val="HOMEBRBodyText"/>
              <w:widowControl w:val="0"/>
              <w:spacing w:after="140" w:line="290" w:lineRule="auto"/>
              <w:jc w:val="both"/>
              <w:rPr>
                <w:rFonts w:cs="Calibri"/>
                <w:lang w:val="pt-BR"/>
              </w:rPr>
            </w:pPr>
            <w:r w:rsidRPr="00D8141D">
              <w:rPr>
                <w:rFonts w:cs="Calibri"/>
                <w:spacing w:val="2"/>
                <w:lang w:val="pt-BR"/>
              </w:rPr>
              <w:t xml:space="preserve">Registro na categoria “A” obtido em </w:t>
            </w:r>
            <w:r w:rsidR="00EC54AC" w:rsidRPr="00D8141D">
              <w:rPr>
                <w:rFonts w:eastAsia="Calibri" w:cs="Calibri"/>
              </w:rPr>
              <w:t>07</w:t>
            </w:r>
            <w:r w:rsidRPr="00D8141D">
              <w:rPr>
                <w:rFonts w:cs="Calibri"/>
                <w:spacing w:val="2"/>
                <w:lang w:val="pt-BR"/>
              </w:rPr>
              <w:t xml:space="preserve"> de </w:t>
            </w:r>
            <w:r w:rsidR="00EC54AC" w:rsidRPr="00D8141D">
              <w:rPr>
                <w:rFonts w:cs="Calibri"/>
                <w:spacing w:val="2"/>
              </w:rPr>
              <w:t>fevereiro</w:t>
            </w:r>
            <w:r w:rsidRPr="00D8141D">
              <w:rPr>
                <w:rFonts w:cs="Calibri"/>
                <w:spacing w:val="2"/>
                <w:lang w:val="pt-BR"/>
              </w:rPr>
              <w:t xml:space="preserve"> de </w:t>
            </w:r>
            <w:r w:rsidR="00EC54AC" w:rsidRPr="00D8141D">
              <w:rPr>
                <w:rFonts w:eastAsia="Calibri" w:cs="Calibri"/>
              </w:rPr>
              <w:t>2007</w:t>
            </w:r>
            <w:r w:rsidR="00EC54AC" w:rsidRPr="00D8141D">
              <w:rPr>
                <w:rFonts w:cs="Calibri"/>
                <w:spacing w:val="2"/>
              </w:rPr>
              <w:t>.</w:t>
            </w:r>
          </w:p>
        </w:tc>
      </w:tr>
      <w:tr w:rsidR="000C62AA" w:rsidRPr="0082022E" w14:paraId="313E503A" w14:textId="77777777" w:rsidTr="003E13AA">
        <w:tc>
          <w:tcPr>
            <w:tcW w:w="1345" w:type="pct"/>
            <w:shd w:val="clear" w:color="auto" w:fill="auto"/>
          </w:tcPr>
          <w:p w14:paraId="6BBCD44F"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Remuneração das Debêntures da Primeira Série</w:t>
            </w:r>
          </w:p>
        </w:tc>
        <w:tc>
          <w:tcPr>
            <w:tcW w:w="3655" w:type="pct"/>
            <w:shd w:val="clear" w:color="auto" w:fill="auto"/>
          </w:tcPr>
          <w:p w14:paraId="4629BEBA" w14:textId="77777777" w:rsidR="009801B7" w:rsidRPr="00D8141D" w:rsidRDefault="009801B7" w:rsidP="00754CAC">
            <w:pPr>
              <w:pStyle w:val="HOMEBRBodyText"/>
              <w:keepLines w:val="0"/>
              <w:widowControl w:val="0"/>
              <w:spacing w:after="140"/>
              <w:jc w:val="both"/>
              <w:rPr>
                <w:rFonts w:cs="Calibri"/>
                <w:bCs/>
                <w:i/>
                <w:lang w:val="pt-BR"/>
              </w:rPr>
            </w:pPr>
            <w:r w:rsidRPr="0020727A">
              <w:rPr>
                <w:lang w:val="pt-BR"/>
              </w:rPr>
              <w:t xml:space="preserve">Sobre o Valor Nominal </w:t>
            </w:r>
            <w:r w:rsidR="009D09A0">
              <w:rPr>
                <w:lang w:val="pt-BR"/>
              </w:rPr>
              <w:t xml:space="preserve">Unitário </w:t>
            </w:r>
            <w:r w:rsidRPr="0020727A">
              <w:rPr>
                <w:lang w:val="pt-BR"/>
              </w:rPr>
              <w:t>Atualizado das Debêntures</w:t>
            </w:r>
            <w:r w:rsidRPr="00D8141D">
              <w:rPr>
                <w:rFonts w:cs="Calibri"/>
                <w:bCs/>
                <w:iCs/>
                <w:lang w:val="pt-BR"/>
              </w:rPr>
              <w:t xml:space="preserve"> da Primeira Série</w:t>
            </w:r>
            <w:r w:rsidR="004B4FD8" w:rsidRPr="0020727A">
              <w:rPr>
                <w:lang w:val="pt-BR"/>
              </w:rPr>
              <w:t>,</w:t>
            </w:r>
            <w:r w:rsidRPr="0020727A">
              <w:rPr>
                <w:lang w:val="pt-BR"/>
              </w:rPr>
              <w:t xml:space="preserve"> incidirão juros remuneratórios correspondentes a </w:t>
            </w:r>
            <w:r w:rsidR="007B23C4" w:rsidRPr="007B23C4">
              <w:rPr>
                <w:lang w:val="pt-BR"/>
              </w:rPr>
              <w:t>5,9741% (cinco inteiros e nove mil setecentos e quarenta e um décimos de milésimos por cento)</w:t>
            </w:r>
            <w:r w:rsidR="00E76ACF" w:rsidRPr="00E76ACF">
              <w:rPr>
                <w:lang w:val="pt-BR"/>
              </w:rPr>
              <w:t xml:space="preserve"> ao ano, base 252 Dias Úteis</w:t>
            </w:r>
            <w:r w:rsidRPr="00D8141D">
              <w:rPr>
                <w:rFonts w:cs="Calibri"/>
                <w:bCs/>
                <w:iCs/>
                <w:lang w:val="pt-BR"/>
              </w:rPr>
              <w:t>.</w:t>
            </w:r>
          </w:p>
          <w:p w14:paraId="4A86D24A" w14:textId="4C9F697C" w:rsidR="000C62AA" w:rsidRPr="00D8141D" w:rsidRDefault="000C62AA" w:rsidP="000C62AA">
            <w:pPr>
              <w:pStyle w:val="HOMEBRBodyText"/>
              <w:widowControl w:val="0"/>
              <w:spacing w:after="140" w:line="290" w:lineRule="auto"/>
              <w:jc w:val="both"/>
              <w:rPr>
                <w:rFonts w:cs="Calibri"/>
                <w:spacing w:val="2"/>
                <w:lang w:val="pt-BR"/>
              </w:rPr>
            </w:pPr>
            <w:r w:rsidRPr="00D8141D">
              <w:rPr>
                <w:rFonts w:eastAsia="Calibri" w:cs="Calibri"/>
                <w:b/>
                <w:lang w:val="pt-BR"/>
              </w:rPr>
              <w:t xml:space="preserve">Para mais informações, veja a seção “Informações Relativas à Emissão, à Oferta e às Debêntures – </w:t>
            </w:r>
            <w:r w:rsidRPr="00D8141D">
              <w:rPr>
                <w:rFonts w:eastAsia="Calibri" w:cs="Calibri"/>
                <w:b/>
                <w:color w:val="000000"/>
                <w:lang w:val="pt-BR"/>
              </w:rPr>
              <w:t xml:space="preserve">Características da Emissão - Remuneração das Debêntures” na página </w:t>
            </w:r>
            <w:r w:rsidR="004E03DE" w:rsidRPr="00D8141D">
              <w:rPr>
                <w:rFonts w:eastAsia="Calibri" w:cs="Calibri"/>
                <w:b/>
                <w:noProof/>
                <w:color w:val="000000"/>
                <w:lang w:val="pt-BR"/>
              </w:rPr>
              <w:fldChar w:fldCharType="begin"/>
            </w:r>
            <w:r w:rsidR="004E03DE" w:rsidRPr="00D8141D">
              <w:rPr>
                <w:rFonts w:eastAsia="Calibri" w:cs="Calibri"/>
                <w:b/>
                <w:color w:val="000000"/>
                <w:lang w:val="pt-BR"/>
              </w:rPr>
              <w:instrText xml:space="preserve"> PAGEREF _Ref90216785 \h </w:instrText>
            </w:r>
            <w:r w:rsidR="004E03DE" w:rsidRPr="00D8141D">
              <w:rPr>
                <w:rFonts w:eastAsia="Calibri" w:cs="Calibri"/>
                <w:b/>
                <w:noProof/>
                <w:color w:val="000000"/>
                <w:lang w:val="pt-BR"/>
              </w:rPr>
            </w:r>
            <w:r w:rsidR="004E03DE" w:rsidRPr="00D8141D">
              <w:rPr>
                <w:rFonts w:eastAsia="Calibri" w:cs="Calibri"/>
                <w:b/>
                <w:noProof/>
                <w:color w:val="000000"/>
                <w:lang w:val="pt-BR"/>
              </w:rPr>
              <w:fldChar w:fldCharType="separate"/>
            </w:r>
            <w:r w:rsidR="001166EA">
              <w:rPr>
                <w:rFonts w:eastAsia="Calibri" w:cs="Calibri"/>
                <w:b/>
                <w:noProof/>
                <w:color w:val="000000"/>
                <w:lang w:val="pt-BR"/>
              </w:rPr>
              <w:t>79</w:t>
            </w:r>
            <w:r w:rsidR="004E03DE" w:rsidRPr="00D8141D">
              <w:rPr>
                <w:rFonts w:eastAsia="Calibri" w:cs="Calibri"/>
                <w:b/>
                <w:noProof/>
                <w:color w:val="000000"/>
                <w:lang w:val="pt-BR"/>
              </w:rPr>
              <w:fldChar w:fldCharType="end"/>
            </w:r>
            <w:r w:rsidRPr="00D8141D">
              <w:rPr>
                <w:rFonts w:eastAsia="Calibri" w:cs="Calibri"/>
                <w:b/>
                <w:color w:val="FF0000"/>
                <w:lang w:val="pt-BR"/>
              </w:rPr>
              <w:t xml:space="preserve"> </w:t>
            </w:r>
            <w:r w:rsidRPr="00D8141D">
              <w:rPr>
                <w:rFonts w:eastAsia="Calibri" w:cs="Calibri"/>
                <w:b/>
                <w:lang w:val="pt-BR"/>
              </w:rPr>
              <w:t xml:space="preserve">deste Prospecto. </w:t>
            </w:r>
          </w:p>
        </w:tc>
      </w:tr>
      <w:tr w:rsidR="000C62AA" w:rsidRPr="0082022E" w14:paraId="57B421B5" w14:textId="77777777" w:rsidTr="003E13AA">
        <w:tc>
          <w:tcPr>
            <w:tcW w:w="1345" w:type="pct"/>
            <w:shd w:val="clear" w:color="auto" w:fill="auto"/>
          </w:tcPr>
          <w:p w14:paraId="3E9897C3" w14:textId="77777777" w:rsidR="000C62AA" w:rsidRPr="00D8141D" w:rsidRDefault="000C62AA" w:rsidP="000C62AA">
            <w:pPr>
              <w:pStyle w:val="HOMEBRBodyText"/>
              <w:keepLines w:val="0"/>
              <w:widowControl w:val="0"/>
              <w:spacing w:after="140" w:line="290" w:lineRule="auto"/>
              <w:rPr>
                <w:rFonts w:eastAsia="Calibri" w:cs="Calibri"/>
                <w:b/>
                <w:lang w:val="pt-BR"/>
              </w:rPr>
            </w:pPr>
            <w:r w:rsidRPr="00D8141D">
              <w:rPr>
                <w:rFonts w:eastAsia="Calibri" w:cs="Calibri"/>
                <w:b/>
                <w:lang w:val="pt-BR"/>
              </w:rPr>
              <w:t>Remuneração das Debêntures da Segunda Série</w:t>
            </w:r>
          </w:p>
        </w:tc>
        <w:tc>
          <w:tcPr>
            <w:tcW w:w="3655" w:type="pct"/>
            <w:shd w:val="clear" w:color="auto" w:fill="auto"/>
          </w:tcPr>
          <w:p w14:paraId="7F02F3BF" w14:textId="77777777" w:rsidR="000C62AA" w:rsidRPr="00D8141D" w:rsidRDefault="009801B7" w:rsidP="000C62AA">
            <w:pPr>
              <w:pStyle w:val="HOMEBRBodyText"/>
              <w:keepLines w:val="0"/>
              <w:widowControl w:val="0"/>
              <w:spacing w:after="140" w:line="290" w:lineRule="auto"/>
              <w:jc w:val="both"/>
              <w:rPr>
                <w:rFonts w:cs="Calibri"/>
                <w:bCs/>
                <w:iCs/>
                <w:lang w:val="pt-BR"/>
              </w:rPr>
            </w:pPr>
            <w:r w:rsidRPr="00D8141D">
              <w:rPr>
                <w:rFonts w:cs="Calibri"/>
                <w:lang w:val="pt-BR"/>
              </w:rPr>
              <w:t>S</w:t>
            </w:r>
            <w:r w:rsidRPr="00D8141D">
              <w:rPr>
                <w:rFonts w:cs="Calibri"/>
                <w:bCs/>
                <w:iCs/>
                <w:lang w:val="pt-BR"/>
              </w:rPr>
              <w:t xml:space="preserve">obre o Valor Nominal </w:t>
            </w:r>
            <w:r w:rsidR="009D09A0">
              <w:rPr>
                <w:lang w:val="pt-BR"/>
              </w:rPr>
              <w:t xml:space="preserve">Unitário </w:t>
            </w:r>
            <w:r w:rsidRPr="00D8141D">
              <w:rPr>
                <w:rFonts w:cs="Calibri"/>
                <w:bCs/>
                <w:iCs/>
                <w:lang w:val="pt-BR"/>
              </w:rPr>
              <w:t>Atualizado das Debêntures da Segunda Série</w:t>
            </w:r>
            <w:r w:rsidR="004B4FD8" w:rsidRPr="00D8141D">
              <w:rPr>
                <w:rFonts w:cs="Calibri"/>
                <w:bCs/>
                <w:iCs/>
                <w:lang w:val="pt-BR"/>
              </w:rPr>
              <w:t>,</w:t>
            </w:r>
            <w:r w:rsidRPr="00D8141D">
              <w:rPr>
                <w:rFonts w:cs="Calibri"/>
                <w:bCs/>
                <w:iCs/>
                <w:lang w:val="pt-BR"/>
              </w:rPr>
              <w:t xml:space="preserve"> incidirão juros remuneratórios correspondentes a </w:t>
            </w:r>
            <w:r w:rsidR="007B23C4" w:rsidRPr="00D8141D">
              <w:rPr>
                <w:rFonts w:cs="Calibri"/>
                <w:lang w:val="pt-BR"/>
              </w:rPr>
              <w:t>6,1076% (seis inteiros e mil e setenta e seis décimos de milésimos por cento)</w:t>
            </w:r>
            <w:r w:rsidR="00E76ACF" w:rsidRPr="00D8141D">
              <w:rPr>
                <w:rFonts w:cs="Calibri"/>
                <w:lang w:val="pt-BR"/>
              </w:rPr>
              <w:t>, base 252 Dias Úteis</w:t>
            </w:r>
            <w:r w:rsidR="000C62AA" w:rsidRPr="00D8141D">
              <w:rPr>
                <w:rFonts w:cs="Calibri"/>
                <w:bCs/>
                <w:iCs/>
                <w:lang w:val="pt-BR"/>
              </w:rPr>
              <w:t>.</w:t>
            </w:r>
          </w:p>
          <w:p w14:paraId="2F4DD369" w14:textId="4FB9275A" w:rsidR="000C62AA" w:rsidRPr="00D8141D" w:rsidRDefault="000C62AA" w:rsidP="000C62AA">
            <w:pPr>
              <w:pStyle w:val="HOMEBRBodyText"/>
              <w:keepLines w:val="0"/>
              <w:widowControl w:val="0"/>
              <w:spacing w:after="140" w:line="290" w:lineRule="auto"/>
              <w:jc w:val="both"/>
              <w:rPr>
                <w:rFonts w:eastAsia="Calibri" w:cs="Calibri"/>
                <w:bCs/>
                <w:lang w:val="pt-BR"/>
              </w:rPr>
            </w:pPr>
            <w:r w:rsidRPr="00D8141D">
              <w:rPr>
                <w:rFonts w:eastAsia="Calibri" w:cs="Calibri"/>
                <w:b/>
                <w:lang w:val="pt-BR"/>
              </w:rPr>
              <w:t xml:space="preserve">Para mais informações, veja a seção “Informações Relativas à Emissão, à Oferta e às Debêntures – Características da Emissão - </w:t>
            </w:r>
            <w:r w:rsidRPr="00D8141D">
              <w:rPr>
                <w:rFonts w:eastAsia="Calibri" w:cs="Calibri"/>
                <w:b/>
                <w:color w:val="000000"/>
                <w:lang w:val="pt-BR"/>
              </w:rPr>
              <w:t xml:space="preserve">Remuneração das Debêntures” na página </w:t>
            </w:r>
            <w:r w:rsidR="004E03DE" w:rsidRPr="00D8141D">
              <w:rPr>
                <w:rFonts w:eastAsia="Calibri" w:cs="Calibri"/>
                <w:b/>
                <w:noProof/>
                <w:color w:val="000000"/>
                <w:lang w:val="pt-BR"/>
              </w:rPr>
              <w:fldChar w:fldCharType="begin"/>
            </w:r>
            <w:r w:rsidR="004E03DE" w:rsidRPr="00D8141D">
              <w:rPr>
                <w:rFonts w:eastAsia="Calibri" w:cs="Calibri"/>
                <w:b/>
                <w:color w:val="000000"/>
                <w:lang w:val="pt-BR"/>
              </w:rPr>
              <w:instrText xml:space="preserve"> PAGEREF _Ref90216785 \h </w:instrText>
            </w:r>
            <w:r w:rsidR="004E03DE" w:rsidRPr="00D8141D">
              <w:rPr>
                <w:rFonts w:eastAsia="Calibri" w:cs="Calibri"/>
                <w:b/>
                <w:noProof/>
                <w:color w:val="000000"/>
                <w:lang w:val="pt-BR"/>
              </w:rPr>
            </w:r>
            <w:r w:rsidR="004E03DE" w:rsidRPr="00D8141D">
              <w:rPr>
                <w:rFonts w:eastAsia="Calibri" w:cs="Calibri"/>
                <w:b/>
                <w:noProof/>
                <w:color w:val="000000"/>
                <w:lang w:val="pt-BR"/>
              </w:rPr>
              <w:fldChar w:fldCharType="separate"/>
            </w:r>
            <w:r w:rsidR="001166EA">
              <w:rPr>
                <w:rFonts w:eastAsia="Calibri" w:cs="Calibri"/>
                <w:b/>
                <w:noProof/>
                <w:color w:val="000000"/>
                <w:lang w:val="pt-BR"/>
              </w:rPr>
              <w:t>79</w:t>
            </w:r>
            <w:r w:rsidR="004E03DE" w:rsidRPr="00D8141D">
              <w:rPr>
                <w:rFonts w:eastAsia="Calibri" w:cs="Calibri"/>
                <w:b/>
                <w:noProof/>
                <w:color w:val="000000"/>
                <w:lang w:val="pt-BR"/>
              </w:rPr>
              <w:fldChar w:fldCharType="end"/>
            </w:r>
            <w:r w:rsidRPr="00D8141D">
              <w:rPr>
                <w:rFonts w:eastAsia="Calibri" w:cs="Calibri"/>
                <w:b/>
                <w:color w:val="000000"/>
                <w:lang w:val="pt-BR"/>
              </w:rPr>
              <w:t xml:space="preserve"> </w:t>
            </w:r>
            <w:r w:rsidRPr="00D8141D">
              <w:rPr>
                <w:rFonts w:eastAsia="Calibri" w:cs="Calibri"/>
                <w:b/>
                <w:lang w:val="pt-BR"/>
              </w:rPr>
              <w:t>deste Prospecto</w:t>
            </w:r>
          </w:p>
        </w:tc>
      </w:tr>
      <w:tr w:rsidR="00020EC5" w:rsidRPr="0082022E" w14:paraId="3F8942B7" w14:textId="77777777" w:rsidTr="003E13AA">
        <w:tc>
          <w:tcPr>
            <w:tcW w:w="1345" w:type="pct"/>
            <w:shd w:val="clear" w:color="auto" w:fill="auto"/>
          </w:tcPr>
          <w:p w14:paraId="347E104B" w14:textId="77777777" w:rsidR="00020EC5" w:rsidRPr="00D8141D" w:rsidRDefault="00020EC5" w:rsidP="00020EC5">
            <w:pPr>
              <w:pStyle w:val="HOMEBRBodyText"/>
              <w:keepLines w:val="0"/>
              <w:widowControl w:val="0"/>
              <w:spacing w:after="140" w:line="290" w:lineRule="auto"/>
              <w:rPr>
                <w:rFonts w:eastAsia="Calibri" w:cs="Calibri"/>
                <w:b/>
                <w:lang w:val="pt-BR"/>
              </w:rPr>
            </w:pPr>
            <w:r w:rsidRPr="00D8141D">
              <w:rPr>
                <w:rFonts w:eastAsia="Calibri" w:cs="Calibri"/>
                <w:b/>
                <w:lang w:val="pt-BR"/>
              </w:rPr>
              <w:t>Repactuação Programada</w:t>
            </w:r>
          </w:p>
        </w:tc>
        <w:tc>
          <w:tcPr>
            <w:tcW w:w="3655" w:type="pct"/>
            <w:shd w:val="clear" w:color="auto" w:fill="auto"/>
          </w:tcPr>
          <w:p w14:paraId="6343EA88" w14:textId="77777777" w:rsidR="00020EC5" w:rsidRPr="00D8141D" w:rsidRDefault="00020EC5" w:rsidP="00020EC5">
            <w:pPr>
              <w:pStyle w:val="HOMEBRBodyText"/>
              <w:keepLines w:val="0"/>
              <w:widowControl w:val="0"/>
              <w:spacing w:after="140" w:line="290" w:lineRule="auto"/>
              <w:jc w:val="both"/>
              <w:rPr>
                <w:rFonts w:cs="Calibri"/>
                <w:lang w:val="pt-BR"/>
              </w:rPr>
            </w:pPr>
            <w:r w:rsidRPr="00D8141D">
              <w:rPr>
                <w:rFonts w:cs="Calibri"/>
                <w:lang w:val="pt-BR"/>
              </w:rPr>
              <w:t>As Debêntures não serão objeto de repactuação programada.</w:t>
            </w:r>
          </w:p>
        </w:tc>
      </w:tr>
      <w:tr w:rsidR="00020EC5" w:rsidRPr="0082022E" w14:paraId="2B6484A2" w14:textId="77777777" w:rsidTr="003E13AA">
        <w:tc>
          <w:tcPr>
            <w:tcW w:w="1345" w:type="pct"/>
            <w:shd w:val="clear" w:color="auto" w:fill="auto"/>
          </w:tcPr>
          <w:p w14:paraId="0FD1421F" w14:textId="77777777" w:rsidR="00020EC5" w:rsidRPr="00D8141D" w:rsidRDefault="00020EC5" w:rsidP="00020EC5">
            <w:pPr>
              <w:pStyle w:val="HOMEBRBodyText"/>
              <w:keepLines w:val="0"/>
              <w:widowControl w:val="0"/>
              <w:spacing w:after="140" w:line="290" w:lineRule="auto"/>
              <w:rPr>
                <w:rFonts w:eastAsia="Calibri" w:cs="Calibri"/>
                <w:b/>
                <w:lang w:val="pt-BR"/>
              </w:rPr>
            </w:pPr>
            <w:r w:rsidRPr="00D8141D">
              <w:rPr>
                <w:rFonts w:eastAsia="Calibri" w:cs="Calibri"/>
                <w:b/>
                <w:lang w:val="pt-BR"/>
              </w:rPr>
              <w:t>Resgate Antecipado Facultativo</w:t>
            </w:r>
          </w:p>
        </w:tc>
        <w:tc>
          <w:tcPr>
            <w:tcW w:w="3655" w:type="pct"/>
            <w:shd w:val="clear" w:color="auto" w:fill="auto"/>
          </w:tcPr>
          <w:p w14:paraId="69E2585B" w14:textId="77777777" w:rsidR="00020EC5" w:rsidRPr="00D8141D" w:rsidRDefault="00020EC5" w:rsidP="00020EC5">
            <w:pPr>
              <w:pStyle w:val="HOMEBRBodyText"/>
              <w:keepLines w:val="0"/>
              <w:widowControl w:val="0"/>
              <w:spacing w:after="140" w:line="290" w:lineRule="auto"/>
              <w:jc w:val="both"/>
              <w:rPr>
                <w:rFonts w:cs="Calibri"/>
                <w:lang w:val="pt-BR"/>
              </w:rPr>
            </w:pPr>
            <w:r w:rsidRPr="00D8141D">
              <w:rPr>
                <w:rFonts w:cs="Calibri"/>
                <w:lang w:val="pt-BR"/>
              </w:rPr>
              <w:t>As Debêntures não estão sujeitas ao resgate antecipado facultativo total ou parcial.</w:t>
            </w:r>
          </w:p>
        </w:tc>
      </w:tr>
      <w:tr w:rsidR="00020EC5" w:rsidRPr="0082022E" w14:paraId="00A2FEAD" w14:textId="77777777" w:rsidTr="003E13AA">
        <w:tc>
          <w:tcPr>
            <w:tcW w:w="1345" w:type="pct"/>
            <w:shd w:val="clear" w:color="auto" w:fill="auto"/>
          </w:tcPr>
          <w:p w14:paraId="4A411211" w14:textId="77777777" w:rsidR="00020EC5" w:rsidRPr="00D8141D" w:rsidRDefault="00020EC5" w:rsidP="00020EC5">
            <w:pPr>
              <w:pStyle w:val="HOMEBRBodyText"/>
              <w:keepLines w:val="0"/>
              <w:widowControl w:val="0"/>
              <w:spacing w:after="140" w:line="290" w:lineRule="auto"/>
              <w:rPr>
                <w:rFonts w:eastAsia="Calibri" w:cs="Calibri"/>
                <w:b/>
                <w:lang w:val="pt-BR"/>
              </w:rPr>
            </w:pPr>
            <w:r w:rsidRPr="00D8141D">
              <w:rPr>
                <w:rFonts w:eastAsia="Calibri" w:cs="Calibri"/>
                <w:b/>
                <w:lang w:val="pt-BR"/>
              </w:rPr>
              <w:t>Sede</w:t>
            </w:r>
          </w:p>
        </w:tc>
        <w:tc>
          <w:tcPr>
            <w:tcW w:w="3655" w:type="pct"/>
            <w:shd w:val="clear" w:color="auto" w:fill="auto"/>
          </w:tcPr>
          <w:p w14:paraId="3D5F0080" w14:textId="77777777" w:rsidR="00020EC5" w:rsidRPr="00D8141D" w:rsidRDefault="00020EC5" w:rsidP="00020EC5">
            <w:pPr>
              <w:pStyle w:val="HOMEBRBodyText"/>
              <w:keepLines w:val="0"/>
              <w:widowControl w:val="0"/>
              <w:spacing w:after="140" w:line="290" w:lineRule="auto"/>
              <w:jc w:val="both"/>
              <w:rPr>
                <w:rFonts w:cs="Calibri"/>
                <w:lang w:val="pt-BR"/>
              </w:rPr>
            </w:pPr>
            <w:r w:rsidRPr="00D8141D">
              <w:rPr>
                <w:rFonts w:eastAsia="Calibri" w:cs="Calibri"/>
                <w:lang w:val="pt-BR"/>
              </w:rPr>
              <w:t xml:space="preserve">Cidade de </w:t>
            </w:r>
            <w:r w:rsidR="002B2F78" w:rsidRPr="00D8141D">
              <w:rPr>
                <w:rFonts w:eastAsia="Calibri" w:cs="Calibri"/>
                <w:lang w:val="pt-BR"/>
              </w:rPr>
              <w:t>Pradópolis</w:t>
            </w:r>
            <w:r w:rsidRPr="00D8141D">
              <w:rPr>
                <w:rFonts w:eastAsia="Calibri" w:cs="Calibri"/>
                <w:lang w:val="pt-BR"/>
              </w:rPr>
              <w:t>, Estado de São Paulo, na Fazenda São Martinho, s/n</w:t>
            </w:r>
            <w:r w:rsidRPr="00D8141D">
              <w:rPr>
                <w:rFonts w:cs="Calibri"/>
                <w:spacing w:val="2"/>
                <w:lang w:val="pt-BR"/>
              </w:rPr>
              <w:t>.</w:t>
            </w:r>
          </w:p>
        </w:tc>
      </w:tr>
      <w:tr w:rsidR="00020EC5" w:rsidRPr="0082022E" w14:paraId="0220FEA6" w14:textId="77777777" w:rsidTr="003E13AA">
        <w:tc>
          <w:tcPr>
            <w:tcW w:w="1345" w:type="pct"/>
            <w:shd w:val="clear" w:color="auto" w:fill="auto"/>
          </w:tcPr>
          <w:p w14:paraId="0810F3F7" w14:textId="77777777" w:rsidR="00020EC5" w:rsidRPr="00D8141D" w:rsidRDefault="00020EC5" w:rsidP="00020EC5">
            <w:pPr>
              <w:pStyle w:val="HOMEBRBodyText"/>
              <w:keepLines w:val="0"/>
              <w:widowControl w:val="0"/>
              <w:spacing w:after="140" w:line="290" w:lineRule="auto"/>
              <w:rPr>
                <w:rFonts w:eastAsia="Calibri" w:cs="Calibri"/>
                <w:b/>
                <w:lang w:val="pt-BR"/>
              </w:rPr>
            </w:pPr>
            <w:r w:rsidRPr="00D8141D">
              <w:rPr>
                <w:rFonts w:eastAsia="Calibri" w:cs="Calibri"/>
                <w:b/>
                <w:lang w:val="pt-BR"/>
              </w:rPr>
              <w:t>Valor Nominal Unitário</w:t>
            </w:r>
          </w:p>
        </w:tc>
        <w:tc>
          <w:tcPr>
            <w:tcW w:w="3655" w:type="pct"/>
            <w:shd w:val="clear" w:color="auto" w:fill="auto"/>
          </w:tcPr>
          <w:p w14:paraId="0D6BF84B" w14:textId="77777777" w:rsidR="00020EC5" w:rsidRPr="00D8141D" w:rsidRDefault="00020EC5" w:rsidP="00020EC5">
            <w:pPr>
              <w:pStyle w:val="HOMEBRBodyText"/>
              <w:keepLines w:val="0"/>
              <w:widowControl w:val="0"/>
              <w:spacing w:after="140" w:line="290" w:lineRule="auto"/>
              <w:jc w:val="both"/>
              <w:rPr>
                <w:rFonts w:eastAsia="Calibri" w:cs="Calibri"/>
                <w:lang w:val="pt-BR"/>
              </w:rPr>
            </w:pPr>
            <w:r w:rsidRPr="00D8141D">
              <w:rPr>
                <w:rFonts w:cs="Calibri"/>
                <w:lang w:val="pt-BR"/>
              </w:rPr>
              <w:t>O valor nominal unitário das Debêntures, na Data de Emissão, será de R$1.000,00 (mil reais).</w:t>
            </w:r>
          </w:p>
        </w:tc>
      </w:tr>
    </w:tbl>
    <w:p w14:paraId="46D5D446" w14:textId="77777777" w:rsidR="00566177" w:rsidRPr="00566CD3" w:rsidRDefault="00566177" w:rsidP="00EB3477">
      <w:pPr>
        <w:spacing w:line="14" w:lineRule="auto"/>
        <w:rPr>
          <w:sz w:val="2"/>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85"/>
        <w:gridCol w:w="6210"/>
      </w:tblGrid>
      <w:tr w:rsidR="00020EC5" w:rsidRPr="0082022E" w14:paraId="7B5EBDF6" w14:textId="77777777" w:rsidTr="003E13AA">
        <w:tc>
          <w:tcPr>
            <w:tcW w:w="1345" w:type="pct"/>
            <w:shd w:val="clear" w:color="auto" w:fill="auto"/>
          </w:tcPr>
          <w:p w14:paraId="143D58D7" w14:textId="77777777" w:rsidR="00020EC5" w:rsidRPr="00D8141D" w:rsidRDefault="00020EC5" w:rsidP="00020EC5">
            <w:pPr>
              <w:pStyle w:val="HOMEBRBodyText"/>
              <w:keepLines w:val="0"/>
              <w:widowControl w:val="0"/>
              <w:spacing w:after="140" w:line="290" w:lineRule="auto"/>
              <w:rPr>
                <w:rFonts w:eastAsia="Calibri" w:cs="Calibri"/>
                <w:b/>
                <w:lang w:val="pt-BR"/>
              </w:rPr>
            </w:pPr>
            <w:r w:rsidRPr="00D8141D">
              <w:rPr>
                <w:rFonts w:eastAsia="Calibri" w:cs="Calibri"/>
                <w:b/>
                <w:lang w:val="pt-BR"/>
              </w:rPr>
              <w:lastRenderedPageBreak/>
              <w:t>Valor Total da Emissão</w:t>
            </w:r>
          </w:p>
        </w:tc>
        <w:tc>
          <w:tcPr>
            <w:tcW w:w="3655" w:type="pct"/>
            <w:shd w:val="clear" w:color="auto" w:fill="auto"/>
          </w:tcPr>
          <w:p w14:paraId="1085E2E9" w14:textId="77777777" w:rsidR="00020EC5" w:rsidRPr="00D8141D" w:rsidRDefault="009801B7" w:rsidP="00020EC5">
            <w:pPr>
              <w:pStyle w:val="HOMEBRBodyText"/>
              <w:keepLines w:val="0"/>
              <w:widowControl w:val="0"/>
              <w:spacing w:after="140" w:line="290" w:lineRule="auto"/>
              <w:jc w:val="both"/>
              <w:rPr>
                <w:rFonts w:eastAsia="Calibri" w:cs="Calibri"/>
                <w:lang w:val="pt-BR"/>
              </w:rPr>
            </w:pPr>
            <w:r w:rsidRPr="0020727A">
              <w:rPr>
                <w:lang w:val="pt-BR"/>
              </w:rPr>
              <w:t>O valor total da Emissão será de R$</w:t>
            </w:r>
            <w:r w:rsidRPr="00D8141D">
              <w:rPr>
                <w:rFonts w:cs="Calibri"/>
                <w:lang w:val="pt-BR"/>
              </w:rPr>
              <w:t>1</w:t>
            </w:r>
            <w:r w:rsidRPr="0020727A">
              <w:rPr>
                <w:lang w:val="pt-BR"/>
              </w:rPr>
              <w:t>.</w:t>
            </w:r>
            <w:r w:rsidR="007B23C4" w:rsidRPr="00D8141D">
              <w:rPr>
                <w:rFonts w:cs="Calibri"/>
                <w:lang w:val="pt-BR"/>
              </w:rPr>
              <w:t>200.</w:t>
            </w:r>
            <w:r w:rsidRPr="0020727A">
              <w:rPr>
                <w:lang w:val="pt-BR"/>
              </w:rPr>
              <w:t>000.000,00 (</w:t>
            </w:r>
            <w:r w:rsidRPr="00D8141D">
              <w:rPr>
                <w:rFonts w:cs="Calibri"/>
                <w:lang w:val="pt-BR"/>
              </w:rPr>
              <w:t>um bilhão</w:t>
            </w:r>
            <w:r w:rsidR="007B23C4" w:rsidRPr="00D8141D">
              <w:rPr>
                <w:rFonts w:cs="Calibri"/>
                <w:lang w:val="pt-BR"/>
              </w:rPr>
              <w:t xml:space="preserve"> e duzentos milhões</w:t>
            </w:r>
            <w:r w:rsidRPr="0020727A">
              <w:rPr>
                <w:lang w:val="pt-BR"/>
              </w:rPr>
              <w:t xml:space="preserve"> de reais), na Data de Emissão (“</w:t>
            </w:r>
            <w:r w:rsidRPr="0020727A">
              <w:rPr>
                <w:u w:val="single"/>
                <w:lang w:val="pt-BR"/>
              </w:rPr>
              <w:t>Valor Total da Emissão</w:t>
            </w:r>
            <w:r w:rsidRPr="00D8141D">
              <w:rPr>
                <w:rFonts w:cs="Calibri"/>
                <w:lang w:val="pt-BR"/>
              </w:rPr>
              <w:t xml:space="preserve">”), </w:t>
            </w:r>
            <w:r w:rsidR="005B1DD4" w:rsidRPr="00D8141D">
              <w:rPr>
                <w:rFonts w:cs="Calibri"/>
                <w:lang w:val="pt-BR"/>
              </w:rPr>
              <w:t xml:space="preserve">observado que o valor originalmente ofertado </w:t>
            </w:r>
            <w:r w:rsidR="00E76ACF" w:rsidRPr="00D8141D">
              <w:rPr>
                <w:rFonts w:cs="Calibri"/>
                <w:lang w:val="pt-BR"/>
              </w:rPr>
              <w:t>foi</w:t>
            </w:r>
            <w:r w:rsidR="005B1DD4" w:rsidRPr="00D8141D">
              <w:rPr>
                <w:rFonts w:cs="Calibri"/>
                <w:lang w:val="pt-BR"/>
              </w:rPr>
              <w:t xml:space="preserve"> aumentado em 20% (vinte por cento), </w:t>
            </w:r>
            <w:r w:rsidR="0002069B" w:rsidRPr="00D8141D">
              <w:rPr>
                <w:rFonts w:cs="Calibri"/>
                <w:lang w:val="pt-BR"/>
              </w:rPr>
              <w:t>em razão da colocação</w:t>
            </w:r>
            <w:r w:rsidR="005B1DD4" w:rsidRPr="00D8141D">
              <w:rPr>
                <w:rFonts w:cs="Calibri"/>
                <w:lang w:val="pt-BR"/>
              </w:rPr>
              <w:t xml:space="preserve"> d</w:t>
            </w:r>
            <w:r w:rsidR="003F623F" w:rsidRPr="00D8141D">
              <w:rPr>
                <w:rFonts w:cs="Calibri"/>
                <w:lang w:val="pt-BR"/>
              </w:rPr>
              <w:t>as</w:t>
            </w:r>
            <w:r w:rsidRPr="00D8141D">
              <w:rPr>
                <w:rFonts w:cs="Calibri"/>
                <w:lang w:val="pt-BR"/>
              </w:rPr>
              <w:t xml:space="preserve"> Debêntures Adicionais.</w:t>
            </w:r>
          </w:p>
        </w:tc>
      </w:tr>
      <w:tr w:rsidR="00D05A75" w:rsidRPr="0082022E" w14:paraId="752197A8" w14:textId="77777777" w:rsidTr="003E13AA">
        <w:tc>
          <w:tcPr>
            <w:tcW w:w="1345" w:type="pct"/>
            <w:shd w:val="clear" w:color="auto" w:fill="auto"/>
          </w:tcPr>
          <w:p w14:paraId="7CAA84D8" w14:textId="77777777" w:rsidR="00D05A75" w:rsidRPr="00D8141D" w:rsidRDefault="00D05A75" w:rsidP="00D05A75">
            <w:pPr>
              <w:pStyle w:val="HOMEBRBodyText"/>
              <w:keepLines w:val="0"/>
              <w:widowControl w:val="0"/>
              <w:spacing w:after="140" w:line="290" w:lineRule="auto"/>
              <w:rPr>
                <w:rFonts w:eastAsia="Calibri" w:cs="Calibri"/>
                <w:b/>
                <w:lang w:val="pt-BR"/>
              </w:rPr>
            </w:pPr>
            <w:r w:rsidRPr="00D8141D">
              <w:rPr>
                <w:rFonts w:eastAsia="Calibri" w:cs="Calibri"/>
                <w:b/>
                <w:lang w:val="pt-BR"/>
              </w:rPr>
              <w:t>Vencimento Antecipado</w:t>
            </w:r>
          </w:p>
        </w:tc>
        <w:tc>
          <w:tcPr>
            <w:tcW w:w="3655" w:type="pct"/>
            <w:shd w:val="clear" w:color="auto" w:fill="auto"/>
          </w:tcPr>
          <w:p w14:paraId="34B743B0" w14:textId="77777777" w:rsidR="00D05A75" w:rsidRPr="00D8141D" w:rsidRDefault="00D05A75" w:rsidP="00EB3477">
            <w:pPr>
              <w:pStyle w:val="HOMEBRBodyText"/>
              <w:keepLines w:val="0"/>
              <w:widowControl w:val="0"/>
              <w:jc w:val="both"/>
              <w:rPr>
                <w:rFonts w:eastAsia="Calibri" w:cs="Calibri"/>
                <w:lang w:val="pt-BR"/>
              </w:rPr>
            </w:pPr>
            <w:r w:rsidRPr="00D8141D">
              <w:rPr>
                <w:rFonts w:cs="Calibri"/>
                <w:lang w:val="pt-BR"/>
              </w:rPr>
              <w:t>Observado o disposto na Cláusula 8 da Escritura de Emissão e neste Prospecto, o Agente Fiduciário deverá considerar antecipadamente vencidas todas as obrigações constantes da Escritura de Emissão, independentemente de aviso, interpelação ou notificação, judicial ou extrajudicial na ocorrência das hipóteses descritas na Escritura de Emissão e neste Prospecto, e desde que observados os prazos de cura, valores mínimos e quóruns, conforme aplicáveis, e descritos na Escritura de Emissão e neste Prospecto.</w:t>
            </w:r>
          </w:p>
          <w:p w14:paraId="75AC7C18" w14:textId="4680EC8C" w:rsidR="00D05A75" w:rsidRPr="00D8141D" w:rsidRDefault="00D05A75" w:rsidP="00EB3477">
            <w:pPr>
              <w:pStyle w:val="HOMEBRBodyText"/>
              <w:keepLines w:val="0"/>
              <w:widowControl w:val="0"/>
              <w:spacing w:after="140"/>
              <w:jc w:val="both"/>
              <w:rPr>
                <w:rFonts w:cs="Calibri"/>
                <w:bCs/>
                <w:lang w:val="pt-BR"/>
              </w:rPr>
            </w:pPr>
            <w:r w:rsidRPr="00D8141D">
              <w:rPr>
                <w:rFonts w:eastAsia="Calibri" w:cs="Calibri"/>
                <w:b/>
                <w:lang w:val="pt-BR"/>
              </w:rPr>
              <w:t xml:space="preserve">Para mais informações, veja seções “Informações Relativas à Emissão, à Oferta e às Debêntures – Vencimento Antecipado” e “Fatores de Risco Relacionados à Oferta e às Debêntures – As obrigações da Emissora constantes da Escritura de Emissão estão sujeitas a hipóteses de vencimento antecipado” nas páginas </w:t>
            </w:r>
            <w:r w:rsidRPr="00D8141D">
              <w:rPr>
                <w:rFonts w:eastAsia="Calibri" w:cs="Calibri"/>
                <w:b/>
                <w:lang w:val="pt-BR"/>
              </w:rPr>
              <w:fldChar w:fldCharType="begin"/>
            </w:r>
            <w:r w:rsidRPr="00D8141D">
              <w:rPr>
                <w:rFonts w:eastAsia="Calibri" w:cs="Calibri"/>
                <w:b/>
                <w:lang w:val="pt-BR"/>
              </w:rPr>
              <w:instrText xml:space="preserve"> PAGEREF _Ref434935280 \h </w:instrText>
            </w:r>
            <w:r w:rsidRPr="00D8141D">
              <w:rPr>
                <w:rFonts w:eastAsia="Calibri" w:cs="Calibri"/>
                <w:b/>
                <w:lang w:val="pt-BR"/>
              </w:rPr>
            </w:r>
            <w:r w:rsidRPr="00D8141D">
              <w:rPr>
                <w:rFonts w:eastAsia="Calibri" w:cs="Calibri"/>
                <w:b/>
                <w:lang w:val="pt-BR"/>
              </w:rPr>
              <w:fldChar w:fldCharType="separate"/>
            </w:r>
            <w:r w:rsidR="001166EA">
              <w:rPr>
                <w:rFonts w:eastAsia="Calibri" w:cs="Calibri"/>
                <w:b/>
                <w:noProof/>
                <w:lang w:val="pt-BR"/>
              </w:rPr>
              <w:t>92</w:t>
            </w:r>
            <w:r w:rsidRPr="00D8141D">
              <w:rPr>
                <w:rFonts w:eastAsia="Calibri" w:cs="Calibri"/>
                <w:b/>
                <w:lang w:val="pt-BR"/>
              </w:rPr>
              <w:fldChar w:fldCharType="end"/>
            </w:r>
            <w:r w:rsidRPr="00D8141D">
              <w:rPr>
                <w:rFonts w:eastAsia="Calibri" w:cs="Calibri"/>
                <w:b/>
                <w:lang w:val="pt-BR"/>
              </w:rPr>
              <w:t xml:space="preserve"> e </w:t>
            </w:r>
            <w:r w:rsidRPr="00D8141D">
              <w:rPr>
                <w:rFonts w:eastAsia="Calibri" w:cs="Calibri"/>
                <w:b/>
                <w:lang w:val="pt-BR"/>
              </w:rPr>
              <w:fldChar w:fldCharType="begin"/>
            </w:r>
            <w:r w:rsidRPr="00D8141D">
              <w:rPr>
                <w:rFonts w:eastAsia="Calibri" w:cs="Calibri"/>
                <w:b/>
                <w:lang w:val="pt-BR"/>
              </w:rPr>
              <w:instrText xml:space="preserve"> PAGEREF _Ref90050201 \h </w:instrText>
            </w:r>
            <w:r w:rsidRPr="00D8141D">
              <w:rPr>
                <w:rFonts w:eastAsia="Calibri" w:cs="Calibri"/>
                <w:b/>
                <w:lang w:val="pt-BR"/>
              </w:rPr>
            </w:r>
            <w:r w:rsidRPr="00D8141D">
              <w:rPr>
                <w:rFonts w:eastAsia="Calibri" w:cs="Calibri"/>
                <w:b/>
                <w:lang w:val="pt-BR"/>
              </w:rPr>
              <w:fldChar w:fldCharType="separate"/>
            </w:r>
            <w:r w:rsidR="001166EA">
              <w:rPr>
                <w:rFonts w:eastAsia="Calibri" w:cs="Calibri"/>
                <w:b/>
                <w:noProof/>
                <w:lang w:val="pt-BR"/>
              </w:rPr>
              <w:t>133</w:t>
            </w:r>
            <w:r w:rsidRPr="00D8141D">
              <w:rPr>
                <w:rFonts w:eastAsia="Calibri" w:cs="Calibri"/>
                <w:b/>
                <w:lang w:val="pt-BR"/>
              </w:rPr>
              <w:fldChar w:fldCharType="end"/>
            </w:r>
            <w:r w:rsidRPr="00D8141D">
              <w:rPr>
                <w:rFonts w:eastAsia="Calibri" w:cs="Calibri"/>
                <w:b/>
                <w:lang w:val="pt-BR"/>
              </w:rPr>
              <w:t>, respectivamente, deste Prospecto.</w:t>
            </w:r>
          </w:p>
        </w:tc>
      </w:tr>
      <w:tr w:rsidR="00020EC5" w:rsidRPr="0082022E" w14:paraId="5D51095A" w14:textId="77777777" w:rsidTr="003E13AA">
        <w:tc>
          <w:tcPr>
            <w:tcW w:w="1345" w:type="pct"/>
            <w:shd w:val="clear" w:color="auto" w:fill="auto"/>
          </w:tcPr>
          <w:p w14:paraId="24C3FA73" w14:textId="77777777" w:rsidR="00020EC5" w:rsidRPr="00D8141D" w:rsidRDefault="00020EC5" w:rsidP="00020EC5">
            <w:pPr>
              <w:pStyle w:val="HOMEBRBodyText"/>
              <w:keepLines w:val="0"/>
              <w:widowControl w:val="0"/>
              <w:spacing w:after="140" w:line="290" w:lineRule="auto"/>
              <w:rPr>
                <w:rFonts w:eastAsia="Calibri" w:cs="Calibri"/>
                <w:b/>
                <w:lang w:val="pt-BR"/>
              </w:rPr>
            </w:pPr>
            <w:r w:rsidRPr="00D8141D">
              <w:rPr>
                <w:rFonts w:eastAsia="Calibri" w:cs="Calibri"/>
                <w:b/>
                <w:i/>
                <w:iCs/>
                <w:lang w:val="pt-BR"/>
              </w:rPr>
              <w:t>Website da Emissora</w:t>
            </w:r>
          </w:p>
        </w:tc>
        <w:tc>
          <w:tcPr>
            <w:tcW w:w="3655" w:type="pct"/>
            <w:shd w:val="clear" w:color="auto" w:fill="auto"/>
          </w:tcPr>
          <w:p w14:paraId="0D6BCF58" w14:textId="77777777" w:rsidR="00020EC5" w:rsidRPr="00566CD3" w:rsidRDefault="00020EC5" w:rsidP="00020EC5">
            <w:pPr>
              <w:autoSpaceDE w:val="0"/>
              <w:autoSpaceDN w:val="0"/>
              <w:adjustRightInd w:val="0"/>
              <w:spacing w:after="140" w:line="290" w:lineRule="auto"/>
              <w:jc w:val="both"/>
            </w:pPr>
            <w:r w:rsidRPr="00566CD3">
              <w:t>https://www.saomartinho.com.br/</w:t>
            </w:r>
          </w:p>
          <w:p w14:paraId="7BFE13F8" w14:textId="1B3EFF1B" w:rsidR="00020EC5" w:rsidRPr="00D8141D" w:rsidRDefault="00020EC5" w:rsidP="00020EC5">
            <w:pPr>
              <w:pStyle w:val="HOMEBRBodyText"/>
              <w:keepLines w:val="0"/>
              <w:widowControl w:val="0"/>
              <w:spacing w:after="140" w:line="290" w:lineRule="auto"/>
              <w:jc w:val="both"/>
              <w:rPr>
                <w:rFonts w:eastAsia="Calibri" w:cs="Calibri"/>
                <w:lang w:val="pt-BR"/>
              </w:rPr>
            </w:pPr>
            <w:r w:rsidRPr="00D8141D">
              <w:rPr>
                <w:rFonts w:cs="Calibri"/>
                <w:lang w:val="pt-BR"/>
              </w:rPr>
              <w:t xml:space="preserve">Informações detalhadas sobre a Emissora, seus resultados, negócios e operações poderão ser encontradas no seu Formulário de Referência, elaborado nos termos da Instrução CVM 480, que se encontra disponível nos endereços indicados na seção “Documentos e Informações Incorporados a este Prospecto por Referência” na página </w:t>
            </w:r>
            <w:r w:rsidR="00AE110C" w:rsidRPr="00D8141D">
              <w:rPr>
                <w:rFonts w:cs="Calibri"/>
                <w:noProof/>
                <w:lang w:val="pt-BR"/>
              </w:rPr>
              <w:fldChar w:fldCharType="begin"/>
            </w:r>
            <w:r w:rsidR="00AE110C" w:rsidRPr="00D8141D">
              <w:rPr>
                <w:rFonts w:cs="Calibri"/>
                <w:lang w:val="pt-BR"/>
              </w:rPr>
              <w:instrText xml:space="preserve"> PAGEREF _Ref90060024 \h </w:instrText>
            </w:r>
            <w:r w:rsidR="00AE110C" w:rsidRPr="00D8141D">
              <w:rPr>
                <w:rFonts w:cs="Calibri"/>
                <w:noProof/>
                <w:lang w:val="pt-BR"/>
              </w:rPr>
            </w:r>
            <w:r w:rsidR="00AE110C" w:rsidRPr="00D8141D">
              <w:rPr>
                <w:rFonts w:cs="Calibri"/>
                <w:noProof/>
                <w:lang w:val="pt-BR"/>
              </w:rPr>
              <w:fldChar w:fldCharType="separate"/>
            </w:r>
            <w:r w:rsidR="001166EA">
              <w:rPr>
                <w:rFonts w:cs="Calibri"/>
                <w:noProof/>
                <w:lang w:val="pt-BR"/>
              </w:rPr>
              <w:t>33</w:t>
            </w:r>
            <w:r w:rsidR="00AE110C" w:rsidRPr="00D8141D">
              <w:rPr>
                <w:rFonts w:cs="Calibri"/>
                <w:noProof/>
                <w:lang w:val="pt-BR"/>
              </w:rPr>
              <w:fldChar w:fldCharType="end"/>
            </w:r>
            <w:r w:rsidRPr="00D8141D">
              <w:rPr>
                <w:rFonts w:cs="Calibri"/>
                <w:lang w:val="pt-BR"/>
              </w:rPr>
              <w:t xml:space="preserve"> deste Prospecto. As informações constantes no </w:t>
            </w:r>
            <w:r w:rsidRPr="00D8141D">
              <w:rPr>
                <w:rFonts w:cs="Calibri"/>
                <w:i/>
                <w:lang w:val="pt-BR"/>
              </w:rPr>
              <w:t>website</w:t>
            </w:r>
            <w:r w:rsidRPr="00D8141D">
              <w:rPr>
                <w:rFonts w:cs="Calibri"/>
                <w:lang w:val="pt-BR"/>
              </w:rPr>
              <w:t xml:space="preserve"> da Emissora não são parte integrante deste Prospecto e não estão a ele incorporadas por referência.</w:t>
            </w:r>
          </w:p>
        </w:tc>
      </w:tr>
      <w:bookmarkEnd w:id="45"/>
    </w:tbl>
    <w:p w14:paraId="08E0B012" w14:textId="77777777" w:rsidR="00E8286C" w:rsidRPr="00566CD3" w:rsidRDefault="00E8286C" w:rsidP="00E8286C">
      <w:pPr>
        <w:widowControl w:val="0"/>
      </w:pPr>
    </w:p>
    <w:p w14:paraId="2ECF4502" w14:textId="77777777" w:rsidR="00F7719E" w:rsidRPr="00566CD3" w:rsidRDefault="00F7719E">
      <w:pPr>
        <w:rPr>
          <w:b/>
          <w:kern w:val="32"/>
        </w:rPr>
      </w:pPr>
      <w:bookmarkStart w:id="51" w:name="_Toc428306445"/>
      <w:bookmarkStart w:id="52" w:name="_Ref434935732"/>
      <w:bookmarkStart w:id="53" w:name="_Ref434935756"/>
      <w:bookmarkStart w:id="54" w:name="_Ref434936645"/>
      <w:bookmarkStart w:id="55" w:name="_Ref480900075"/>
      <w:bookmarkStart w:id="56" w:name="_Ref480900078"/>
      <w:bookmarkEnd w:id="34"/>
      <w:r w:rsidRPr="00566CD3">
        <w:rPr>
          <w:caps/>
        </w:rPr>
        <w:br w:type="page"/>
      </w:r>
    </w:p>
    <w:p w14:paraId="43A2B542" w14:textId="77777777" w:rsidR="00347CEF" w:rsidRPr="00566CD3" w:rsidRDefault="00347CEF" w:rsidP="00347CEF">
      <w:pPr>
        <w:spacing w:before="220" w:after="220"/>
        <w:jc w:val="center"/>
      </w:pPr>
      <w:bookmarkStart w:id="57" w:name="_Toc87002463"/>
      <w:bookmarkStart w:id="58" w:name="_Ref90053893"/>
      <w:bookmarkStart w:id="59" w:name="_Ref90057969"/>
      <w:bookmarkStart w:id="60" w:name="_Ref90057979"/>
      <w:bookmarkStart w:id="61" w:name="_Ref90062050"/>
      <w:bookmarkStart w:id="62" w:name="_Ref90072450"/>
      <w:bookmarkStart w:id="63" w:name="_Toc90045079"/>
    </w:p>
    <w:p w14:paraId="54108E66" w14:textId="77777777" w:rsidR="00347CEF" w:rsidRPr="00566CD3" w:rsidRDefault="00347CEF" w:rsidP="00347CEF">
      <w:pPr>
        <w:spacing w:before="220" w:after="220"/>
        <w:jc w:val="center"/>
      </w:pPr>
    </w:p>
    <w:p w14:paraId="1A33CEB3" w14:textId="77777777" w:rsidR="00347CEF" w:rsidRPr="00566CD3" w:rsidRDefault="00347CEF" w:rsidP="00347CEF">
      <w:pPr>
        <w:spacing w:before="220" w:after="220"/>
        <w:jc w:val="center"/>
      </w:pPr>
    </w:p>
    <w:p w14:paraId="508D753B" w14:textId="77777777" w:rsidR="00347CEF" w:rsidRPr="00566CD3" w:rsidRDefault="00347CEF" w:rsidP="00347CEF">
      <w:pPr>
        <w:spacing w:before="220" w:after="220"/>
        <w:jc w:val="center"/>
      </w:pPr>
    </w:p>
    <w:p w14:paraId="5DD727DB" w14:textId="77777777" w:rsidR="00347CEF" w:rsidRPr="00566CD3" w:rsidRDefault="00347CEF" w:rsidP="00347CEF">
      <w:pPr>
        <w:spacing w:before="220" w:after="220"/>
        <w:jc w:val="center"/>
      </w:pPr>
    </w:p>
    <w:p w14:paraId="2220EB14" w14:textId="77777777" w:rsidR="00347CEF" w:rsidRPr="00566CD3" w:rsidRDefault="00347CEF" w:rsidP="00347CEF">
      <w:pPr>
        <w:spacing w:before="220" w:after="220"/>
        <w:jc w:val="center"/>
      </w:pPr>
    </w:p>
    <w:p w14:paraId="63E73508" w14:textId="77777777" w:rsidR="00347CEF" w:rsidRPr="00566CD3" w:rsidRDefault="00347CEF" w:rsidP="00347CEF">
      <w:pPr>
        <w:spacing w:before="220" w:after="220"/>
        <w:jc w:val="center"/>
      </w:pPr>
    </w:p>
    <w:p w14:paraId="37EA5AC9" w14:textId="77777777" w:rsidR="00347CEF" w:rsidRPr="00566CD3" w:rsidRDefault="00347CEF" w:rsidP="00347CEF">
      <w:pPr>
        <w:spacing w:before="220" w:after="220"/>
        <w:jc w:val="center"/>
      </w:pPr>
    </w:p>
    <w:p w14:paraId="34A9938F" w14:textId="77777777" w:rsidR="00347CEF" w:rsidRPr="00566CD3" w:rsidRDefault="00347CEF" w:rsidP="00347CEF">
      <w:pPr>
        <w:spacing w:before="220" w:after="220"/>
        <w:jc w:val="center"/>
      </w:pPr>
    </w:p>
    <w:p w14:paraId="688E93D0" w14:textId="77777777" w:rsidR="00347CEF" w:rsidRPr="00566CD3" w:rsidRDefault="00347CEF" w:rsidP="00347CEF">
      <w:pPr>
        <w:spacing w:before="220" w:after="220"/>
        <w:jc w:val="center"/>
      </w:pPr>
    </w:p>
    <w:p w14:paraId="40C97B9D" w14:textId="77777777" w:rsidR="00347CEF" w:rsidRPr="00566CD3" w:rsidRDefault="00347CEF" w:rsidP="00347CEF">
      <w:pPr>
        <w:spacing w:before="220" w:after="220"/>
        <w:jc w:val="center"/>
      </w:pPr>
    </w:p>
    <w:p w14:paraId="0C9802D7" w14:textId="77777777" w:rsidR="00347CEF" w:rsidRPr="00566CD3" w:rsidRDefault="00347CEF" w:rsidP="00347CEF">
      <w:pPr>
        <w:spacing w:before="220" w:after="220"/>
        <w:jc w:val="center"/>
      </w:pPr>
    </w:p>
    <w:p w14:paraId="3EB1AC8D" w14:textId="77777777" w:rsidR="00347CEF" w:rsidRPr="00566CD3" w:rsidRDefault="00347CEF" w:rsidP="00347CEF">
      <w:pPr>
        <w:spacing w:before="240" w:after="240"/>
        <w:jc w:val="center"/>
      </w:pPr>
      <w:r w:rsidRPr="00566CD3">
        <w:t xml:space="preserve"> (Esta página foi intencionalmente deixada em branco)</w:t>
      </w:r>
    </w:p>
    <w:p w14:paraId="794A4678" w14:textId="41356AC6" w:rsidR="00E8286C" w:rsidRPr="00566CD3" w:rsidRDefault="00347CEF" w:rsidP="00347CEF">
      <w:pPr>
        <w:pStyle w:val="Ttulo1"/>
        <w:keepNext w:val="0"/>
        <w:pageBreakBefore w:val="0"/>
        <w:widowControl w:val="0"/>
        <w:spacing w:after="140" w:line="290" w:lineRule="auto"/>
        <w:rPr>
          <w:caps w:val="0"/>
        </w:rPr>
      </w:pPr>
      <w:r w:rsidRPr="00566CD3">
        <w:br w:type="page"/>
      </w:r>
      <w:bookmarkStart w:id="64" w:name="_Toc95928392"/>
      <w:r w:rsidR="00E8286C" w:rsidRPr="00566CD3">
        <w:rPr>
          <w:caps w:val="0"/>
        </w:rPr>
        <w:lastRenderedPageBreak/>
        <w:t>CRONOGRAMA ESTIMADO DAS ETAPAS DA OFERTA</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17E5B09" w14:textId="77777777" w:rsidR="00E8286C" w:rsidRPr="00D8141D" w:rsidRDefault="00E8286C" w:rsidP="00583F6E">
      <w:pPr>
        <w:pStyle w:val="HOMEBRBodyText"/>
        <w:keepLines w:val="0"/>
        <w:widowControl w:val="0"/>
        <w:spacing w:after="140" w:line="290" w:lineRule="auto"/>
        <w:rPr>
          <w:rFonts w:cs="Calibri"/>
          <w:lang w:val="pt-BR"/>
        </w:rPr>
      </w:pPr>
      <w:r w:rsidRPr="00D8141D">
        <w:rPr>
          <w:rFonts w:cs="Calibri"/>
          <w:lang w:val="pt-BR"/>
        </w:rPr>
        <w:t>Encontra-se abaixo o cronograma estimado para as principais etapas da Oferta:</w:t>
      </w:r>
    </w:p>
    <w:tbl>
      <w:tblPr>
        <w:tblW w:w="5149" w:type="pct"/>
        <w:tblCellMar>
          <w:top w:w="57" w:type="dxa"/>
          <w:left w:w="70" w:type="dxa"/>
          <w:bottom w:w="57" w:type="dxa"/>
          <w:right w:w="70" w:type="dxa"/>
        </w:tblCellMar>
        <w:tblLook w:val="04A0" w:firstRow="1" w:lastRow="0" w:firstColumn="1" w:lastColumn="0" w:noHBand="0" w:noVBand="1"/>
      </w:tblPr>
      <w:tblGrid>
        <w:gridCol w:w="623"/>
        <w:gridCol w:w="5189"/>
        <w:gridCol w:w="3241"/>
      </w:tblGrid>
      <w:tr w:rsidR="00364245" w:rsidRPr="00D63AB8" w14:paraId="116CA6F6" w14:textId="77777777" w:rsidTr="00D339B7">
        <w:trPr>
          <w:trHeight w:val="449"/>
        </w:trPr>
        <w:tc>
          <w:tcPr>
            <w:tcW w:w="344" w:type="pct"/>
            <w:tcBorders>
              <w:top w:val="single" w:sz="4" w:space="0" w:color="auto"/>
              <w:left w:val="nil"/>
              <w:bottom w:val="single" w:sz="4" w:space="0" w:color="auto"/>
              <w:right w:val="nil"/>
            </w:tcBorders>
            <w:shd w:val="clear" w:color="auto" w:fill="A6A6A6"/>
            <w:vAlign w:val="center"/>
            <w:hideMark/>
          </w:tcPr>
          <w:p w14:paraId="57774268" w14:textId="77777777" w:rsidR="0082022E" w:rsidRPr="00566CD3" w:rsidRDefault="0082022E" w:rsidP="00566CD3">
            <w:pPr>
              <w:spacing w:before="80" w:afterLines="80" w:after="192" w:line="240" w:lineRule="auto"/>
              <w:jc w:val="center"/>
              <w:rPr>
                <w:b/>
                <w:color w:val="FFFFFF"/>
              </w:rPr>
            </w:pPr>
            <w:r w:rsidRPr="00566CD3">
              <w:rPr>
                <w:b/>
                <w:color w:val="FFFFFF"/>
              </w:rPr>
              <w:t>#</w:t>
            </w:r>
          </w:p>
        </w:tc>
        <w:tc>
          <w:tcPr>
            <w:tcW w:w="2866" w:type="pct"/>
            <w:tcBorders>
              <w:top w:val="single" w:sz="4" w:space="0" w:color="auto"/>
              <w:left w:val="nil"/>
              <w:bottom w:val="single" w:sz="4" w:space="0" w:color="auto"/>
              <w:right w:val="nil"/>
            </w:tcBorders>
            <w:shd w:val="clear" w:color="auto" w:fill="A6A6A6"/>
            <w:vAlign w:val="center"/>
            <w:hideMark/>
          </w:tcPr>
          <w:p w14:paraId="153B7D54" w14:textId="77777777" w:rsidR="0082022E" w:rsidRPr="00566CD3" w:rsidRDefault="0082022E" w:rsidP="00566CD3">
            <w:pPr>
              <w:spacing w:before="80" w:afterLines="80" w:after="192" w:line="240" w:lineRule="auto"/>
              <w:jc w:val="center"/>
              <w:rPr>
                <w:b/>
                <w:color w:val="FFFFFF"/>
              </w:rPr>
            </w:pPr>
            <w:r w:rsidRPr="00566CD3">
              <w:rPr>
                <w:b/>
                <w:color w:val="FFFFFF"/>
              </w:rPr>
              <w:t>Eventos</w:t>
            </w:r>
          </w:p>
        </w:tc>
        <w:tc>
          <w:tcPr>
            <w:tcW w:w="1790" w:type="pct"/>
            <w:tcBorders>
              <w:top w:val="single" w:sz="4" w:space="0" w:color="auto"/>
              <w:left w:val="nil"/>
              <w:bottom w:val="single" w:sz="4" w:space="0" w:color="auto"/>
              <w:right w:val="nil"/>
            </w:tcBorders>
            <w:shd w:val="clear" w:color="auto" w:fill="A6A6A6"/>
            <w:vAlign w:val="center"/>
            <w:hideMark/>
          </w:tcPr>
          <w:p w14:paraId="2643C86C" w14:textId="77777777" w:rsidR="0082022E" w:rsidRPr="00566CD3" w:rsidRDefault="0082022E" w:rsidP="00566CD3">
            <w:pPr>
              <w:spacing w:before="80" w:afterLines="80" w:after="192" w:line="240" w:lineRule="auto"/>
              <w:jc w:val="center"/>
              <w:rPr>
                <w:b/>
                <w:color w:val="FFFFFF"/>
              </w:rPr>
            </w:pPr>
            <w:r w:rsidRPr="00566CD3">
              <w:rPr>
                <w:b/>
                <w:color w:val="FFFFFF"/>
              </w:rPr>
              <w:t>Data</w:t>
            </w:r>
            <w:r w:rsidRPr="00566CD3">
              <w:rPr>
                <w:b/>
                <w:color w:val="FFFFFF"/>
                <w:vertAlign w:val="superscript"/>
              </w:rPr>
              <w:t>(1)(2)(3)</w:t>
            </w:r>
          </w:p>
        </w:tc>
      </w:tr>
      <w:tr w:rsidR="0082022E" w:rsidRPr="00D63AB8" w14:paraId="6A3D6E3F" w14:textId="77777777" w:rsidTr="00D339B7">
        <w:tc>
          <w:tcPr>
            <w:tcW w:w="344" w:type="pct"/>
            <w:tcBorders>
              <w:top w:val="single" w:sz="4" w:space="0" w:color="auto"/>
              <w:left w:val="nil"/>
              <w:bottom w:val="single" w:sz="4" w:space="0" w:color="auto"/>
              <w:right w:val="nil"/>
            </w:tcBorders>
            <w:vAlign w:val="center"/>
            <w:hideMark/>
          </w:tcPr>
          <w:p w14:paraId="104DE909" w14:textId="77777777" w:rsidR="0082022E" w:rsidRPr="00566CD3" w:rsidRDefault="0082022E" w:rsidP="00566CD3">
            <w:pPr>
              <w:contextualSpacing/>
            </w:pPr>
            <w:r w:rsidRPr="00566CD3">
              <w:t>1</w:t>
            </w:r>
          </w:p>
        </w:tc>
        <w:tc>
          <w:tcPr>
            <w:tcW w:w="2866" w:type="pct"/>
            <w:tcBorders>
              <w:top w:val="single" w:sz="4" w:space="0" w:color="auto"/>
              <w:left w:val="nil"/>
              <w:bottom w:val="single" w:sz="4" w:space="0" w:color="auto"/>
              <w:right w:val="nil"/>
            </w:tcBorders>
            <w:hideMark/>
          </w:tcPr>
          <w:p w14:paraId="17F1C48E" w14:textId="77777777" w:rsidR="0082022E" w:rsidRPr="00566CD3" w:rsidRDefault="0082022E" w:rsidP="00566CD3">
            <w:pPr>
              <w:contextualSpacing/>
            </w:pPr>
            <w:r w:rsidRPr="00566CD3">
              <w:t>Protocolo na CVM do pedido de registro da Oferta.</w:t>
            </w:r>
          </w:p>
          <w:p w14:paraId="0A5DF166" w14:textId="34E8DF7A" w:rsidR="0082022E" w:rsidRPr="00566CD3" w:rsidRDefault="0082022E" w:rsidP="00566CD3">
            <w:pPr>
              <w:contextualSpacing/>
            </w:pPr>
            <w:r w:rsidRPr="00566CD3">
              <w:rPr>
                <w:kern w:val="20"/>
              </w:rPr>
              <w:t>Divulgação do Aviso ao Mercado</w:t>
            </w:r>
            <w:r w:rsidRPr="0082022E">
              <w:rPr>
                <w:rFonts w:eastAsia="Arial" w:cs="Calibri"/>
                <w:kern w:val="20"/>
              </w:rPr>
              <w:t xml:space="preserve"> e disponibilização</w:t>
            </w:r>
            <w:r w:rsidRPr="00566CD3">
              <w:rPr>
                <w:kern w:val="20"/>
              </w:rPr>
              <w:t xml:space="preserve"> do Prospecto Preliminar aos Investidores da Oferta</w:t>
            </w:r>
          </w:p>
        </w:tc>
        <w:tc>
          <w:tcPr>
            <w:tcW w:w="1790" w:type="pct"/>
            <w:tcBorders>
              <w:top w:val="single" w:sz="4" w:space="0" w:color="auto"/>
              <w:left w:val="nil"/>
              <w:bottom w:val="single" w:sz="4" w:space="0" w:color="auto"/>
              <w:right w:val="nil"/>
            </w:tcBorders>
            <w:hideMark/>
          </w:tcPr>
          <w:p w14:paraId="51028F39" w14:textId="77777777" w:rsidR="0082022E" w:rsidRPr="00566CD3" w:rsidRDefault="0082022E" w:rsidP="00566CD3">
            <w:pPr>
              <w:contextualSpacing/>
              <w:jc w:val="center"/>
            </w:pPr>
            <w:r w:rsidRPr="00566CD3">
              <w:t>13 de dezembro de 2021</w:t>
            </w:r>
          </w:p>
        </w:tc>
      </w:tr>
      <w:tr w:rsidR="0082022E" w:rsidRPr="00D63AB8" w14:paraId="3A8104CD" w14:textId="77777777" w:rsidTr="00D339B7">
        <w:tc>
          <w:tcPr>
            <w:tcW w:w="344" w:type="pct"/>
            <w:tcBorders>
              <w:top w:val="single" w:sz="4" w:space="0" w:color="auto"/>
              <w:left w:val="nil"/>
              <w:bottom w:val="single" w:sz="4" w:space="0" w:color="auto"/>
              <w:right w:val="nil"/>
            </w:tcBorders>
            <w:vAlign w:val="center"/>
            <w:hideMark/>
          </w:tcPr>
          <w:p w14:paraId="51BB6058" w14:textId="77777777" w:rsidR="0082022E" w:rsidRPr="00566CD3" w:rsidRDefault="0082022E" w:rsidP="00566CD3">
            <w:pPr>
              <w:contextualSpacing/>
            </w:pPr>
            <w:r w:rsidRPr="00566CD3">
              <w:rPr>
                <w:kern w:val="20"/>
              </w:rPr>
              <w:t>2</w:t>
            </w:r>
          </w:p>
        </w:tc>
        <w:tc>
          <w:tcPr>
            <w:tcW w:w="2866" w:type="pct"/>
            <w:tcBorders>
              <w:top w:val="single" w:sz="4" w:space="0" w:color="auto"/>
              <w:left w:val="nil"/>
              <w:bottom w:val="single" w:sz="4" w:space="0" w:color="auto"/>
              <w:right w:val="nil"/>
            </w:tcBorders>
            <w:vAlign w:val="center"/>
            <w:hideMark/>
          </w:tcPr>
          <w:p w14:paraId="1C6BFAAB" w14:textId="77777777" w:rsidR="0082022E" w:rsidRPr="00566CD3" w:rsidRDefault="0082022E" w:rsidP="00566CD3">
            <w:pPr>
              <w:contextualSpacing/>
            </w:pPr>
            <w:r w:rsidRPr="00566CD3">
              <w:t xml:space="preserve">Início das apresentações de </w:t>
            </w:r>
            <w:r w:rsidRPr="00566CD3">
              <w:rPr>
                <w:i/>
              </w:rPr>
              <w:t>Roadshow.</w:t>
            </w:r>
          </w:p>
        </w:tc>
        <w:tc>
          <w:tcPr>
            <w:tcW w:w="1790" w:type="pct"/>
            <w:tcBorders>
              <w:top w:val="single" w:sz="4" w:space="0" w:color="auto"/>
              <w:left w:val="nil"/>
              <w:bottom w:val="single" w:sz="4" w:space="0" w:color="auto"/>
              <w:right w:val="nil"/>
            </w:tcBorders>
            <w:hideMark/>
          </w:tcPr>
          <w:p w14:paraId="757C3EC5" w14:textId="77777777" w:rsidR="0082022E" w:rsidRPr="00566CD3" w:rsidRDefault="0082022E" w:rsidP="00566CD3">
            <w:pPr>
              <w:contextualSpacing/>
              <w:jc w:val="center"/>
            </w:pPr>
            <w:r w:rsidRPr="00566CD3">
              <w:t>15 de dezembro de 2021</w:t>
            </w:r>
          </w:p>
        </w:tc>
      </w:tr>
      <w:tr w:rsidR="0082022E" w:rsidRPr="00D63AB8" w14:paraId="40B5A79F" w14:textId="77777777" w:rsidTr="00D339B7">
        <w:tc>
          <w:tcPr>
            <w:tcW w:w="344" w:type="pct"/>
            <w:tcBorders>
              <w:top w:val="single" w:sz="4" w:space="0" w:color="auto"/>
              <w:left w:val="nil"/>
              <w:bottom w:val="single" w:sz="4" w:space="0" w:color="auto"/>
              <w:right w:val="nil"/>
            </w:tcBorders>
            <w:vAlign w:val="center"/>
            <w:hideMark/>
          </w:tcPr>
          <w:p w14:paraId="02A2026B" w14:textId="77777777" w:rsidR="0082022E" w:rsidRPr="00566CD3" w:rsidRDefault="0082022E" w:rsidP="00566CD3">
            <w:pPr>
              <w:contextualSpacing/>
            </w:pPr>
            <w:r w:rsidRPr="00566CD3">
              <w:t>3</w:t>
            </w:r>
          </w:p>
        </w:tc>
        <w:tc>
          <w:tcPr>
            <w:tcW w:w="2866" w:type="pct"/>
            <w:tcBorders>
              <w:top w:val="single" w:sz="4" w:space="0" w:color="auto"/>
              <w:left w:val="nil"/>
              <w:bottom w:val="single" w:sz="4" w:space="0" w:color="auto"/>
              <w:right w:val="nil"/>
            </w:tcBorders>
            <w:vAlign w:val="center"/>
            <w:hideMark/>
          </w:tcPr>
          <w:p w14:paraId="1C438376" w14:textId="64D21EB7" w:rsidR="0082022E" w:rsidRPr="00566CD3" w:rsidRDefault="0082022E" w:rsidP="00566CD3">
            <w:pPr>
              <w:contextualSpacing/>
            </w:pPr>
            <w:r w:rsidRPr="00566CD3">
              <w:t xml:space="preserve">Encerramento das apresentações de </w:t>
            </w:r>
            <w:r w:rsidRPr="00566CD3">
              <w:rPr>
                <w:i/>
              </w:rPr>
              <w:t>Roadshow</w:t>
            </w:r>
          </w:p>
        </w:tc>
        <w:tc>
          <w:tcPr>
            <w:tcW w:w="1790" w:type="pct"/>
            <w:tcBorders>
              <w:top w:val="single" w:sz="4" w:space="0" w:color="auto"/>
              <w:left w:val="nil"/>
              <w:bottom w:val="single" w:sz="4" w:space="0" w:color="auto"/>
              <w:right w:val="nil"/>
            </w:tcBorders>
            <w:hideMark/>
          </w:tcPr>
          <w:p w14:paraId="65170F5F" w14:textId="77777777" w:rsidR="0082022E" w:rsidRPr="00566CD3" w:rsidRDefault="0082022E" w:rsidP="00566CD3">
            <w:pPr>
              <w:contextualSpacing/>
              <w:jc w:val="center"/>
            </w:pPr>
            <w:r w:rsidRPr="00566CD3">
              <w:t>17 de dezembro de 2021</w:t>
            </w:r>
          </w:p>
        </w:tc>
      </w:tr>
      <w:tr w:rsidR="0082022E" w:rsidRPr="00D63AB8" w14:paraId="3CE08840" w14:textId="77777777" w:rsidTr="00D339B7">
        <w:tc>
          <w:tcPr>
            <w:tcW w:w="344" w:type="pct"/>
            <w:tcBorders>
              <w:top w:val="single" w:sz="4" w:space="0" w:color="auto"/>
              <w:left w:val="nil"/>
              <w:bottom w:val="single" w:sz="4" w:space="0" w:color="auto"/>
              <w:right w:val="nil"/>
            </w:tcBorders>
            <w:vAlign w:val="center"/>
            <w:hideMark/>
          </w:tcPr>
          <w:p w14:paraId="13EC5F1F" w14:textId="77777777" w:rsidR="0082022E" w:rsidRPr="00566CD3" w:rsidRDefault="0082022E" w:rsidP="00566CD3">
            <w:pPr>
              <w:contextualSpacing/>
            </w:pPr>
            <w:r w:rsidRPr="00566CD3">
              <w:t>4</w:t>
            </w:r>
          </w:p>
        </w:tc>
        <w:tc>
          <w:tcPr>
            <w:tcW w:w="2866" w:type="pct"/>
            <w:tcBorders>
              <w:top w:val="single" w:sz="4" w:space="0" w:color="auto"/>
              <w:left w:val="nil"/>
              <w:bottom w:val="single" w:sz="4" w:space="0" w:color="auto"/>
              <w:right w:val="nil"/>
            </w:tcBorders>
            <w:vAlign w:val="center"/>
            <w:hideMark/>
          </w:tcPr>
          <w:p w14:paraId="6E09F25D" w14:textId="6BF132B0" w:rsidR="0082022E" w:rsidRPr="00566CD3" w:rsidRDefault="0082022E" w:rsidP="00566CD3">
            <w:pPr>
              <w:contextualSpacing/>
            </w:pPr>
            <w:r w:rsidRPr="00566CD3">
              <w:t xml:space="preserve">Divulgação do </w:t>
            </w:r>
            <w:r w:rsidRPr="0082022E">
              <w:rPr>
                <w:rFonts w:eastAsia="Arial" w:cs="Calibri"/>
              </w:rPr>
              <w:t xml:space="preserve">1º </w:t>
            </w:r>
            <w:r w:rsidRPr="00566CD3">
              <w:t>Comunicado ao Mercado de Modificação da Oferta</w:t>
            </w:r>
            <w:r w:rsidRPr="0082022E">
              <w:rPr>
                <w:rFonts w:eastAsia="Arial" w:cs="Calibri"/>
              </w:rPr>
              <w:t xml:space="preserve"> </w:t>
            </w:r>
          </w:p>
        </w:tc>
        <w:tc>
          <w:tcPr>
            <w:tcW w:w="1790" w:type="pct"/>
            <w:tcBorders>
              <w:top w:val="single" w:sz="4" w:space="0" w:color="auto"/>
              <w:left w:val="nil"/>
              <w:bottom w:val="single" w:sz="4" w:space="0" w:color="auto"/>
              <w:right w:val="nil"/>
            </w:tcBorders>
            <w:hideMark/>
          </w:tcPr>
          <w:p w14:paraId="0EA3CC47" w14:textId="77777777" w:rsidR="0082022E" w:rsidRPr="00566CD3" w:rsidRDefault="0082022E" w:rsidP="00566CD3">
            <w:pPr>
              <w:contextualSpacing/>
              <w:jc w:val="center"/>
            </w:pPr>
            <w:r w:rsidRPr="00566CD3">
              <w:t>22 de dezembro de 2021</w:t>
            </w:r>
          </w:p>
        </w:tc>
      </w:tr>
      <w:tr w:rsidR="0082022E" w:rsidRPr="00D63AB8" w14:paraId="64FEBC59" w14:textId="77777777" w:rsidTr="00D339B7">
        <w:tc>
          <w:tcPr>
            <w:tcW w:w="344" w:type="pct"/>
            <w:tcBorders>
              <w:top w:val="single" w:sz="4" w:space="0" w:color="auto"/>
              <w:left w:val="nil"/>
              <w:bottom w:val="single" w:sz="4" w:space="0" w:color="auto"/>
              <w:right w:val="nil"/>
            </w:tcBorders>
            <w:vAlign w:val="center"/>
            <w:hideMark/>
          </w:tcPr>
          <w:p w14:paraId="0CD7CB88" w14:textId="77777777" w:rsidR="0082022E" w:rsidRPr="00566CD3" w:rsidRDefault="0082022E" w:rsidP="00566CD3">
            <w:pPr>
              <w:contextualSpacing/>
            </w:pPr>
            <w:r w:rsidRPr="00566CD3">
              <w:rPr>
                <w:kern w:val="20"/>
              </w:rPr>
              <w:t>5</w:t>
            </w:r>
          </w:p>
        </w:tc>
        <w:tc>
          <w:tcPr>
            <w:tcW w:w="2866" w:type="pct"/>
            <w:tcBorders>
              <w:top w:val="single" w:sz="4" w:space="0" w:color="auto"/>
              <w:left w:val="nil"/>
              <w:bottom w:val="single" w:sz="4" w:space="0" w:color="auto"/>
              <w:right w:val="nil"/>
            </w:tcBorders>
            <w:vAlign w:val="center"/>
            <w:hideMark/>
          </w:tcPr>
          <w:p w14:paraId="4DA7D06F" w14:textId="77777777" w:rsidR="0082022E" w:rsidRPr="00566CD3" w:rsidRDefault="0082022E" w:rsidP="00566CD3">
            <w:pPr>
              <w:contextualSpacing/>
            </w:pPr>
            <w:r w:rsidRPr="00566CD3">
              <w:t>Início do Período de Reserva.</w:t>
            </w:r>
          </w:p>
        </w:tc>
        <w:tc>
          <w:tcPr>
            <w:tcW w:w="1790" w:type="pct"/>
            <w:tcBorders>
              <w:top w:val="single" w:sz="4" w:space="0" w:color="auto"/>
              <w:left w:val="nil"/>
              <w:bottom w:val="single" w:sz="4" w:space="0" w:color="auto"/>
              <w:right w:val="nil"/>
            </w:tcBorders>
            <w:vAlign w:val="center"/>
            <w:hideMark/>
          </w:tcPr>
          <w:p w14:paraId="39F41CB9" w14:textId="77777777" w:rsidR="0082022E" w:rsidRPr="00566CD3" w:rsidRDefault="0082022E" w:rsidP="00566CD3">
            <w:pPr>
              <w:contextualSpacing/>
              <w:jc w:val="center"/>
            </w:pPr>
            <w:r w:rsidRPr="00566CD3">
              <w:t>29 de dezembro de 2021</w:t>
            </w:r>
          </w:p>
        </w:tc>
      </w:tr>
      <w:tr w:rsidR="0082022E" w:rsidRPr="00D63AB8" w14:paraId="2C0DD236" w14:textId="77777777" w:rsidTr="00D339B7">
        <w:tc>
          <w:tcPr>
            <w:tcW w:w="344" w:type="pct"/>
            <w:tcBorders>
              <w:top w:val="single" w:sz="4" w:space="0" w:color="auto"/>
              <w:left w:val="nil"/>
              <w:bottom w:val="single" w:sz="4" w:space="0" w:color="auto"/>
              <w:right w:val="nil"/>
            </w:tcBorders>
            <w:vAlign w:val="center"/>
            <w:hideMark/>
          </w:tcPr>
          <w:p w14:paraId="1B8C85B1" w14:textId="77777777" w:rsidR="0082022E" w:rsidRPr="00566CD3" w:rsidRDefault="0082022E" w:rsidP="00566CD3">
            <w:pPr>
              <w:contextualSpacing/>
            </w:pPr>
            <w:r w:rsidRPr="00566CD3">
              <w:rPr>
                <w:kern w:val="20"/>
                <w:sz w:val="24"/>
              </w:rPr>
              <w:t>6</w:t>
            </w:r>
          </w:p>
        </w:tc>
        <w:tc>
          <w:tcPr>
            <w:tcW w:w="2866" w:type="pct"/>
            <w:tcBorders>
              <w:top w:val="single" w:sz="4" w:space="0" w:color="auto"/>
              <w:left w:val="nil"/>
              <w:bottom w:val="single" w:sz="4" w:space="0" w:color="auto"/>
              <w:right w:val="nil"/>
            </w:tcBorders>
            <w:vAlign w:val="center"/>
            <w:hideMark/>
          </w:tcPr>
          <w:p w14:paraId="78F1853B" w14:textId="1F326C78" w:rsidR="0082022E" w:rsidRPr="00566CD3" w:rsidRDefault="0082022E" w:rsidP="00566CD3">
            <w:pPr>
              <w:contextualSpacing/>
            </w:pPr>
            <w:r w:rsidRPr="00566CD3">
              <w:t>Encerramento do Período de Reserva</w:t>
            </w:r>
          </w:p>
        </w:tc>
        <w:tc>
          <w:tcPr>
            <w:tcW w:w="1790" w:type="pct"/>
            <w:tcBorders>
              <w:top w:val="single" w:sz="4" w:space="0" w:color="auto"/>
              <w:left w:val="nil"/>
              <w:bottom w:val="single" w:sz="4" w:space="0" w:color="auto"/>
              <w:right w:val="nil"/>
            </w:tcBorders>
            <w:vAlign w:val="center"/>
            <w:hideMark/>
          </w:tcPr>
          <w:p w14:paraId="64910F88" w14:textId="77777777" w:rsidR="0082022E" w:rsidRPr="00566CD3" w:rsidRDefault="0082022E" w:rsidP="00566CD3">
            <w:pPr>
              <w:contextualSpacing/>
              <w:jc w:val="center"/>
            </w:pPr>
            <w:r w:rsidRPr="00566CD3">
              <w:t>13 de janeiro de 2022</w:t>
            </w:r>
          </w:p>
        </w:tc>
      </w:tr>
      <w:tr w:rsidR="0082022E" w:rsidRPr="00D63AB8" w14:paraId="558EBA40" w14:textId="77777777" w:rsidTr="00D339B7">
        <w:tc>
          <w:tcPr>
            <w:tcW w:w="344" w:type="pct"/>
            <w:tcBorders>
              <w:top w:val="single" w:sz="4" w:space="0" w:color="auto"/>
              <w:left w:val="nil"/>
              <w:bottom w:val="single" w:sz="4" w:space="0" w:color="auto"/>
              <w:right w:val="nil"/>
            </w:tcBorders>
            <w:vAlign w:val="center"/>
            <w:hideMark/>
          </w:tcPr>
          <w:p w14:paraId="29463A7C" w14:textId="77777777" w:rsidR="0082022E" w:rsidRPr="00566CD3" w:rsidRDefault="0082022E" w:rsidP="00566CD3">
            <w:pPr>
              <w:contextualSpacing/>
            </w:pPr>
            <w:r w:rsidRPr="00566CD3">
              <w:rPr>
                <w:kern w:val="20"/>
                <w:sz w:val="24"/>
              </w:rPr>
              <w:t>7</w:t>
            </w:r>
          </w:p>
        </w:tc>
        <w:tc>
          <w:tcPr>
            <w:tcW w:w="2866" w:type="pct"/>
            <w:tcBorders>
              <w:top w:val="single" w:sz="4" w:space="0" w:color="auto"/>
              <w:left w:val="nil"/>
              <w:bottom w:val="single" w:sz="4" w:space="0" w:color="auto"/>
              <w:right w:val="nil"/>
            </w:tcBorders>
            <w:vAlign w:val="center"/>
            <w:hideMark/>
          </w:tcPr>
          <w:p w14:paraId="063E6ADC" w14:textId="77777777" w:rsidR="0082022E" w:rsidRPr="00566CD3" w:rsidRDefault="0082022E" w:rsidP="00566CD3">
            <w:pPr>
              <w:contextualSpacing/>
            </w:pPr>
            <w:r w:rsidRPr="00566CD3">
              <w:t xml:space="preserve">Procedimento de </w:t>
            </w:r>
            <w:r w:rsidRPr="00566CD3">
              <w:rPr>
                <w:i/>
              </w:rPr>
              <w:t>Bookbuilding.</w:t>
            </w:r>
          </w:p>
        </w:tc>
        <w:tc>
          <w:tcPr>
            <w:tcW w:w="1790" w:type="pct"/>
            <w:tcBorders>
              <w:top w:val="single" w:sz="4" w:space="0" w:color="auto"/>
              <w:left w:val="nil"/>
              <w:bottom w:val="single" w:sz="4" w:space="0" w:color="auto"/>
              <w:right w:val="nil"/>
            </w:tcBorders>
            <w:vAlign w:val="center"/>
            <w:hideMark/>
          </w:tcPr>
          <w:p w14:paraId="23963C29" w14:textId="77777777" w:rsidR="0082022E" w:rsidRPr="00566CD3" w:rsidRDefault="0082022E" w:rsidP="00566CD3">
            <w:pPr>
              <w:contextualSpacing/>
              <w:jc w:val="center"/>
            </w:pPr>
            <w:r w:rsidRPr="00566CD3">
              <w:t>14 de janeiro de 2022</w:t>
            </w:r>
          </w:p>
        </w:tc>
      </w:tr>
      <w:tr w:rsidR="0082022E" w:rsidRPr="00D63AB8" w14:paraId="10C06102" w14:textId="77777777" w:rsidTr="00D339B7">
        <w:tc>
          <w:tcPr>
            <w:tcW w:w="344" w:type="pct"/>
            <w:tcBorders>
              <w:top w:val="single" w:sz="4" w:space="0" w:color="auto"/>
              <w:left w:val="nil"/>
              <w:bottom w:val="single" w:sz="4" w:space="0" w:color="auto"/>
              <w:right w:val="nil"/>
            </w:tcBorders>
            <w:vAlign w:val="center"/>
            <w:hideMark/>
          </w:tcPr>
          <w:p w14:paraId="5F8BFC6B" w14:textId="77777777" w:rsidR="0082022E" w:rsidRPr="0082022E" w:rsidRDefault="0082022E" w:rsidP="003B4E9E">
            <w:pPr>
              <w:contextualSpacing/>
              <w:rPr>
                <w:rFonts w:eastAsia="Arial" w:cs="Calibri"/>
                <w:kern w:val="20"/>
              </w:rPr>
            </w:pPr>
            <w:r w:rsidRPr="0082022E">
              <w:rPr>
                <w:rFonts w:eastAsia="Arial" w:cs="Calibri"/>
                <w:kern w:val="20"/>
              </w:rPr>
              <w:t>8</w:t>
            </w:r>
          </w:p>
        </w:tc>
        <w:tc>
          <w:tcPr>
            <w:tcW w:w="2866" w:type="pct"/>
            <w:tcBorders>
              <w:top w:val="single" w:sz="4" w:space="0" w:color="auto"/>
              <w:left w:val="nil"/>
              <w:bottom w:val="single" w:sz="4" w:space="0" w:color="auto"/>
              <w:right w:val="nil"/>
            </w:tcBorders>
            <w:vAlign w:val="center"/>
            <w:hideMark/>
          </w:tcPr>
          <w:p w14:paraId="185F868A" w14:textId="77777777" w:rsidR="0082022E" w:rsidRPr="0082022E" w:rsidRDefault="0082022E" w:rsidP="003B4E9E">
            <w:pPr>
              <w:contextualSpacing/>
              <w:rPr>
                <w:rFonts w:eastAsia="Arial" w:cs="Calibri"/>
                <w:kern w:val="20"/>
              </w:rPr>
            </w:pPr>
            <w:r w:rsidRPr="0082022E">
              <w:rPr>
                <w:rFonts w:eastAsia="Arial" w:cs="Calibri"/>
                <w:kern w:val="20"/>
              </w:rPr>
              <w:t>Divulgação do 2º Comunicado ao Mercado de Modificação da Oferta (alteração de cronograma)</w:t>
            </w:r>
          </w:p>
        </w:tc>
        <w:tc>
          <w:tcPr>
            <w:tcW w:w="1790" w:type="pct"/>
            <w:tcBorders>
              <w:top w:val="single" w:sz="4" w:space="0" w:color="auto"/>
              <w:left w:val="nil"/>
              <w:bottom w:val="single" w:sz="4" w:space="0" w:color="auto"/>
              <w:right w:val="nil"/>
            </w:tcBorders>
            <w:vAlign w:val="center"/>
            <w:hideMark/>
          </w:tcPr>
          <w:p w14:paraId="23B924AA" w14:textId="77777777" w:rsidR="0082022E" w:rsidRPr="0082022E" w:rsidRDefault="0082022E" w:rsidP="003B4E9E">
            <w:pPr>
              <w:contextualSpacing/>
              <w:jc w:val="center"/>
              <w:rPr>
                <w:rFonts w:eastAsia="Arial" w:cs="Calibri"/>
              </w:rPr>
            </w:pPr>
            <w:r w:rsidRPr="0082022E">
              <w:rPr>
                <w:rFonts w:eastAsia="Arial" w:cs="Calibri"/>
              </w:rPr>
              <w:t>7 de fevereiro de 2022</w:t>
            </w:r>
          </w:p>
        </w:tc>
      </w:tr>
      <w:tr w:rsidR="0082022E" w:rsidRPr="00D63AB8" w14:paraId="076D6924" w14:textId="77777777" w:rsidTr="00D339B7">
        <w:tc>
          <w:tcPr>
            <w:tcW w:w="344" w:type="pct"/>
            <w:tcBorders>
              <w:top w:val="single" w:sz="4" w:space="0" w:color="auto"/>
              <w:left w:val="nil"/>
              <w:bottom w:val="single" w:sz="4" w:space="0" w:color="auto"/>
              <w:right w:val="nil"/>
            </w:tcBorders>
            <w:vAlign w:val="center"/>
            <w:hideMark/>
          </w:tcPr>
          <w:p w14:paraId="3F5635A3" w14:textId="77777777" w:rsidR="0082022E" w:rsidRPr="0082022E" w:rsidRDefault="0082022E" w:rsidP="003B4E9E">
            <w:pPr>
              <w:contextualSpacing/>
              <w:rPr>
                <w:rFonts w:eastAsia="Arial" w:cs="Calibri"/>
                <w:kern w:val="20"/>
              </w:rPr>
            </w:pPr>
            <w:r w:rsidRPr="0082022E">
              <w:rPr>
                <w:rFonts w:eastAsia="Arial" w:cs="Calibri"/>
                <w:kern w:val="20"/>
              </w:rPr>
              <w:t>9</w:t>
            </w:r>
          </w:p>
        </w:tc>
        <w:tc>
          <w:tcPr>
            <w:tcW w:w="2866" w:type="pct"/>
            <w:tcBorders>
              <w:top w:val="single" w:sz="4" w:space="0" w:color="auto"/>
              <w:left w:val="nil"/>
              <w:bottom w:val="single" w:sz="4" w:space="0" w:color="auto"/>
              <w:right w:val="nil"/>
            </w:tcBorders>
            <w:vAlign w:val="center"/>
            <w:hideMark/>
          </w:tcPr>
          <w:p w14:paraId="6954729F" w14:textId="71BB1A31" w:rsidR="0082022E" w:rsidRPr="0082022E" w:rsidRDefault="008C76E3" w:rsidP="003B4E9E">
            <w:pPr>
              <w:contextualSpacing/>
              <w:rPr>
                <w:rFonts w:eastAsia="Arial" w:cs="Calibri"/>
                <w:kern w:val="20"/>
              </w:rPr>
            </w:pPr>
            <w:r>
              <w:rPr>
                <w:rFonts w:eastAsia="Arial" w:cs="Calibri"/>
                <w:kern w:val="20"/>
              </w:rPr>
              <w:t>I</w:t>
            </w:r>
            <w:r w:rsidR="0082022E" w:rsidRPr="0082022E">
              <w:rPr>
                <w:rFonts w:eastAsia="Arial" w:cs="Calibri"/>
                <w:kern w:val="20"/>
              </w:rPr>
              <w:t>nício do 1º Período de Desistência</w:t>
            </w:r>
            <w:r w:rsidR="00032A25">
              <w:rPr>
                <w:rFonts w:cs="Calibri"/>
                <w:bCs/>
                <w:vertAlign w:val="superscript"/>
              </w:rPr>
              <w:t>(4)</w:t>
            </w:r>
          </w:p>
        </w:tc>
        <w:tc>
          <w:tcPr>
            <w:tcW w:w="1790" w:type="pct"/>
            <w:tcBorders>
              <w:top w:val="single" w:sz="4" w:space="0" w:color="auto"/>
              <w:left w:val="nil"/>
              <w:bottom w:val="single" w:sz="4" w:space="0" w:color="auto"/>
              <w:right w:val="nil"/>
            </w:tcBorders>
            <w:vAlign w:val="center"/>
            <w:hideMark/>
          </w:tcPr>
          <w:p w14:paraId="67BE37BE" w14:textId="77777777" w:rsidR="0082022E" w:rsidRPr="0082022E" w:rsidRDefault="0082022E" w:rsidP="003B4E9E">
            <w:pPr>
              <w:contextualSpacing/>
              <w:jc w:val="center"/>
              <w:rPr>
                <w:rFonts w:eastAsia="Arial" w:cs="Calibri"/>
              </w:rPr>
            </w:pPr>
            <w:r w:rsidRPr="0082022E">
              <w:rPr>
                <w:rFonts w:eastAsia="Arial" w:cs="Calibri"/>
              </w:rPr>
              <w:t>8 de fevereiro de 2022</w:t>
            </w:r>
          </w:p>
        </w:tc>
      </w:tr>
      <w:tr w:rsidR="0082022E" w:rsidRPr="00D63AB8" w14:paraId="79B7056F" w14:textId="77777777" w:rsidTr="00D339B7">
        <w:tc>
          <w:tcPr>
            <w:tcW w:w="344" w:type="pct"/>
            <w:tcBorders>
              <w:top w:val="single" w:sz="4" w:space="0" w:color="auto"/>
              <w:left w:val="nil"/>
              <w:bottom w:val="single" w:sz="4" w:space="0" w:color="auto"/>
              <w:right w:val="nil"/>
            </w:tcBorders>
            <w:vAlign w:val="center"/>
            <w:hideMark/>
          </w:tcPr>
          <w:p w14:paraId="0B6739E3" w14:textId="6C780C09" w:rsidR="0082022E" w:rsidRPr="00566CD3" w:rsidRDefault="0082022E" w:rsidP="00566CD3">
            <w:pPr>
              <w:contextualSpacing/>
            </w:pPr>
            <w:r w:rsidRPr="0082022E">
              <w:rPr>
                <w:rFonts w:eastAsia="Arial" w:cs="Calibri"/>
                <w:kern w:val="20"/>
              </w:rPr>
              <w:t>10</w:t>
            </w:r>
          </w:p>
        </w:tc>
        <w:tc>
          <w:tcPr>
            <w:tcW w:w="2866" w:type="pct"/>
            <w:tcBorders>
              <w:top w:val="single" w:sz="4" w:space="0" w:color="auto"/>
              <w:left w:val="nil"/>
              <w:bottom w:val="single" w:sz="4" w:space="0" w:color="auto"/>
              <w:right w:val="nil"/>
            </w:tcBorders>
            <w:vAlign w:val="center"/>
            <w:hideMark/>
          </w:tcPr>
          <w:p w14:paraId="12246899" w14:textId="10E3421A" w:rsidR="0082022E" w:rsidRPr="00566CD3" w:rsidRDefault="0082022E" w:rsidP="00566CD3">
            <w:pPr>
              <w:contextualSpacing/>
            </w:pPr>
            <w:r w:rsidRPr="0082022E">
              <w:rPr>
                <w:rFonts w:eastAsia="Arial" w:cs="Calibri"/>
                <w:kern w:val="20"/>
              </w:rPr>
              <w:t>Divulgação, pela Companhia, de demonstrações financeiras do período de nove meses encerrado em 31 de dezembro de 2021</w:t>
            </w:r>
          </w:p>
        </w:tc>
        <w:tc>
          <w:tcPr>
            <w:tcW w:w="1790" w:type="pct"/>
            <w:tcBorders>
              <w:top w:val="single" w:sz="4" w:space="0" w:color="auto"/>
              <w:left w:val="nil"/>
              <w:bottom w:val="single" w:sz="4" w:space="0" w:color="auto"/>
              <w:right w:val="nil"/>
            </w:tcBorders>
            <w:vAlign w:val="center"/>
            <w:hideMark/>
          </w:tcPr>
          <w:p w14:paraId="19CD72BA" w14:textId="796B977D" w:rsidR="0082022E" w:rsidRPr="00566CD3" w:rsidRDefault="0082022E" w:rsidP="00566CD3">
            <w:pPr>
              <w:contextualSpacing/>
              <w:jc w:val="center"/>
            </w:pPr>
            <w:r w:rsidRPr="0082022E">
              <w:rPr>
                <w:rFonts w:eastAsia="Arial" w:cs="Calibri"/>
              </w:rPr>
              <w:t>14</w:t>
            </w:r>
            <w:r w:rsidRPr="00566CD3">
              <w:t xml:space="preserve"> de fevereiro de 2022</w:t>
            </w:r>
          </w:p>
        </w:tc>
      </w:tr>
      <w:tr w:rsidR="0082022E" w:rsidRPr="00D63AB8" w14:paraId="28F6A67A" w14:textId="77777777" w:rsidTr="00D339B7">
        <w:tc>
          <w:tcPr>
            <w:tcW w:w="344" w:type="pct"/>
            <w:tcBorders>
              <w:top w:val="single" w:sz="4" w:space="0" w:color="auto"/>
              <w:left w:val="nil"/>
              <w:bottom w:val="single" w:sz="4" w:space="0" w:color="auto"/>
              <w:right w:val="nil"/>
            </w:tcBorders>
            <w:vAlign w:val="center"/>
            <w:hideMark/>
          </w:tcPr>
          <w:p w14:paraId="7D58788B" w14:textId="77777777" w:rsidR="0082022E" w:rsidRPr="0082022E" w:rsidRDefault="0082022E" w:rsidP="003B4E9E">
            <w:pPr>
              <w:contextualSpacing/>
              <w:rPr>
                <w:rFonts w:eastAsia="Arial" w:cs="Calibri"/>
                <w:kern w:val="20"/>
              </w:rPr>
            </w:pPr>
            <w:r w:rsidRPr="0082022E">
              <w:rPr>
                <w:rFonts w:eastAsia="Arial" w:cs="Calibri"/>
                <w:kern w:val="20"/>
              </w:rPr>
              <w:t>11</w:t>
            </w:r>
          </w:p>
        </w:tc>
        <w:tc>
          <w:tcPr>
            <w:tcW w:w="2866" w:type="pct"/>
            <w:tcBorders>
              <w:top w:val="single" w:sz="4" w:space="0" w:color="auto"/>
              <w:left w:val="nil"/>
              <w:bottom w:val="single" w:sz="4" w:space="0" w:color="auto"/>
              <w:right w:val="nil"/>
            </w:tcBorders>
            <w:vAlign w:val="center"/>
            <w:hideMark/>
          </w:tcPr>
          <w:p w14:paraId="46156B33" w14:textId="77777777" w:rsidR="0082022E" w:rsidRPr="0082022E" w:rsidRDefault="0082022E" w:rsidP="003B4E9E">
            <w:pPr>
              <w:contextualSpacing/>
              <w:rPr>
                <w:rFonts w:eastAsia="Arial" w:cs="Calibri"/>
                <w:kern w:val="20"/>
              </w:rPr>
            </w:pPr>
            <w:r w:rsidRPr="0082022E">
              <w:rPr>
                <w:rFonts w:eastAsia="Arial" w:cs="Calibri"/>
                <w:kern w:val="20"/>
              </w:rPr>
              <w:t>Encerramento do 1º Período de Desistência</w:t>
            </w:r>
          </w:p>
        </w:tc>
        <w:tc>
          <w:tcPr>
            <w:tcW w:w="1790" w:type="pct"/>
            <w:tcBorders>
              <w:top w:val="single" w:sz="4" w:space="0" w:color="auto"/>
              <w:left w:val="nil"/>
              <w:bottom w:val="single" w:sz="4" w:space="0" w:color="auto"/>
              <w:right w:val="nil"/>
            </w:tcBorders>
            <w:vAlign w:val="center"/>
            <w:hideMark/>
          </w:tcPr>
          <w:p w14:paraId="3EBE635C" w14:textId="77777777" w:rsidR="0082022E" w:rsidRPr="0082022E" w:rsidRDefault="0082022E" w:rsidP="003B4E9E">
            <w:pPr>
              <w:contextualSpacing/>
              <w:jc w:val="center"/>
              <w:rPr>
                <w:rFonts w:eastAsia="Arial" w:cs="Calibri"/>
              </w:rPr>
            </w:pPr>
            <w:r w:rsidRPr="0082022E">
              <w:rPr>
                <w:rFonts w:eastAsia="Arial" w:cs="Calibri"/>
              </w:rPr>
              <w:t>15 de fevereiro de 2022</w:t>
            </w:r>
          </w:p>
        </w:tc>
      </w:tr>
      <w:tr w:rsidR="0082022E" w:rsidRPr="00D63AB8" w14:paraId="7043E1F6" w14:textId="77777777" w:rsidTr="00D339B7">
        <w:tc>
          <w:tcPr>
            <w:tcW w:w="344" w:type="pct"/>
            <w:tcBorders>
              <w:top w:val="single" w:sz="4" w:space="0" w:color="auto"/>
              <w:left w:val="nil"/>
              <w:bottom w:val="single" w:sz="4" w:space="0" w:color="auto"/>
              <w:right w:val="nil"/>
            </w:tcBorders>
            <w:vAlign w:val="center"/>
            <w:hideMark/>
          </w:tcPr>
          <w:p w14:paraId="195D58EF" w14:textId="2F9F9185" w:rsidR="0082022E" w:rsidRPr="00566CD3" w:rsidRDefault="0082022E" w:rsidP="00566CD3">
            <w:pPr>
              <w:contextualSpacing/>
            </w:pPr>
            <w:r w:rsidRPr="0082022E">
              <w:rPr>
                <w:rFonts w:eastAsia="Arial" w:cs="Calibri"/>
                <w:kern w:val="20"/>
              </w:rPr>
              <w:t>12</w:t>
            </w:r>
          </w:p>
        </w:tc>
        <w:tc>
          <w:tcPr>
            <w:tcW w:w="2866" w:type="pct"/>
            <w:tcBorders>
              <w:top w:val="single" w:sz="4" w:space="0" w:color="auto"/>
              <w:left w:val="nil"/>
              <w:bottom w:val="single" w:sz="4" w:space="0" w:color="auto"/>
              <w:right w:val="nil"/>
            </w:tcBorders>
            <w:vAlign w:val="center"/>
            <w:hideMark/>
          </w:tcPr>
          <w:p w14:paraId="3402558B" w14:textId="49EE5AE2" w:rsidR="0082022E" w:rsidRPr="00566CD3" w:rsidRDefault="0082022E" w:rsidP="00566CD3">
            <w:pPr>
              <w:spacing w:line="240" w:lineRule="auto"/>
              <w:contextualSpacing/>
              <w:rPr>
                <w:kern w:val="20"/>
              </w:rPr>
            </w:pPr>
            <w:r w:rsidRPr="00566CD3">
              <w:rPr>
                <w:kern w:val="20"/>
              </w:rPr>
              <w:t xml:space="preserve">Disponibilização </w:t>
            </w:r>
            <w:r w:rsidRPr="0082022E">
              <w:rPr>
                <w:rFonts w:eastAsia="Arial" w:cs="Calibri"/>
                <w:kern w:val="20"/>
              </w:rPr>
              <w:t>de nova versão d</w:t>
            </w:r>
            <w:r w:rsidR="0034618E">
              <w:rPr>
                <w:rFonts w:eastAsia="Arial" w:cs="Calibri"/>
                <w:kern w:val="20"/>
              </w:rPr>
              <w:t>o</w:t>
            </w:r>
            <w:r w:rsidRPr="0082022E">
              <w:rPr>
                <w:rFonts w:eastAsia="Arial" w:cs="Calibri"/>
                <w:kern w:val="20"/>
              </w:rPr>
              <w:t xml:space="preserve"> </w:t>
            </w:r>
            <w:r w:rsidRPr="00566CD3">
              <w:rPr>
                <w:kern w:val="20"/>
              </w:rPr>
              <w:t xml:space="preserve">Prospecto </w:t>
            </w:r>
            <w:r w:rsidRPr="0082022E">
              <w:rPr>
                <w:rFonts w:eastAsia="Arial" w:cs="Calibri"/>
                <w:kern w:val="20"/>
              </w:rPr>
              <w:t>Preliminar</w:t>
            </w:r>
            <w:r w:rsidRPr="0082022E">
              <w:rPr>
                <w:rFonts w:cs="Calibri"/>
                <w:bCs/>
                <w:vertAlign w:val="superscript"/>
              </w:rPr>
              <w:t>(</w:t>
            </w:r>
            <w:r w:rsidR="00032A25">
              <w:rPr>
                <w:rFonts w:cs="Calibri"/>
                <w:bCs/>
                <w:vertAlign w:val="superscript"/>
              </w:rPr>
              <w:t>5</w:t>
            </w:r>
            <w:r w:rsidRPr="0082022E">
              <w:rPr>
                <w:rFonts w:cs="Calibri"/>
                <w:bCs/>
                <w:vertAlign w:val="superscript"/>
              </w:rPr>
              <w:t>)</w:t>
            </w:r>
            <w:r w:rsidRPr="0082022E">
              <w:rPr>
                <w:rFonts w:eastAsia="Arial" w:cs="Calibri"/>
                <w:bCs/>
                <w:kern w:val="20"/>
              </w:rPr>
              <w:t xml:space="preserve"> </w:t>
            </w:r>
            <w:r w:rsidRPr="0082022E">
              <w:rPr>
                <w:rFonts w:eastAsia="Arial" w:cs="Calibri"/>
                <w:kern w:val="20"/>
              </w:rPr>
              <w:br/>
              <w:t>Divulgação de 3º Comunicado ao Mercado, para abrir o  2º Período de Desistência</w:t>
            </w:r>
          </w:p>
        </w:tc>
        <w:tc>
          <w:tcPr>
            <w:tcW w:w="1790" w:type="pct"/>
            <w:tcBorders>
              <w:top w:val="single" w:sz="4" w:space="0" w:color="auto"/>
              <w:left w:val="nil"/>
              <w:bottom w:val="single" w:sz="4" w:space="0" w:color="auto"/>
              <w:right w:val="nil"/>
            </w:tcBorders>
            <w:vAlign w:val="center"/>
            <w:hideMark/>
          </w:tcPr>
          <w:p w14:paraId="589892C8" w14:textId="7FECCCAA" w:rsidR="0082022E" w:rsidRPr="00566CD3" w:rsidRDefault="0082022E" w:rsidP="00566CD3">
            <w:pPr>
              <w:contextualSpacing/>
              <w:jc w:val="center"/>
            </w:pPr>
            <w:r w:rsidRPr="0082022E">
              <w:rPr>
                <w:rFonts w:eastAsia="Arial" w:cs="Calibri"/>
              </w:rPr>
              <w:t>16</w:t>
            </w:r>
            <w:r w:rsidRPr="00566CD3">
              <w:t xml:space="preserve"> de fevereiro de 2022</w:t>
            </w:r>
          </w:p>
        </w:tc>
      </w:tr>
      <w:tr w:rsidR="0082022E" w:rsidRPr="00D63AB8" w14:paraId="1EF91F15" w14:textId="77777777" w:rsidTr="00D339B7">
        <w:tc>
          <w:tcPr>
            <w:tcW w:w="344" w:type="pct"/>
            <w:tcBorders>
              <w:top w:val="single" w:sz="4" w:space="0" w:color="auto"/>
              <w:left w:val="nil"/>
              <w:bottom w:val="single" w:sz="4" w:space="0" w:color="auto"/>
              <w:right w:val="nil"/>
            </w:tcBorders>
            <w:vAlign w:val="center"/>
            <w:hideMark/>
          </w:tcPr>
          <w:p w14:paraId="77409C5D" w14:textId="77777777" w:rsidR="0082022E" w:rsidRPr="0082022E" w:rsidRDefault="0082022E" w:rsidP="003B4E9E">
            <w:pPr>
              <w:contextualSpacing/>
              <w:rPr>
                <w:rFonts w:eastAsia="Arial" w:cs="Calibri"/>
                <w:kern w:val="20"/>
              </w:rPr>
            </w:pPr>
            <w:r w:rsidRPr="0082022E">
              <w:rPr>
                <w:rFonts w:eastAsia="Arial" w:cs="Calibri"/>
                <w:kern w:val="20"/>
              </w:rPr>
              <w:t>13</w:t>
            </w:r>
          </w:p>
        </w:tc>
        <w:tc>
          <w:tcPr>
            <w:tcW w:w="2866" w:type="pct"/>
            <w:tcBorders>
              <w:top w:val="single" w:sz="4" w:space="0" w:color="auto"/>
              <w:left w:val="nil"/>
              <w:bottom w:val="single" w:sz="4" w:space="0" w:color="auto"/>
              <w:right w:val="nil"/>
            </w:tcBorders>
            <w:vAlign w:val="center"/>
            <w:hideMark/>
          </w:tcPr>
          <w:p w14:paraId="04BBA1B0" w14:textId="4B3B52DE" w:rsidR="0082022E" w:rsidRPr="0082022E" w:rsidRDefault="0082022E" w:rsidP="003B4E9E">
            <w:pPr>
              <w:contextualSpacing/>
              <w:rPr>
                <w:rFonts w:eastAsia="Arial" w:cs="Calibri"/>
                <w:kern w:val="20"/>
              </w:rPr>
            </w:pPr>
            <w:r w:rsidRPr="0082022E">
              <w:rPr>
                <w:rFonts w:eastAsia="Arial" w:cs="Calibri"/>
                <w:kern w:val="20"/>
              </w:rPr>
              <w:t>Início do 2º Período de Desistência</w:t>
            </w:r>
            <w:r w:rsidR="00032A25">
              <w:rPr>
                <w:rFonts w:cs="Calibri"/>
                <w:bCs/>
                <w:vertAlign w:val="superscript"/>
              </w:rPr>
              <w:t>(4)</w:t>
            </w:r>
          </w:p>
        </w:tc>
        <w:tc>
          <w:tcPr>
            <w:tcW w:w="1790" w:type="pct"/>
            <w:tcBorders>
              <w:top w:val="single" w:sz="4" w:space="0" w:color="auto"/>
              <w:left w:val="nil"/>
              <w:bottom w:val="single" w:sz="4" w:space="0" w:color="auto"/>
              <w:right w:val="nil"/>
            </w:tcBorders>
            <w:vAlign w:val="center"/>
            <w:hideMark/>
          </w:tcPr>
          <w:p w14:paraId="2D3680D4" w14:textId="77777777" w:rsidR="0082022E" w:rsidRPr="0082022E" w:rsidRDefault="0082022E" w:rsidP="003B4E9E">
            <w:pPr>
              <w:contextualSpacing/>
              <w:jc w:val="center"/>
              <w:rPr>
                <w:rFonts w:eastAsia="Arial" w:cs="Calibri"/>
              </w:rPr>
            </w:pPr>
            <w:r w:rsidRPr="0082022E">
              <w:rPr>
                <w:rFonts w:eastAsia="Arial" w:cs="Calibri"/>
              </w:rPr>
              <w:t>17 de fevereiro de 2022</w:t>
            </w:r>
          </w:p>
        </w:tc>
      </w:tr>
      <w:tr w:rsidR="0082022E" w:rsidRPr="00D63AB8" w14:paraId="09E3229A" w14:textId="77777777" w:rsidTr="00D339B7">
        <w:tc>
          <w:tcPr>
            <w:tcW w:w="344" w:type="pct"/>
            <w:tcBorders>
              <w:top w:val="single" w:sz="4" w:space="0" w:color="auto"/>
              <w:left w:val="nil"/>
              <w:bottom w:val="single" w:sz="4" w:space="0" w:color="auto"/>
              <w:right w:val="nil"/>
            </w:tcBorders>
            <w:vAlign w:val="center"/>
            <w:hideMark/>
          </w:tcPr>
          <w:p w14:paraId="562A28D7" w14:textId="77777777" w:rsidR="0082022E" w:rsidRPr="0082022E" w:rsidRDefault="0082022E" w:rsidP="003B4E9E">
            <w:pPr>
              <w:contextualSpacing/>
              <w:rPr>
                <w:rFonts w:eastAsia="Arial" w:cs="Calibri"/>
                <w:kern w:val="20"/>
              </w:rPr>
            </w:pPr>
            <w:r w:rsidRPr="0082022E">
              <w:rPr>
                <w:rFonts w:eastAsia="Arial" w:cs="Calibri"/>
              </w:rPr>
              <w:t>14</w:t>
            </w:r>
          </w:p>
        </w:tc>
        <w:tc>
          <w:tcPr>
            <w:tcW w:w="2866" w:type="pct"/>
            <w:tcBorders>
              <w:top w:val="single" w:sz="4" w:space="0" w:color="auto"/>
              <w:left w:val="nil"/>
              <w:bottom w:val="single" w:sz="4" w:space="0" w:color="auto"/>
              <w:right w:val="nil"/>
            </w:tcBorders>
            <w:vAlign w:val="center"/>
            <w:hideMark/>
          </w:tcPr>
          <w:p w14:paraId="2A6DB37F" w14:textId="77777777" w:rsidR="0082022E" w:rsidRPr="0082022E" w:rsidRDefault="0082022E" w:rsidP="003B4E9E">
            <w:pPr>
              <w:contextualSpacing/>
              <w:rPr>
                <w:rFonts w:eastAsia="Arial" w:cs="Calibri"/>
                <w:kern w:val="20"/>
              </w:rPr>
            </w:pPr>
            <w:r w:rsidRPr="0082022E">
              <w:rPr>
                <w:rFonts w:eastAsia="Arial" w:cs="Calibri"/>
                <w:kern w:val="20"/>
              </w:rPr>
              <w:t>Encerramento do 2º Período de Desistência</w:t>
            </w:r>
          </w:p>
        </w:tc>
        <w:tc>
          <w:tcPr>
            <w:tcW w:w="1790" w:type="pct"/>
            <w:tcBorders>
              <w:top w:val="single" w:sz="4" w:space="0" w:color="auto"/>
              <w:left w:val="nil"/>
              <w:bottom w:val="single" w:sz="4" w:space="0" w:color="auto"/>
              <w:right w:val="nil"/>
            </w:tcBorders>
            <w:vAlign w:val="center"/>
            <w:hideMark/>
          </w:tcPr>
          <w:p w14:paraId="4D8BDE7C" w14:textId="77777777" w:rsidR="0082022E" w:rsidRPr="0082022E" w:rsidRDefault="0082022E" w:rsidP="003B4E9E">
            <w:pPr>
              <w:contextualSpacing/>
              <w:jc w:val="center"/>
              <w:rPr>
                <w:rFonts w:eastAsia="Arial" w:cs="Calibri"/>
              </w:rPr>
            </w:pPr>
            <w:r w:rsidRPr="0082022E">
              <w:rPr>
                <w:rFonts w:eastAsia="Arial" w:cs="Calibri"/>
              </w:rPr>
              <w:t>24 de fevereiro de 2022</w:t>
            </w:r>
          </w:p>
        </w:tc>
      </w:tr>
      <w:tr w:rsidR="0082022E" w:rsidRPr="00D63AB8" w14:paraId="22F9A58D" w14:textId="77777777" w:rsidTr="00D339B7">
        <w:tc>
          <w:tcPr>
            <w:tcW w:w="344" w:type="pct"/>
            <w:tcBorders>
              <w:top w:val="single" w:sz="4" w:space="0" w:color="auto"/>
              <w:left w:val="nil"/>
              <w:bottom w:val="single" w:sz="4" w:space="0" w:color="auto"/>
              <w:right w:val="nil"/>
            </w:tcBorders>
            <w:vAlign w:val="center"/>
            <w:hideMark/>
          </w:tcPr>
          <w:p w14:paraId="69B32278" w14:textId="77777777" w:rsidR="0082022E" w:rsidRPr="0082022E" w:rsidRDefault="0082022E" w:rsidP="003B4E9E">
            <w:pPr>
              <w:contextualSpacing/>
              <w:rPr>
                <w:rFonts w:eastAsia="Arial" w:cs="Calibri"/>
                <w:kern w:val="20"/>
              </w:rPr>
            </w:pPr>
            <w:r w:rsidRPr="0082022E">
              <w:rPr>
                <w:rFonts w:eastAsia="Arial" w:cs="Calibri"/>
                <w:kern w:val="20"/>
              </w:rPr>
              <w:t>15</w:t>
            </w:r>
          </w:p>
        </w:tc>
        <w:tc>
          <w:tcPr>
            <w:tcW w:w="2866" w:type="pct"/>
            <w:tcBorders>
              <w:top w:val="single" w:sz="4" w:space="0" w:color="auto"/>
              <w:left w:val="nil"/>
              <w:bottom w:val="single" w:sz="4" w:space="0" w:color="auto"/>
              <w:right w:val="nil"/>
            </w:tcBorders>
            <w:vAlign w:val="center"/>
            <w:hideMark/>
          </w:tcPr>
          <w:p w14:paraId="183E3C19" w14:textId="77777777" w:rsidR="0082022E" w:rsidRPr="0082022E" w:rsidRDefault="0082022E" w:rsidP="003B4E9E">
            <w:pPr>
              <w:contextualSpacing/>
              <w:rPr>
                <w:rFonts w:eastAsia="Arial" w:cs="Calibri"/>
                <w:kern w:val="20"/>
              </w:rPr>
            </w:pPr>
            <w:r w:rsidRPr="0082022E">
              <w:rPr>
                <w:rFonts w:eastAsia="Arial" w:cs="Calibri"/>
                <w:kern w:val="20"/>
              </w:rPr>
              <w:t>Registro da Oferta pela CVM</w:t>
            </w:r>
          </w:p>
        </w:tc>
        <w:tc>
          <w:tcPr>
            <w:tcW w:w="1790" w:type="pct"/>
            <w:tcBorders>
              <w:top w:val="single" w:sz="4" w:space="0" w:color="auto"/>
              <w:left w:val="nil"/>
              <w:bottom w:val="single" w:sz="4" w:space="0" w:color="auto"/>
              <w:right w:val="nil"/>
            </w:tcBorders>
            <w:vAlign w:val="center"/>
            <w:hideMark/>
          </w:tcPr>
          <w:p w14:paraId="26945124" w14:textId="77777777" w:rsidR="0082022E" w:rsidRPr="0082022E" w:rsidRDefault="0082022E" w:rsidP="003B4E9E">
            <w:pPr>
              <w:contextualSpacing/>
              <w:jc w:val="center"/>
              <w:rPr>
                <w:rFonts w:eastAsia="Arial" w:cs="Calibri"/>
              </w:rPr>
            </w:pPr>
            <w:r w:rsidRPr="0082022E">
              <w:rPr>
                <w:rFonts w:eastAsia="Arial" w:cs="Calibri"/>
              </w:rPr>
              <w:t>18 de março de 2022</w:t>
            </w:r>
          </w:p>
        </w:tc>
      </w:tr>
      <w:tr w:rsidR="0082022E" w:rsidRPr="00D63AB8" w14:paraId="2916F511" w14:textId="77777777" w:rsidTr="00D339B7">
        <w:tc>
          <w:tcPr>
            <w:tcW w:w="344" w:type="pct"/>
            <w:tcBorders>
              <w:top w:val="single" w:sz="4" w:space="0" w:color="auto"/>
              <w:left w:val="nil"/>
              <w:bottom w:val="single" w:sz="4" w:space="0" w:color="auto"/>
              <w:right w:val="nil"/>
            </w:tcBorders>
            <w:vAlign w:val="center"/>
            <w:hideMark/>
          </w:tcPr>
          <w:p w14:paraId="5E50D309" w14:textId="77777777" w:rsidR="0082022E" w:rsidRPr="0082022E" w:rsidRDefault="0082022E" w:rsidP="003B4E9E">
            <w:pPr>
              <w:contextualSpacing/>
              <w:rPr>
                <w:rFonts w:eastAsia="Arial" w:cs="Calibri"/>
              </w:rPr>
            </w:pPr>
            <w:r w:rsidRPr="0082022E">
              <w:rPr>
                <w:rFonts w:eastAsia="Arial" w:cs="Calibri"/>
              </w:rPr>
              <w:t>16</w:t>
            </w:r>
          </w:p>
        </w:tc>
        <w:tc>
          <w:tcPr>
            <w:tcW w:w="2866" w:type="pct"/>
            <w:tcBorders>
              <w:top w:val="single" w:sz="4" w:space="0" w:color="auto"/>
              <w:left w:val="nil"/>
              <w:bottom w:val="single" w:sz="4" w:space="0" w:color="auto"/>
              <w:right w:val="nil"/>
            </w:tcBorders>
            <w:vAlign w:val="center"/>
            <w:hideMark/>
          </w:tcPr>
          <w:p w14:paraId="5DBCDEAD" w14:textId="77777777" w:rsidR="0082022E" w:rsidRPr="0082022E" w:rsidRDefault="0082022E" w:rsidP="003B4E9E">
            <w:pPr>
              <w:contextualSpacing/>
              <w:rPr>
                <w:rFonts w:eastAsia="Arial" w:cs="Calibri"/>
                <w:kern w:val="20"/>
              </w:rPr>
            </w:pPr>
            <w:r w:rsidRPr="0082022E">
              <w:rPr>
                <w:rFonts w:eastAsia="Arial" w:cs="Calibri"/>
                <w:kern w:val="20"/>
              </w:rPr>
              <w:t>Divulgação do Anúncio de Início</w:t>
            </w:r>
          </w:p>
          <w:p w14:paraId="31B78DF5" w14:textId="77777777" w:rsidR="0082022E" w:rsidRPr="0082022E" w:rsidRDefault="0082022E" w:rsidP="003B4E9E">
            <w:pPr>
              <w:contextualSpacing/>
              <w:rPr>
                <w:rFonts w:eastAsia="Arial" w:cs="Calibri"/>
                <w:kern w:val="20"/>
              </w:rPr>
            </w:pPr>
            <w:r w:rsidRPr="0082022E">
              <w:rPr>
                <w:rFonts w:eastAsia="Arial" w:cs="Calibri"/>
                <w:kern w:val="20"/>
              </w:rPr>
              <w:t>Data de Início da Oferta</w:t>
            </w:r>
          </w:p>
          <w:p w14:paraId="69CDB430" w14:textId="77777777" w:rsidR="0082022E" w:rsidRPr="0082022E" w:rsidRDefault="0082022E" w:rsidP="003B4E9E">
            <w:pPr>
              <w:contextualSpacing/>
              <w:rPr>
                <w:rFonts w:eastAsia="Arial" w:cs="Calibri"/>
                <w:kern w:val="20"/>
              </w:rPr>
            </w:pPr>
            <w:r w:rsidRPr="0082022E">
              <w:rPr>
                <w:rFonts w:eastAsia="Arial" w:cs="Calibri"/>
                <w:kern w:val="20"/>
              </w:rPr>
              <w:t>Disponibilização d</w:t>
            </w:r>
            <w:r w:rsidR="0034618E">
              <w:rPr>
                <w:rFonts w:eastAsia="Arial" w:cs="Calibri"/>
                <w:kern w:val="20"/>
              </w:rPr>
              <w:t>este</w:t>
            </w:r>
            <w:r w:rsidRPr="0082022E">
              <w:rPr>
                <w:rFonts w:eastAsia="Arial" w:cs="Calibri"/>
                <w:kern w:val="20"/>
              </w:rPr>
              <w:t xml:space="preserve"> Prospecto Definitivo</w:t>
            </w:r>
          </w:p>
        </w:tc>
        <w:tc>
          <w:tcPr>
            <w:tcW w:w="1790" w:type="pct"/>
            <w:tcBorders>
              <w:top w:val="single" w:sz="4" w:space="0" w:color="auto"/>
              <w:left w:val="nil"/>
              <w:bottom w:val="single" w:sz="4" w:space="0" w:color="auto"/>
              <w:right w:val="nil"/>
            </w:tcBorders>
            <w:vAlign w:val="center"/>
            <w:hideMark/>
          </w:tcPr>
          <w:p w14:paraId="13867A85" w14:textId="77777777" w:rsidR="0082022E" w:rsidRPr="0082022E" w:rsidRDefault="0082022E" w:rsidP="003B4E9E">
            <w:pPr>
              <w:contextualSpacing/>
              <w:jc w:val="center"/>
              <w:rPr>
                <w:rFonts w:eastAsia="Arial" w:cs="Calibri"/>
              </w:rPr>
            </w:pPr>
            <w:r w:rsidRPr="0082022E">
              <w:rPr>
                <w:rFonts w:eastAsia="Arial" w:cs="Calibri"/>
              </w:rPr>
              <w:t>21 de março de 2022</w:t>
            </w:r>
          </w:p>
        </w:tc>
      </w:tr>
      <w:tr w:rsidR="0082022E" w:rsidRPr="00D63AB8" w14:paraId="3FBC1171" w14:textId="77777777" w:rsidTr="00D339B7">
        <w:tc>
          <w:tcPr>
            <w:tcW w:w="344" w:type="pct"/>
            <w:tcBorders>
              <w:top w:val="single" w:sz="4" w:space="0" w:color="auto"/>
              <w:left w:val="nil"/>
              <w:bottom w:val="single" w:sz="4" w:space="0" w:color="auto"/>
              <w:right w:val="nil"/>
            </w:tcBorders>
            <w:vAlign w:val="center"/>
            <w:hideMark/>
          </w:tcPr>
          <w:p w14:paraId="70C46237" w14:textId="546313EF" w:rsidR="0082022E" w:rsidRPr="00566CD3" w:rsidRDefault="0082022E" w:rsidP="00566CD3">
            <w:pPr>
              <w:contextualSpacing/>
            </w:pPr>
            <w:r w:rsidRPr="0082022E">
              <w:rPr>
                <w:rFonts w:eastAsia="Arial" w:cs="Calibri"/>
              </w:rPr>
              <w:t>17</w:t>
            </w:r>
          </w:p>
        </w:tc>
        <w:tc>
          <w:tcPr>
            <w:tcW w:w="2866" w:type="pct"/>
            <w:tcBorders>
              <w:top w:val="single" w:sz="4" w:space="0" w:color="auto"/>
              <w:left w:val="nil"/>
              <w:bottom w:val="single" w:sz="4" w:space="0" w:color="auto"/>
              <w:right w:val="nil"/>
            </w:tcBorders>
            <w:vAlign w:val="center"/>
            <w:hideMark/>
          </w:tcPr>
          <w:p w14:paraId="38F8DE67" w14:textId="15E1491A" w:rsidR="0082022E" w:rsidRPr="00566CD3" w:rsidRDefault="005354F6" w:rsidP="00566CD3">
            <w:pPr>
              <w:spacing w:line="240" w:lineRule="auto"/>
              <w:contextualSpacing/>
              <w:rPr>
                <w:kern w:val="20"/>
              </w:rPr>
            </w:pPr>
            <w:r>
              <w:rPr>
                <w:rFonts w:eastAsia="Arial" w:cs="Calibri"/>
              </w:rPr>
              <w:t xml:space="preserve">Primeira </w:t>
            </w:r>
            <w:r w:rsidRPr="00755244">
              <w:rPr>
                <w:rFonts w:eastAsia="Arial" w:cs="Calibri"/>
              </w:rPr>
              <w:t>Liquidação Financeira das Debêntures</w:t>
            </w:r>
            <w:r w:rsidR="00032A25">
              <w:rPr>
                <w:rFonts w:cs="Calibri"/>
                <w:sz w:val="18"/>
                <w:szCs w:val="18"/>
                <w:vertAlign w:val="superscript"/>
              </w:rPr>
              <w:t>(6)</w:t>
            </w:r>
          </w:p>
        </w:tc>
        <w:tc>
          <w:tcPr>
            <w:tcW w:w="1790" w:type="pct"/>
            <w:tcBorders>
              <w:top w:val="single" w:sz="4" w:space="0" w:color="auto"/>
              <w:left w:val="nil"/>
              <w:bottom w:val="single" w:sz="4" w:space="0" w:color="auto"/>
              <w:right w:val="nil"/>
            </w:tcBorders>
            <w:vAlign w:val="center"/>
            <w:hideMark/>
          </w:tcPr>
          <w:p w14:paraId="3E78EA2A" w14:textId="14BCAB30" w:rsidR="0082022E" w:rsidRPr="00566CD3" w:rsidRDefault="0082022E" w:rsidP="00566CD3">
            <w:pPr>
              <w:contextualSpacing/>
              <w:jc w:val="center"/>
            </w:pPr>
            <w:r w:rsidRPr="0082022E">
              <w:rPr>
                <w:rFonts w:eastAsia="Arial" w:cs="Calibri"/>
              </w:rPr>
              <w:t>22</w:t>
            </w:r>
            <w:r w:rsidRPr="00566CD3">
              <w:t xml:space="preserve"> de </w:t>
            </w:r>
            <w:r w:rsidRPr="0082022E">
              <w:rPr>
                <w:rFonts w:eastAsia="Arial" w:cs="Calibri"/>
              </w:rPr>
              <w:t>março</w:t>
            </w:r>
            <w:r w:rsidRPr="00566CD3">
              <w:t xml:space="preserve"> de 2022</w:t>
            </w:r>
          </w:p>
        </w:tc>
      </w:tr>
      <w:tr w:rsidR="0082022E" w:rsidRPr="00D63AB8" w14:paraId="28B8278B" w14:textId="77777777" w:rsidTr="00D339B7">
        <w:tc>
          <w:tcPr>
            <w:tcW w:w="344" w:type="pct"/>
            <w:tcBorders>
              <w:top w:val="single" w:sz="4" w:space="0" w:color="auto"/>
              <w:left w:val="nil"/>
              <w:bottom w:val="single" w:sz="4" w:space="0" w:color="auto"/>
              <w:right w:val="nil"/>
            </w:tcBorders>
            <w:vAlign w:val="center"/>
            <w:hideMark/>
          </w:tcPr>
          <w:p w14:paraId="2CF60121" w14:textId="0BB1848C" w:rsidR="0082022E" w:rsidRPr="00566CD3" w:rsidRDefault="0082022E" w:rsidP="00566CD3">
            <w:pPr>
              <w:contextualSpacing/>
            </w:pPr>
            <w:r w:rsidRPr="0082022E">
              <w:rPr>
                <w:rFonts w:eastAsia="Arial" w:cs="Calibri"/>
              </w:rPr>
              <w:lastRenderedPageBreak/>
              <w:t>18</w:t>
            </w:r>
          </w:p>
        </w:tc>
        <w:tc>
          <w:tcPr>
            <w:tcW w:w="2866" w:type="pct"/>
            <w:tcBorders>
              <w:top w:val="single" w:sz="4" w:space="0" w:color="auto"/>
              <w:left w:val="nil"/>
              <w:bottom w:val="single" w:sz="4" w:space="0" w:color="auto"/>
              <w:right w:val="nil"/>
            </w:tcBorders>
            <w:vAlign w:val="center"/>
            <w:hideMark/>
          </w:tcPr>
          <w:p w14:paraId="74962A19" w14:textId="77777777" w:rsidR="0082022E" w:rsidRPr="00566CD3" w:rsidRDefault="0082022E" w:rsidP="00566CD3">
            <w:pPr>
              <w:contextualSpacing/>
            </w:pPr>
            <w:r w:rsidRPr="00566CD3">
              <w:rPr>
                <w:kern w:val="20"/>
              </w:rPr>
              <w:t>Data Máxima para Divulgação do Anúncio de Encerramento da Oferta</w:t>
            </w:r>
          </w:p>
        </w:tc>
        <w:tc>
          <w:tcPr>
            <w:tcW w:w="1790" w:type="pct"/>
            <w:tcBorders>
              <w:top w:val="single" w:sz="4" w:space="0" w:color="auto"/>
              <w:left w:val="nil"/>
              <w:bottom w:val="single" w:sz="4" w:space="0" w:color="auto"/>
              <w:right w:val="nil"/>
            </w:tcBorders>
            <w:vAlign w:val="center"/>
            <w:hideMark/>
          </w:tcPr>
          <w:p w14:paraId="3FD9FC7D" w14:textId="2F0FCE24" w:rsidR="0082022E" w:rsidRPr="00566CD3" w:rsidRDefault="0082022E" w:rsidP="00566CD3">
            <w:pPr>
              <w:contextualSpacing/>
              <w:jc w:val="center"/>
            </w:pPr>
            <w:r w:rsidRPr="0082022E">
              <w:rPr>
                <w:rFonts w:eastAsia="Arial" w:cs="Calibri"/>
              </w:rPr>
              <w:t>21</w:t>
            </w:r>
            <w:r w:rsidRPr="00566CD3">
              <w:t xml:space="preserve"> de </w:t>
            </w:r>
            <w:r w:rsidRPr="0082022E">
              <w:rPr>
                <w:rFonts w:eastAsia="Arial" w:cs="Calibri"/>
              </w:rPr>
              <w:t>setembro</w:t>
            </w:r>
            <w:r w:rsidRPr="00566CD3">
              <w:t xml:space="preserve"> de 2022</w:t>
            </w:r>
          </w:p>
        </w:tc>
      </w:tr>
      <w:tr w:rsidR="0082022E" w:rsidRPr="00D63AB8" w14:paraId="68CEDEF1" w14:textId="77777777" w:rsidTr="00D339B7">
        <w:tc>
          <w:tcPr>
            <w:tcW w:w="344" w:type="pct"/>
            <w:tcBorders>
              <w:top w:val="single" w:sz="4" w:space="0" w:color="auto"/>
              <w:left w:val="nil"/>
              <w:bottom w:val="single" w:sz="4" w:space="0" w:color="auto"/>
              <w:right w:val="nil"/>
            </w:tcBorders>
            <w:vAlign w:val="center"/>
            <w:hideMark/>
          </w:tcPr>
          <w:p w14:paraId="3BD1DB0F" w14:textId="72BD787E" w:rsidR="0082022E" w:rsidRPr="00566CD3" w:rsidRDefault="0082022E" w:rsidP="00566CD3">
            <w:pPr>
              <w:contextualSpacing/>
            </w:pPr>
            <w:r w:rsidRPr="0082022E">
              <w:rPr>
                <w:rFonts w:eastAsia="Arial" w:cs="Calibri"/>
              </w:rPr>
              <w:t>19</w:t>
            </w:r>
          </w:p>
        </w:tc>
        <w:tc>
          <w:tcPr>
            <w:tcW w:w="2866" w:type="pct"/>
            <w:tcBorders>
              <w:top w:val="single" w:sz="4" w:space="0" w:color="auto"/>
              <w:left w:val="nil"/>
              <w:bottom w:val="single" w:sz="4" w:space="0" w:color="auto"/>
              <w:right w:val="nil"/>
            </w:tcBorders>
            <w:vAlign w:val="center"/>
            <w:hideMark/>
          </w:tcPr>
          <w:p w14:paraId="7CCDA6F0" w14:textId="69C47D1F" w:rsidR="0082022E" w:rsidRPr="00566CD3" w:rsidRDefault="0082022E" w:rsidP="00566CD3">
            <w:pPr>
              <w:contextualSpacing/>
            </w:pPr>
            <w:r w:rsidRPr="00566CD3">
              <w:rPr>
                <w:kern w:val="20"/>
              </w:rPr>
              <w:t xml:space="preserve">Data </w:t>
            </w:r>
            <w:r w:rsidRPr="0082022E">
              <w:rPr>
                <w:rFonts w:eastAsia="Arial" w:cs="Calibri"/>
                <w:kern w:val="20"/>
              </w:rPr>
              <w:t>Máxima</w:t>
            </w:r>
            <w:r w:rsidRPr="00566CD3">
              <w:rPr>
                <w:kern w:val="20"/>
              </w:rPr>
              <w:t xml:space="preserve"> para início da negociação das Debêntures na B3</w:t>
            </w:r>
          </w:p>
        </w:tc>
        <w:tc>
          <w:tcPr>
            <w:tcW w:w="1790" w:type="pct"/>
            <w:tcBorders>
              <w:top w:val="single" w:sz="4" w:space="0" w:color="auto"/>
              <w:left w:val="nil"/>
              <w:bottom w:val="single" w:sz="4" w:space="0" w:color="auto"/>
              <w:right w:val="nil"/>
            </w:tcBorders>
            <w:vAlign w:val="center"/>
            <w:hideMark/>
          </w:tcPr>
          <w:p w14:paraId="788A32E1" w14:textId="20287FE4" w:rsidR="0082022E" w:rsidRPr="00566CD3" w:rsidRDefault="0082022E" w:rsidP="00566CD3">
            <w:pPr>
              <w:contextualSpacing/>
              <w:jc w:val="center"/>
            </w:pPr>
            <w:r w:rsidRPr="0082022E">
              <w:rPr>
                <w:rFonts w:eastAsia="Arial" w:cs="Calibri"/>
              </w:rPr>
              <w:t>22</w:t>
            </w:r>
            <w:r w:rsidRPr="00566CD3">
              <w:t xml:space="preserve"> de </w:t>
            </w:r>
            <w:r w:rsidRPr="0082022E">
              <w:rPr>
                <w:rFonts w:eastAsia="Arial" w:cs="Calibri"/>
              </w:rPr>
              <w:t>setembro</w:t>
            </w:r>
            <w:r w:rsidRPr="00566CD3">
              <w:t xml:space="preserve"> de 2022</w:t>
            </w:r>
          </w:p>
        </w:tc>
      </w:tr>
    </w:tbl>
    <w:p w14:paraId="634BB178" w14:textId="77777777" w:rsidR="00E8286C" w:rsidRPr="00566CD3" w:rsidRDefault="00E8286C" w:rsidP="009E2BE2">
      <w:pPr>
        <w:pStyle w:val="Body"/>
        <w:widowControl w:val="0"/>
        <w:contextualSpacing/>
        <w:jc w:val="both"/>
        <w:rPr>
          <w:sz w:val="18"/>
        </w:rPr>
      </w:pPr>
      <w:r w:rsidRPr="00566CD3">
        <w:rPr>
          <w:sz w:val="18"/>
          <w:vertAlign w:val="superscript"/>
        </w:rPr>
        <w:t>(1)</w:t>
      </w:r>
      <w:r w:rsidRPr="00566CD3">
        <w:t xml:space="preserve"> </w:t>
      </w:r>
      <w:r w:rsidRPr="00566CD3">
        <w:rPr>
          <w:sz w:val="18"/>
        </w:rPr>
        <w:t xml:space="preserve">As datas previstas para os eventos futuros são meramente indicativas e estão sujeitas a alterações, atrasos e antecipações sem aviso prévio, a critério da Emissora e do </w:t>
      </w:r>
      <w:r w:rsidR="00560AC5" w:rsidRPr="00566CD3">
        <w:rPr>
          <w:sz w:val="18"/>
        </w:rPr>
        <w:t>Coordenador Líder</w:t>
      </w:r>
      <w:r w:rsidRPr="00566CD3">
        <w:rPr>
          <w:sz w:val="18"/>
        </w:rPr>
        <w:t>. Qualquer modificação no cronograma da distribuição deverá ser comunicada à CVM e poderá ser analisada como modificação da Oferta, seguindo o disposto nos artigos 25 e 27 da Instrução CVM 400.</w:t>
      </w:r>
    </w:p>
    <w:p w14:paraId="69E43457" w14:textId="148838F6" w:rsidR="00E8286C" w:rsidRPr="00566CD3" w:rsidRDefault="00E8286C" w:rsidP="009E2BE2">
      <w:pPr>
        <w:pStyle w:val="Body"/>
        <w:widowControl w:val="0"/>
        <w:contextualSpacing/>
        <w:jc w:val="both"/>
        <w:rPr>
          <w:sz w:val="18"/>
        </w:rPr>
      </w:pPr>
      <w:r w:rsidRPr="00566CD3">
        <w:rPr>
          <w:sz w:val="18"/>
          <w:vertAlign w:val="superscript"/>
        </w:rPr>
        <w:t>(2)</w:t>
      </w:r>
      <w:r w:rsidRPr="00566CD3">
        <w:rPr>
          <w:sz w:val="18"/>
        </w:rPr>
        <w:t xml:space="preserve"> Caso ocorram alterações das circunstâncias, suspensão, prorrogação, revogação ou </w:t>
      </w:r>
      <w:r w:rsidR="00A55FFC" w:rsidRPr="00566CD3">
        <w:rPr>
          <w:sz w:val="18"/>
        </w:rPr>
        <w:t xml:space="preserve">nova </w:t>
      </w:r>
      <w:r w:rsidRPr="00566CD3">
        <w:rPr>
          <w:sz w:val="18"/>
        </w:rPr>
        <w:t xml:space="preserve">modificação da Oferta, tal cronograma poderá ser </w:t>
      </w:r>
      <w:r w:rsidR="005D42C8" w:rsidRPr="00566CD3">
        <w:rPr>
          <w:sz w:val="18"/>
        </w:rPr>
        <w:t xml:space="preserve">novamente </w:t>
      </w:r>
      <w:r w:rsidRPr="00566CD3">
        <w:rPr>
          <w:sz w:val="18"/>
        </w:rPr>
        <w:t xml:space="preserve">alterado. Para informações sobre manifestação de aceitação à Oferta, manifestação de revogação da aceitação à Oferta, modificação da Oferta, suspensão da Oferta e cancelamento ou revogação da Oferta, veja as seções </w:t>
      </w:r>
      <w:r w:rsidR="002A4B8C" w:rsidRPr="00566CD3">
        <w:rPr>
          <w:sz w:val="18"/>
        </w:rPr>
        <w:t>“</w:t>
      </w:r>
      <w:r w:rsidRPr="00566CD3">
        <w:rPr>
          <w:sz w:val="18"/>
        </w:rPr>
        <w:t>Informações Relativas à Emissão, à Oferta e às Debêntures - Características da Oferta – Modificação da Oferta</w:t>
      </w:r>
      <w:r w:rsidR="002A4B8C" w:rsidRPr="00566CD3">
        <w:rPr>
          <w:sz w:val="18"/>
        </w:rPr>
        <w:t>”</w:t>
      </w:r>
      <w:r w:rsidRPr="00566CD3">
        <w:rPr>
          <w:sz w:val="18"/>
        </w:rPr>
        <w:t xml:space="preserve">, </w:t>
      </w:r>
      <w:r w:rsidR="002A4B8C" w:rsidRPr="00566CD3">
        <w:rPr>
          <w:sz w:val="18"/>
        </w:rPr>
        <w:t>“</w:t>
      </w:r>
      <w:r w:rsidRPr="00566CD3">
        <w:rPr>
          <w:sz w:val="18"/>
        </w:rPr>
        <w:t>Informações Relativas à Emissão, à Oferta e às Debêntures - Características da Oferta –Suspensão da Oferta</w:t>
      </w:r>
      <w:r w:rsidR="002A4B8C" w:rsidRPr="00566CD3">
        <w:rPr>
          <w:sz w:val="18"/>
        </w:rPr>
        <w:t>”</w:t>
      </w:r>
      <w:r w:rsidRPr="00566CD3">
        <w:rPr>
          <w:sz w:val="18"/>
        </w:rPr>
        <w:t xml:space="preserve"> e </w:t>
      </w:r>
      <w:r w:rsidR="002A4B8C" w:rsidRPr="00566CD3">
        <w:rPr>
          <w:sz w:val="18"/>
        </w:rPr>
        <w:t>“</w:t>
      </w:r>
      <w:r w:rsidRPr="00566CD3">
        <w:rPr>
          <w:sz w:val="18"/>
        </w:rPr>
        <w:t xml:space="preserve">Informações Relativas à Emissão, à Oferta e às Debêntures – Características da Oferta - </w:t>
      </w:r>
      <w:r w:rsidR="00544EAE" w:rsidRPr="00566CD3">
        <w:rPr>
          <w:sz w:val="18"/>
        </w:rPr>
        <w:t>Cancelamento, Revogação da Oferta ou Resilição do Contrato de Distribuição</w:t>
      </w:r>
      <w:r w:rsidR="002A4B8C" w:rsidRPr="00566CD3">
        <w:rPr>
          <w:sz w:val="18"/>
        </w:rPr>
        <w:t>”</w:t>
      </w:r>
      <w:r w:rsidRPr="00566CD3">
        <w:rPr>
          <w:sz w:val="18"/>
        </w:rPr>
        <w:t xml:space="preserve">, a partir da página </w:t>
      </w:r>
      <w:r w:rsidR="00AE110C" w:rsidRPr="00D8141D">
        <w:rPr>
          <w:rFonts w:cs="Calibri"/>
          <w:noProof/>
          <w:sz w:val="18"/>
          <w:szCs w:val="18"/>
        </w:rPr>
        <w:fldChar w:fldCharType="begin"/>
      </w:r>
      <w:r w:rsidR="00AE110C" w:rsidRPr="00566CD3">
        <w:rPr>
          <w:sz w:val="18"/>
        </w:rPr>
        <w:instrText xml:space="preserve"> PAGEREF _Ref90060094 \h </w:instrText>
      </w:r>
      <w:r w:rsidR="00AE110C" w:rsidRPr="00D8141D">
        <w:rPr>
          <w:rFonts w:cs="Calibri"/>
          <w:noProof/>
          <w:sz w:val="18"/>
          <w:szCs w:val="18"/>
        </w:rPr>
      </w:r>
      <w:r w:rsidR="00AE110C" w:rsidRPr="00D8141D">
        <w:rPr>
          <w:rFonts w:cs="Calibri"/>
          <w:noProof/>
          <w:sz w:val="18"/>
          <w:szCs w:val="18"/>
        </w:rPr>
        <w:fldChar w:fldCharType="separate"/>
      </w:r>
      <w:r w:rsidR="001166EA">
        <w:rPr>
          <w:noProof/>
          <w:sz w:val="18"/>
        </w:rPr>
        <w:t>112</w:t>
      </w:r>
      <w:r w:rsidR="00AE110C" w:rsidRPr="00D8141D">
        <w:rPr>
          <w:rFonts w:cs="Calibri"/>
          <w:noProof/>
          <w:sz w:val="18"/>
          <w:szCs w:val="18"/>
        </w:rPr>
        <w:fldChar w:fldCharType="end"/>
      </w:r>
      <w:r w:rsidRPr="00566CD3">
        <w:rPr>
          <w:sz w:val="18"/>
        </w:rPr>
        <w:t xml:space="preserve"> deste Prospecto.</w:t>
      </w:r>
    </w:p>
    <w:p w14:paraId="72B8CF16" w14:textId="51980418" w:rsidR="00E8286C" w:rsidRPr="00566CD3" w:rsidRDefault="00E8286C" w:rsidP="009E2BE2">
      <w:pPr>
        <w:pStyle w:val="Body"/>
        <w:widowControl w:val="0"/>
        <w:contextualSpacing/>
        <w:jc w:val="both"/>
        <w:rPr>
          <w:sz w:val="18"/>
        </w:rPr>
      </w:pPr>
      <w:r w:rsidRPr="00566CD3">
        <w:rPr>
          <w:sz w:val="18"/>
          <w:vertAlign w:val="superscript"/>
        </w:rPr>
        <w:t>(3)</w:t>
      </w:r>
      <w:r w:rsidRPr="00566CD3">
        <w:rPr>
          <w:sz w:val="18"/>
        </w:rPr>
        <w:t xml:space="preserve"> Para informações sobre o prazo para exercício da garantia firme e venda das Debêntures objeto da garantia firme pelo</w:t>
      </w:r>
      <w:r w:rsidR="003E13AA" w:rsidRPr="00566CD3">
        <w:rPr>
          <w:sz w:val="18"/>
        </w:rPr>
        <w:t xml:space="preserve"> Coordenador Líder</w:t>
      </w:r>
      <w:r w:rsidRPr="00566CD3">
        <w:rPr>
          <w:sz w:val="18"/>
        </w:rPr>
        <w:t xml:space="preserve">, conforme o caso, veja a seção </w:t>
      </w:r>
      <w:r w:rsidR="002A4B8C" w:rsidRPr="00566CD3">
        <w:rPr>
          <w:sz w:val="18"/>
        </w:rPr>
        <w:t>“</w:t>
      </w:r>
      <w:r w:rsidRPr="00566CD3">
        <w:rPr>
          <w:sz w:val="18"/>
        </w:rPr>
        <w:t>Informações Relativas à Emissão, à Oferta e às Debêntures – Contrato de Distribuição – Regime de Colocação</w:t>
      </w:r>
      <w:r w:rsidR="002A4B8C" w:rsidRPr="00566CD3">
        <w:rPr>
          <w:sz w:val="18"/>
        </w:rPr>
        <w:t>”</w:t>
      </w:r>
      <w:r w:rsidRPr="00566CD3">
        <w:rPr>
          <w:sz w:val="18"/>
        </w:rPr>
        <w:t xml:space="preserve">, na página </w:t>
      </w:r>
      <w:r w:rsidR="0063390C" w:rsidRPr="00D8141D">
        <w:rPr>
          <w:rFonts w:cs="Calibri"/>
          <w:noProof/>
          <w:sz w:val="18"/>
          <w:szCs w:val="18"/>
        </w:rPr>
        <w:fldChar w:fldCharType="begin"/>
      </w:r>
      <w:r w:rsidR="0063390C" w:rsidRPr="00566CD3">
        <w:rPr>
          <w:sz w:val="18"/>
        </w:rPr>
        <w:instrText xml:space="preserve"> PAGEREF _Ref434934462 \h </w:instrText>
      </w:r>
      <w:r w:rsidR="0063390C" w:rsidRPr="00D8141D">
        <w:rPr>
          <w:rFonts w:cs="Calibri"/>
          <w:noProof/>
          <w:sz w:val="18"/>
          <w:szCs w:val="18"/>
        </w:rPr>
      </w:r>
      <w:r w:rsidR="0063390C" w:rsidRPr="00D8141D">
        <w:rPr>
          <w:rFonts w:cs="Calibri"/>
          <w:noProof/>
          <w:sz w:val="18"/>
          <w:szCs w:val="18"/>
        </w:rPr>
        <w:fldChar w:fldCharType="separate"/>
      </w:r>
      <w:r w:rsidR="001166EA">
        <w:rPr>
          <w:noProof/>
          <w:sz w:val="18"/>
        </w:rPr>
        <w:t>113</w:t>
      </w:r>
      <w:r w:rsidR="0063390C" w:rsidRPr="00D8141D">
        <w:rPr>
          <w:rFonts w:cs="Calibri"/>
          <w:noProof/>
          <w:sz w:val="18"/>
          <w:szCs w:val="18"/>
        </w:rPr>
        <w:fldChar w:fldCharType="end"/>
      </w:r>
      <w:r w:rsidRPr="00566CD3">
        <w:rPr>
          <w:sz w:val="18"/>
        </w:rPr>
        <w:t xml:space="preserve"> deste Prospecto</w:t>
      </w:r>
      <w:r w:rsidR="00437261" w:rsidRPr="00566CD3">
        <w:rPr>
          <w:sz w:val="18"/>
        </w:rPr>
        <w:t>.</w:t>
      </w:r>
    </w:p>
    <w:p w14:paraId="70E52E0F" w14:textId="77777777" w:rsidR="00692CE0" w:rsidRDefault="00032A25">
      <w:pPr>
        <w:pStyle w:val="Body"/>
        <w:widowControl w:val="0"/>
        <w:contextualSpacing/>
        <w:rPr>
          <w:rFonts w:cs="Calibri"/>
          <w:sz w:val="18"/>
          <w:szCs w:val="18"/>
        </w:rPr>
      </w:pPr>
      <w:r>
        <w:rPr>
          <w:rFonts w:cs="Calibri"/>
          <w:sz w:val="18"/>
          <w:szCs w:val="18"/>
          <w:vertAlign w:val="superscript"/>
        </w:rPr>
        <w:t>(4)</w:t>
      </w:r>
      <w:r>
        <w:rPr>
          <w:rFonts w:cs="Calibri"/>
          <w:sz w:val="18"/>
          <w:szCs w:val="18"/>
        </w:rPr>
        <w:t xml:space="preserve"> A respeito da desistência do Pedido de Reserva, o processo ocorreu sem ônus para o subscritor. </w:t>
      </w:r>
    </w:p>
    <w:p w14:paraId="36ED64E5" w14:textId="5886D658" w:rsidR="0082022E" w:rsidRPr="008C76E3" w:rsidRDefault="00032A25" w:rsidP="00576AA2">
      <w:pPr>
        <w:pStyle w:val="Body"/>
        <w:widowControl w:val="0"/>
        <w:spacing w:after="0"/>
        <w:rPr>
          <w:rFonts w:cs="Calibri"/>
          <w:sz w:val="18"/>
          <w:szCs w:val="18"/>
        </w:rPr>
      </w:pPr>
      <w:r>
        <w:rPr>
          <w:rFonts w:cs="Calibri"/>
          <w:sz w:val="18"/>
          <w:szCs w:val="18"/>
          <w:vertAlign w:val="superscript"/>
        </w:rPr>
        <w:t>(5</w:t>
      </w:r>
      <w:r w:rsidR="0082022E" w:rsidRPr="0082022E">
        <w:rPr>
          <w:rFonts w:cs="Calibri"/>
          <w:sz w:val="18"/>
          <w:szCs w:val="18"/>
          <w:vertAlign w:val="superscript"/>
        </w:rPr>
        <w:t>)</w:t>
      </w:r>
      <w:r w:rsidR="0082022E" w:rsidRPr="0082022E">
        <w:rPr>
          <w:rFonts w:cs="Calibri"/>
          <w:sz w:val="18"/>
          <w:szCs w:val="18"/>
        </w:rPr>
        <w:t xml:space="preserve"> Atualização para cumprimento do ofício de vícios sanáveis, inclusão das informações financeiras trimestrais de 31.12.2021 e substituição do cronograma estimativo da oferta.</w:t>
      </w:r>
    </w:p>
    <w:p w14:paraId="1BA7FE64" w14:textId="4EE797FA" w:rsidR="00A142EF" w:rsidRPr="00F545D2" w:rsidRDefault="00032A25" w:rsidP="00A142EF">
      <w:pPr>
        <w:pStyle w:val="Body"/>
        <w:widowControl w:val="0"/>
        <w:contextualSpacing/>
        <w:rPr>
          <w:rFonts w:cs="Calibri"/>
          <w:sz w:val="18"/>
          <w:szCs w:val="18"/>
        </w:rPr>
      </w:pPr>
      <w:r>
        <w:rPr>
          <w:rFonts w:cs="Calibri"/>
          <w:sz w:val="18"/>
          <w:szCs w:val="18"/>
          <w:vertAlign w:val="superscript"/>
        </w:rPr>
        <w:t xml:space="preserve">(6) </w:t>
      </w:r>
      <w:r w:rsidR="00A142EF" w:rsidRPr="00F545D2">
        <w:rPr>
          <w:rFonts w:cs="Calibri"/>
          <w:sz w:val="18"/>
          <w:szCs w:val="18"/>
        </w:rPr>
        <w:t>Nesta data, pretende-se concluir a integralização das: (i) Debêntures objeto da quantidade inicialmente ofertada, equivalente ao montante da Garantia Firme; e (ii) Debêntures Adicionais. Considerando que as Debêntures Adicionais serão emitidas sob regime de melhores esforços de colocação, caso não haja a integralização da totalidade das Debêntures Adicionais até a divulgação do Anúncio de Encerramento da Oferta, as Debêntures Adicionais não integralizadas serão canceladas pela Emissora.</w:t>
      </w:r>
    </w:p>
    <w:p w14:paraId="34A35866" w14:textId="77777777" w:rsidR="00692CE0" w:rsidRDefault="00692CE0">
      <w:pPr>
        <w:pStyle w:val="Body"/>
        <w:widowControl w:val="0"/>
        <w:contextualSpacing/>
        <w:rPr>
          <w:rFonts w:cs="Calibri"/>
          <w:sz w:val="18"/>
          <w:szCs w:val="18"/>
        </w:rPr>
      </w:pPr>
    </w:p>
    <w:p w14:paraId="4C44803B" w14:textId="6568221A" w:rsidR="00E8286C" w:rsidRPr="00566CD3" w:rsidRDefault="00E8286C" w:rsidP="00D339B7">
      <w:pPr>
        <w:pStyle w:val="Body"/>
        <w:widowControl w:val="0"/>
        <w:spacing w:before="140"/>
        <w:jc w:val="both"/>
      </w:pPr>
      <w:r w:rsidRPr="00566CD3">
        <w:t>Na hipótese de suspensão, cancelamento, modificação ou revogação da Oferta, o cronograma acima será alterado. Quaisquer comunicados ao mercado relativos a tais eventos relacionados à Oferta serão publicados e</w:t>
      </w:r>
      <w:r w:rsidR="00437261" w:rsidRPr="00566CD3">
        <w:t>/ou</w:t>
      </w:r>
      <w:r w:rsidRPr="00566CD3">
        <w:t xml:space="preserve"> divulgados nos mesmos meios utilizados para publicação e divulgação do Aviso ao Mercado, conforme abaixo indicados.</w:t>
      </w:r>
    </w:p>
    <w:p w14:paraId="7AF82581" w14:textId="77777777" w:rsidR="00E8286C" w:rsidRPr="00D8141D" w:rsidRDefault="00D05A75" w:rsidP="009E2BE2">
      <w:pPr>
        <w:pStyle w:val="HOMEBRBodyText"/>
        <w:keepLines w:val="0"/>
        <w:widowControl w:val="0"/>
        <w:spacing w:after="140" w:line="290" w:lineRule="auto"/>
        <w:jc w:val="both"/>
        <w:rPr>
          <w:rFonts w:cs="Calibri"/>
          <w:lang w:val="pt-BR"/>
        </w:rPr>
      </w:pPr>
      <w:r w:rsidRPr="00D8141D">
        <w:rPr>
          <w:rFonts w:cs="Calibri"/>
          <w:lang w:val="pt-BR"/>
        </w:rPr>
        <w:t xml:space="preserve">O Aviso ao Mercado divulgado em </w:t>
      </w:r>
      <w:r w:rsidRPr="00D8141D">
        <w:rPr>
          <w:rFonts w:eastAsia="Arial" w:cs="Calibri"/>
          <w:lang w:val="pt-BR"/>
        </w:rPr>
        <w:t>13</w:t>
      </w:r>
      <w:r w:rsidRPr="00D8141D">
        <w:rPr>
          <w:rFonts w:cs="Calibri"/>
          <w:lang w:val="pt-BR"/>
        </w:rPr>
        <w:t xml:space="preserve"> de </w:t>
      </w:r>
      <w:r w:rsidRPr="00D8141D">
        <w:rPr>
          <w:rFonts w:eastAsia="Arial" w:cs="Calibri"/>
          <w:lang w:val="pt-BR"/>
        </w:rPr>
        <w:t>dezembro</w:t>
      </w:r>
      <w:r w:rsidRPr="00D8141D">
        <w:rPr>
          <w:rFonts w:cs="Calibri"/>
          <w:lang w:val="pt-BR"/>
        </w:rPr>
        <w:t xml:space="preserve"> de </w:t>
      </w:r>
      <w:r w:rsidRPr="00D8141D">
        <w:rPr>
          <w:rFonts w:eastAsia="Arial" w:cs="Calibri"/>
          <w:lang w:val="pt-BR"/>
        </w:rPr>
        <w:t>2021</w:t>
      </w:r>
      <w:r w:rsidR="007447B2" w:rsidRPr="00D8141D">
        <w:rPr>
          <w:rFonts w:eastAsia="Arial" w:cs="Calibri"/>
          <w:lang w:val="pt-BR"/>
        </w:rPr>
        <w:t>, conforme alterado,</w:t>
      </w:r>
      <w:r w:rsidR="007C2509" w:rsidRPr="00D8141D">
        <w:rPr>
          <w:rFonts w:cs="Calibri"/>
          <w:lang w:val="pt-BR"/>
        </w:rPr>
        <w:t xml:space="preserve"> </w:t>
      </w:r>
      <w:r w:rsidR="00E8286C" w:rsidRPr="00D8141D">
        <w:rPr>
          <w:rFonts w:cs="Calibri"/>
          <w:lang w:val="pt-BR"/>
        </w:rPr>
        <w:t xml:space="preserve">nas páginas </w:t>
      </w:r>
      <w:r w:rsidR="00E8286C" w:rsidRPr="00D8141D">
        <w:rPr>
          <w:rFonts w:cs="Calibri"/>
          <w:bCs/>
          <w:lang w:val="pt-BR"/>
        </w:rPr>
        <w:t>da rede mundial de computadores</w:t>
      </w:r>
      <w:r w:rsidR="00E8286C" w:rsidRPr="00D8141D">
        <w:rPr>
          <w:rFonts w:cs="Calibri"/>
          <w:lang w:val="pt-BR"/>
        </w:rPr>
        <w:t xml:space="preserve"> da Emissora, </w:t>
      </w:r>
      <w:r w:rsidR="00197993" w:rsidRPr="00D8141D">
        <w:rPr>
          <w:rFonts w:cs="Calibri"/>
          <w:lang w:val="pt-BR"/>
        </w:rPr>
        <w:t>do Coordenador Líder</w:t>
      </w:r>
      <w:r w:rsidR="00E8286C" w:rsidRPr="00D8141D">
        <w:rPr>
          <w:rFonts w:cs="Calibri"/>
          <w:lang w:val="pt-BR"/>
        </w:rPr>
        <w:t>, da CVM</w:t>
      </w:r>
      <w:r w:rsidR="00437261" w:rsidRPr="00D8141D">
        <w:rPr>
          <w:rFonts w:cs="Calibri"/>
          <w:lang w:val="pt-BR"/>
        </w:rPr>
        <w:t xml:space="preserve"> e </w:t>
      </w:r>
      <w:r w:rsidR="00E8286C" w:rsidRPr="00D8141D">
        <w:rPr>
          <w:rFonts w:cs="Calibri"/>
          <w:lang w:val="pt-BR"/>
        </w:rPr>
        <w:t xml:space="preserve">da </w:t>
      </w:r>
      <w:r w:rsidR="00F82651" w:rsidRPr="00D8141D">
        <w:rPr>
          <w:rFonts w:cs="Calibri"/>
          <w:lang w:val="pt-BR"/>
        </w:rPr>
        <w:t>B3</w:t>
      </w:r>
      <w:r w:rsidR="00E8286C" w:rsidRPr="00D8141D">
        <w:rPr>
          <w:rFonts w:cs="Calibri"/>
          <w:lang w:val="pt-BR"/>
        </w:rPr>
        <w:t xml:space="preserve"> está disponível aos interessados e pode ser obtido eletronicamente nas seguintes páginas da rede mundial de computadores, nos termos do artigo 54-A da Instrução CVM 400:</w:t>
      </w:r>
    </w:p>
    <w:p w14:paraId="1CC3D068" w14:textId="77777777" w:rsidR="00E8286C" w:rsidRPr="00D8141D" w:rsidRDefault="00E8286C" w:rsidP="00F76E8F">
      <w:pPr>
        <w:pStyle w:val="HOMEBRBodyText"/>
        <w:keepLines w:val="0"/>
        <w:widowControl w:val="0"/>
        <w:numPr>
          <w:ilvl w:val="0"/>
          <w:numId w:val="11"/>
        </w:numPr>
        <w:tabs>
          <w:tab w:val="left" w:pos="284"/>
        </w:tabs>
        <w:spacing w:after="140" w:line="290" w:lineRule="auto"/>
        <w:ind w:left="0" w:firstLine="0"/>
        <w:jc w:val="both"/>
        <w:rPr>
          <w:rFonts w:cs="Calibri"/>
          <w:lang w:val="pt-BR"/>
        </w:rPr>
      </w:pPr>
      <w:r w:rsidRPr="00D8141D">
        <w:rPr>
          <w:rFonts w:cs="Calibri"/>
          <w:b/>
          <w:lang w:val="pt-BR"/>
        </w:rPr>
        <w:t>Emissora</w:t>
      </w:r>
      <w:r w:rsidRPr="00D8141D">
        <w:rPr>
          <w:rFonts w:cs="Calibri"/>
          <w:lang w:val="pt-BR"/>
        </w:rPr>
        <w:t xml:space="preserve">: </w:t>
      </w:r>
      <w:r w:rsidR="00197993" w:rsidRPr="00D8141D">
        <w:rPr>
          <w:rFonts w:cs="Calibri"/>
          <w:lang w:val="pt-BR"/>
        </w:rPr>
        <w:t>https://ri.saomartinho.com.br/</w:t>
      </w:r>
      <w:r w:rsidR="00437261" w:rsidRPr="00D8141D">
        <w:rPr>
          <w:rFonts w:cs="Calibri"/>
          <w:lang w:val="pt-BR"/>
        </w:rPr>
        <w:t xml:space="preserve"> (neste website, acessar “</w:t>
      </w:r>
      <w:r w:rsidR="002B2F78" w:rsidRPr="00D8141D">
        <w:rPr>
          <w:rFonts w:cs="Calibri"/>
          <w:lang w:val="pt-BR"/>
        </w:rPr>
        <w:t>Informações aos Investidores”</w:t>
      </w:r>
      <w:r w:rsidR="002B2F78" w:rsidRPr="00D8141D">
        <w:rPr>
          <w:rFonts w:cs="Calibri"/>
        </w:rPr>
        <w:t>, “Documentos Entregues à CVM</w:t>
      </w:r>
      <w:r w:rsidR="00437261" w:rsidRPr="00D8141D">
        <w:rPr>
          <w:rFonts w:cs="Calibri"/>
          <w:lang w:val="pt-BR"/>
        </w:rPr>
        <w:t xml:space="preserve">”, em seguida, </w:t>
      </w:r>
      <w:r w:rsidR="00197993" w:rsidRPr="00D8141D">
        <w:rPr>
          <w:rFonts w:cs="Calibri"/>
          <w:lang w:val="pt-BR"/>
        </w:rPr>
        <w:t>selecionar</w:t>
      </w:r>
      <w:r w:rsidR="00437261" w:rsidRPr="00D8141D">
        <w:rPr>
          <w:rFonts w:cs="Calibri"/>
          <w:lang w:val="pt-BR"/>
        </w:rPr>
        <w:t xml:space="preserve"> “</w:t>
      </w:r>
      <w:r w:rsidR="00197993" w:rsidRPr="00D8141D">
        <w:rPr>
          <w:rFonts w:cs="Calibri"/>
          <w:lang w:val="pt-BR"/>
        </w:rPr>
        <w:t>2021</w:t>
      </w:r>
      <w:r w:rsidR="00437261" w:rsidRPr="00D8141D">
        <w:rPr>
          <w:rFonts w:cs="Calibri"/>
          <w:lang w:val="pt-BR"/>
        </w:rPr>
        <w:t xml:space="preserve">” e, na página seguinte, na aba </w:t>
      </w:r>
      <w:r w:rsidR="00DB205D" w:rsidRPr="00D8141D">
        <w:rPr>
          <w:rFonts w:cs="Calibri"/>
          <w:lang w:val="pt-BR"/>
        </w:rPr>
        <w:t>“Outros Documentos”,</w:t>
      </w:r>
      <w:r w:rsidR="00437261" w:rsidRPr="00D8141D">
        <w:rPr>
          <w:rFonts w:cs="Calibri"/>
          <w:lang w:val="pt-BR"/>
        </w:rPr>
        <w:t xml:space="preserve"> acessar o “Aviso ao Mercado” da Oferta)</w:t>
      </w:r>
      <w:r w:rsidR="00F43A5A" w:rsidRPr="00D8141D">
        <w:rPr>
          <w:rFonts w:eastAsia="Tahoma" w:cs="Calibri"/>
          <w:color w:val="000000"/>
          <w:spacing w:val="6"/>
          <w:lang w:val="pt-BR"/>
        </w:rPr>
        <w:t>;</w:t>
      </w:r>
    </w:p>
    <w:p w14:paraId="1F1EFA14" w14:textId="5B284AE3" w:rsidR="00E8286C" w:rsidRPr="00D8141D" w:rsidRDefault="00E8286C" w:rsidP="00F76E8F">
      <w:pPr>
        <w:pStyle w:val="HOMEBRBodyText"/>
        <w:keepLines w:val="0"/>
        <w:widowControl w:val="0"/>
        <w:numPr>
          <w:ilvl w:val="0"/>
          <w:numId w:val="11"/>
        </w:numPr>
        <w:tabs>
          <w:tab w:val="left" w:pos="284"/>
        </w:tabs>
        <w:spacing w:after="140" w:line="290" w:lineRule="auto"/>
        <w:ind w:left="0" w:firstLine="0"/>
        <w:jc w:val="both"/>
        <w:rPr>
          <w:rFonts w:cs="Calibri"/>
          <w:lang w:val="pt-BR"/>
        </w:rPr>
      </w:pPr>
      <w:r w:rsidRPr="00D8141D">
        <w:rPr>
          <w:rFonts w:cs="Calibri"/>
          <w:b/>
          <w:lang w:val="pt-BR"/>
        </w:rPr>
        <w:t xml:space="preserve">Coordenador Líder – </w:t>
      </w:r>
      <w:r w:rsidR="00197993" w:rsidRPr="00D8141D">
        <w:rPr>
          <w:rFonts w:cs="Calibri"/>
          <w:b/>
          <w:lang w:val="pt-BR"/>
        </w:rPr>
        <w:t>XP</w:t>
      </w:r>
      <w:r w:rsidR="00197993" w:rsidRPr="00D8141D">
        <w:rPr>
          <w:rFonts w:cs="Calibri"/>
          <w:lang w:val="pt-BR"/>
        </w:rPr>
        <w:t>:</w:t>
      </w:r>
      <w:r w:rsidR="00197993" w:rsidRPr="00D8141D">
        <w:rPr>
          <w:rFonts w:cs="Calibri"/>
          <w:b/>
          <w:lang w:val="pt-BR"/>
        </w:rPr>
        <w:t xml:space="preserve"> </w:t>
      </w:r>
      <w:r w:rsidR="00873E04" w:rsidRPr="00D8141D">
        <w:rPr>
          <w:rFonts w:cs="Calibri"/>
          <w:lang w:val="pt-BR"/>
        </w:rPr>
        <w:t>https://institucional.xpi.com.br/investimentos/oferta-publica.aspx</w:t>
      </w:r>
      <w:r w:rsidR="00197993" w:rsidRPr="00D8141D">
        <w:rPr>
          <w:rFonts w:cs="Calibri"/>
          <w:lang w:val="pt-BR"/>
        </w:rPr>
        <w:t xml:space="preserve"> (neste website, acessar </w:t>
      </w:r>
      <w:r w:rsidR="00873E04" w:rsidRPr="00D8141D">
        <w:rPr>
          <w:rFonts w:cs="Calibri"/>
          <w:lang w:val="pt-BR"/>
        </w:rPr>
        <w:t>“Debêntures São Martinho S.A. – 4ª Emissão de Debêntures da São Martinho S.A.”,</w:t>
      </w:r>
      <w:r w:rsidR="00197993" w:rsidRPr="00D8141D">
        <w:rPr>
          <w:rFonts w:cs="Calibri"/>
          <w:lang w:val="pt-BR"/>
        </w:rPr>
        <w:t xml:space="preserve"> em seguida</w:t>
      </w:r>
      <w:r w:rsidR="00873E04" w:rsidRPr="00D8141D">
        <w:rPr>
          <w:rFonts w:cs="Calibri"/>
          <w:lang w:val="pt-BR"/>
        </w:rPr>
        <w:t xml:space="preserve"> clicar em</w:t>
      </w:r>
      <w:r w:rsidR="00197993" w:rsidRPr="00D8141D">
        <w:rPr>
          <w:rFonts w:cs="Calibri"/>
          <w:lang w:val="pt-BR"/>
        </w:rPr>
        <w:t xml:space="preserve"> </w:t>
      </w:r>
      <w:r w:rsidR="00197993" w:rsidRPr="00D8141D">
        <w:rPr>
          <w:rFonts w:cs="Calibri"/>
          <w:bCs/>
          <w:lang w:val="pt-BR"/>
        </w:rPr>
        <w:t>“Aviso ao Mercado</w:t>
      </w:r>
      <w:r w:rsidR="00A76890">
        <w:rPr>
          <w:rFonts w:cs="Calibri"/>
          <w:bCs/>
          <w:lang w:val="pt-BR"/>
        </w:rPr>
        <w:t>”</w:t>
      </w:r>
      <w:r w:rsidR="00873E04" w:rsidRPr="00D8141D">
        <w:rPr>
          <w:rFonts w:cs="Calibri"/>
          <w:bCs/>
          <w:lang w:val="pt-BR"/>
        </w:rPr>
        <w:t>)</w:t>
      </w:r>
      <w:r w:rsidRPr="00D8141D">
        <w:rPr>
          <w:rFonts w:cs="Calibri"/>
          <w:lang w:val="pt-BR"/>
        </w:rPr>
        <w:t>;</w:t>
      </w:r>
    </w:p>
    <w:p w14:paraId="026C9202" w14:textId="77777777" w:rsidR="004B3CFA" w:rsidRPr="00D8141D" w:rsidRDefault="00E8286C" w:rsidP="00F76E8F">
      <w:pPr>
        <w:pStyle w:val="HOMEBRBodyText"/>
        <w:keepLines w:val="0"/>
        <w:widowControl w:val="0"/>
        <w:numPr>
          <w:ilvl w:val="0"/>
          <w:numId w:val="11"/>
        </w:numPr>
        <w:tabs>
          <w:tab w:val="left" w:pos="284"/>
        </w:tabs>
        <w:spacing w:after="140" w:line="290" w:lineRule="auto"/>
        <w:ind w:left="0" w:firstLine="0"/>
        <w:jc w:val="both"/>
        <w:rPr>
          <w:rFonts w:cs="Calibri"/>
          <w:lang w:val="pt-BR"/>
        </w:rPr>
      </w:pPr>
      <w:r w:rsidRPr="00D8141D">
        <w:rPr>
          <w:rFonts w:cs="Calibri"/>
          <w:b/>
          <w:lang w:val="pt-BR"/>
        </w:rPr>
        <w:lastRenderedPageBreak/>
        <w:t>CVM:</w:t>
      </w:r>
      <w:r w:rsidRPr="00D8141D">
        <w:rPr>
          <w:rFonts w:cs="Calibri"/>
          <w:bCs/>
          <w:lang w:val="pt-BR"/>
        </w:rPr>
        <w:t xml:space="preserve"> </w:t>
      </w:r>
      <w:r w:rsidR="00437261" w:rsidRPr="00D8141D">
        <w:rPr>
          <w:rFonts w:cs="Calibri"/>
          <w:lang w:val="pt-BR"/>
        </w:rPr>
        <w:t>www.cvm.gov.br</w:t>
      </w:r>
      <w:r w:rsidR="00437261" w:rsidRPr="00D8141D">
        <w:rPr>
          <w:rFonts w:cs="Calibri"/>
          <w:bCs/>
          <w:lang w:val="pt-BR"/>
        </w:rPr>
        <w:t xml:space="preserve"> (neste website, acessar em “Informações de Regulados” ao lado esquerdo da tela, clicar em “Companhias”, clicar em “Informações Periódicas e Eventuais de Companhias”, clicar em “Informações periódicas e eventuais (ITR, DFs, Fatos Relevantes, Comunicados ao Mercados, entre outros)” buscar por “</w:t>
      </w:r>
      <w:r w:rsidR="00197993" w:rsidRPr="00D8141D">
        <w:rPr>
          <w:rFonts w:cs="Calibri"/>
          <w:bCs/>
          <w:lang w:val="pt-BR"/>
        </w:rPr>
        <w:t>SÃO MARTINHO</w:t>
      </w:r>
      <w:r w:rsidR="00437261" w:rsidRPr="00D8141D">
        <w:rPr>
          <w:rFonts w:cs="Calibri"/>
          <w:bCs/>
          <w:lang w:val="pt-BR"/>
        </w:rPr>
        <w:t xml:space="preserve"> S.A.” no campo disponível. </w:t>
      </w:r>
      <w:r w:rsidR="004B3CFA" w:rsidRPr="00D8141D">
        <w:rPr>
          <w:rFonts w:cs="Calibri"/>
          <w:bCs/>
          <w:lang w:val="pt-BR"/>
        </w:rPr>
        <w:t>Em seguida, acessar “</w:t>
      </w:r>
      <w:r w:rsidR="00197993" w:rsidRPr="00D8141D">
        <w:rPr>
          <w:rFonts w:cs="Calibri"/>
          <w:bCs/>
          <w:lang w:val="pt-BR"/>
        </w:rPr>
        <w:t>SÃO MARTINHO</w:t>
      </w:r>
      <w:r w:rsidR="004B3CFA" w:rsidRPr="00D8141D">
        <w:rPr>
          <w:rFonts w:cs="Calibri"/>
          <w:bCs/>
          <w:lang w:val="pt-BR"/>
        </w:rPr>
        <w:t xml:space="preserve"> S.A.”</w:t>
      </w:r>
      <w:r w:rsidR="004B3CFA" w:rsidRPr="00D8141D">
        <w:rPr>
          <w:rFonts w:eastAsia="Tahoma" w:cs="Calibri"/>
          <w:spacing w:val="6"/>
          <w:lang w:val="pt-BR"/>
        </w:rPr>
        <w:t>. Na página seguinte, selecionar o “Período de Entrega” desejado, no campo “Categoria” selecionar “</w:t>
      </w:r>
      <w:r w:rsidR="004B3CFA" w:rsidRPr="00D8141D">
        <w:rPr>
          <w:rFonts w:cs="Calibri"/>
          <w:bCs/>
          <w:lang w:val="pt-BR"/>
        </w:rPr>
        <w:t>Documentos de Oferta de Distribuição Pública</w:t>
      </w:r>
      <w:r w:rsidR="004B3CFA" w:rsidRPr="00D8141D">
        <w:rPr>
          <w:rFonts w:eastAsia="Tahoma" w:cs="Calibri"/>
          <w:spacing w:val="6"/>
          <w:lang w:val="pt-BR"/>
        </w:rPr>
        <w:t xml:space="preserve">” e clicar em “Consultar”. Na sequência, clicar em “Visualizar o Documento” </w:t>
      </w:r>
      <w:r w:rsidR="004B3CFA" w:rsidRPr="00D8141D">
        <w:rPr>
          <w:rFonts w:cs="Calibri"/>
          <w:bCs/>
          <w:lang w:val="pt-BR"/>
        </w:rPr>
        <w:t>do “Aviso ao Mercado” da Oferta</w:t>
      </w:r>
      <w:r w:rsidR="004B3CFA" w:rsidRPr="00D8141D">
        <w:rPr>
          <w:rFonts w:eastAsia="Tahoma" w:cs="Calibri"/>
          <w:color w:val="000000"/>
          <w:spacing w:val="6"/>
          <w:lang w:val="pt-BR"/>
        </w:rPr>
        <w:t>;</w:t>
      </w:r>
    </w:p>
    <w:p w14:paraId="1A2A07CF" w14:textId="77777777" w:rsidR="00E8286C" w:rsidRPr="00D8141D" w:rsidRDefault="00F82651" w:rsidP="001A4356">
      <w:pPr>
        <w:pStyle w:val="HOMEBRBodyText"/>
        <w:keepLines w:val="0"/>
        <w:widowControl w:val="0"/>
        <w:numPr>
          <w:ilvl w:val="0"/>
          <w:numId w:val="11"/>
        </w:numPr>
        <w:tabs>
          <w:tab w:val="left" w:pos="284"/>
        </w:tabs>
        <w:spacing w:after="140" w:line="336" w:lineRule="auto"/>
        <w:ind w:left="0" w:firstLine="0"/>
        <w:jc w:val="both"/>
        <w:rPr>
          <w:rFonts w:cs="Calibri"/>
          <w:spacing w:val="-4"/>
          <w:lang w:val="pt-BR"/>
        </w:rPr>
      </w:pPr>
      <w:r w:rsidRPr="00D8141D">
        <w:rPr>
          <w:rFonts w:cs="Calibri"/>
          <w:b/>
          <w:lang w:val="pt-BR"/>
        </w:rPr>
        <w:t>B3</w:t>
      </w:r>
      <w:r w:rsidR="00E8286C" w:rsidRPr="00D8141D">
        <w:rPr>
          <w:rFonts w:cs="Calibri"/>
          <w:b/>
          <w:spacing w:val="-4"/>
          <w:lang w:val="pt-BR"/>
        </w:rPr>
        <w:t>:</w:t>
      </w:r>
      <w:r w:rsidR="00437261" w:rsidRPr="00D8141D">
        <w:rPr>
          <w:rFonts w:cs="Calibri"/>
          <w:spacing w:val="-4"/>
          <w:lang w:val="pt-BR"/>
        </w:rPr>
        <w:t>http://www.b3.com.br/pt_br/produtos-e-servicos/negociacao/renda-variavel/</w:t>
      </w:r>
      <w:r w:rsidR="00F76E8F" w:rsidRPr="00D8141D">
        <w:rPr>
          <w:rFonts w:cs="Calibri"/>
          <w:spacing w:val="-4"/>
          <w:lang w:val="pt-BR"/>
        </w:rPr>
        <w:br/>
      </w:r>
      <w:r w:rsidR="00437261" w:rsidRPr="00D8141D">
        <w:rPr>
          <w:rFonts w:cs="Calibri"/>
          <w:spacing w:val="-4"/>
          <w:lang w:val="pt-BR"/>
        </w:rPr>
        <w:t>empresas-listadas.htm (neste website, buscar por “</w:t>
      </w:r>
      <w:r w:rsidR="00197993" w:rsidRPr="00D8141D">
        <w:rPr>
          <w:rFonts w:cs="Calibri"/>
          <w:bCs/>
          <w:spacing w:val="-4"/>
          <w:lang w:val="pt-BR"/>
        </w:rPr>
        <w:t>SÃO MARTINHO</w:t>
      </w:r>
      <w:r w:rsidR="00437261" w:rsidRPr="00D8141D">
        <w:rPr>
          <w:rFonts w:cs="Calibri"/>
          <w:bCs/>
          <w:spacing w:val="-4"/>
          <w:lang w:val="pt-BR"/>
        </w:rPr>
        <w:t xml:space="preserve"> S.A.</w:t>
      </w:r>
      <w:r w:rsidR="00437261" w:rsidRPr="00D8141D">
        <w:rPr>
          <w:rFonts w:cs="Calibri"/>
          <w:spacing w:val="-4"/>
          <w:lang w:val="pt-BR"/>
        </w:rPr>
        <w:t>” no campo disponível, em seguida acessar “</w:t>
      </w:r>
      <w:r w:rsidR="00197993" w:rsidRPr="00D8141D">
        <w:rPr>
          <w:rFonts w:cs="Calibri"/>
          <w:bCs/>
          <w:spacing w:val="-4"/>
          <w:lang w:val="pt-BR"/>
        </w:rPr>
        <w:t>SÃO MARTINHO</w:t>
      </w:r>
      <w:r w:rsidR="00437261" w:rsidRPr="00D8141D">
        <w:rPr>
          <w:rFonts w:cs="Calibri"/>
          <w:bCs/>
          <w:spacing w:val="-4"/>
          <w:lang w:val="pt-BR"/>
        </w:rPr>
        <w:t xml:space="preserve"> S.A.</w:t>
      </w:r>
      <w:r w:rsidR="00437261" w:rsidRPr="00D8141D">
        <w:rPr>
          <w:rFonts w:cs="Calibri"/>
          <w:spacing w:val="-4"/>
          <w:lang w:val="pt-BR"/>
        </w:rPr>
        <w:t>”, posteriormente, clicar em “Informações Relevantes” e em seguida</w:t>
      </w:r>
      <w:r w:rsidR="00D05BA1" w:rsidRPr="00D8141D">
        <w:rPr>
          <w:rFonts w:cs="Calibri"/>
          <w:spacing w:val="-4"/>
          <w:lang w:val="pt-BR"/>
        </w:rPr>
        <w:t>, selecionar o ano de 2</w:t>
      </w:r>
      <w:r w:rsidR="00197993" w:rsidRPr="00D8141D">
        <w:rPr>
          <w:rFonts w:cs="Calibri"/>
          <w:spacing w:val="-4"/>
          <w:lang w:val="pt-BR"/>
        </w:rPr>
        <w:t>021</w:t>
      </w:r>
      <w:r w:rsidR="00D05BA1" w:rsidRPr="00D8141D">
        <w:rPr>
          <w:rFonts w:cs="Calibri"/>
          <w:spacing w:val="-4"/>
          <w:lang w:val="pt-BR"/>
        </w:rPr>
        <w:t>, clicar</w:t>
      </w:r>
      <w:r w:rsidR="00437261" w:rsidRPr="00D8141D">
        <w:rPr>
          <w:rFonts w:cs="Calibri"/>
          <w:spacing w:val="-4"/>
          <w:lang w:val="pt-BR"/>
        </w:rPr>
        <w:t xml:space="preserve"> em “Documentos de Oferta de Distribuição Pública” e acessar o “Aviso ao Mercado” da Oferta)</w:t>
      </w:r>
      <w:r w:rsidR="00437261" w:rsidRPr="00D8141D">
        <w:rPr>
          <w:rFonts w:cs="Calibri"/>
          <w:bCs/>
          <w:spacing w:val="-4"/>
          <w:lang w:val="pt-BR"/>
        </w:rPr>
        <w:t>.</w:t>
      </w:r>
    </w:p>
    <w:p w14:paraId="597A42B4" w14:textId="77777777" w:rsidR="00E8286C" w:rsidRPr="00D8141D" w:rsidRDefault="00E8286C" w:rsidP="001A4356">
      <w:pPr>
        <w:pStyle w:val="HOMEBRBodyText"/>
        <w:keepLines w:val="0"/>
        <w:widowControl w:val="0"/>
        <w:spacing w:after="140" w:line="336" w:lineRule="auto"/>
        <w:jc w:val="both"/>
        <w:rPr>
          <w:rFonts w:cs="Calibri"/>
          <w:lang w:val="pt-BR"/>
        </w:rPr>
      </w:pPr>
      <w:r w:rsidRPr="00D8141D">
        <w:rPr>
          <w:rFonts w:cs="Calibri"/>
          <w:lang w:val="pt-BR"/>
        </w:rPr>
        <w:t xml:space="preserve">O Anúncio de Início, </w:t>
      </w:r>
      <w:r w:rsidR="004F0CDF" w:rsidRPr="00391B20">
        <w:rPr>
          <w:rFonts w:cs="Calibri"/>
          <w:lang w:val="pt-BR"/>
        </w:rPr>
        <w:t>divulgado nesta data, está</w:t>
      </w:r>
      <w:r w:rsidRPr="00D8141D">
        <w:rPr>
          <w:rFonts w:cs="Calibri"/>
          <w:lang w:val="pt-BR"/>
        </w:rPr>
        <w:t xml:space="preserve"> disponível aos interessados e </w:t>
      </w:r>
      <w:r w:rsidRPr="00391B20">
        <w:rPr>
          <w:rFonts w:cs="Calibri"/>
          <w:lang w:val="pt-BR"/>
        </w:rPr>
        <w:t>pode</w:t>
      </w:r>
      <w:r w:rsidRPr="00D8141D">
        <w:rPr>
          <w:rFonts w:cs="Calibri"/>
          <w:lang w:val="pt-BR"/>
        </w:rPr>
        <w:t xml:space="preserve"> ser obtido eletronicamente nas seguintes páginas da rede mundial de computadores:</w:t>
      </w:r>
    </w:p>
    <w:p w14:paraId="425DCE34" w14:textId="7B5973D6" w:rsidR="00197993" w:rsidRPr="00D8141D" w:rsidRDefault="00197993" w:rsidP="001A4356">
      <w:pPr>
        <w:pStyle w:val="HOMEBRBodyText"/>
        <w:keepLines w:val="0"/>
        <w:widowControl w:val="0"/>
        <w:numPr>
          <w:ilvl w:val="0"/>
          <w:numId w:val="11"/>
        </w:numPr>
        <w:tabs>
          <w:tab w:val="left" w:pos="284"/>
        </w:tabs>
        <w:spacing w:after="140" w:line="336" w:lineRule="auto"/>
        <w:ind w:left="0" w:firstLine="0"/>
        <w:jc w:val="both"/>
        <w:rPr>
          <w:rFonts w:cs="Calibri"/>
          <w:lang w:val="pt-BR"/>
        </w:rPr>
      </w:pPr>
      <w:r w:rsidRPr="00D8141D">
        <w:rPr>
          <w:rFonts w:cs="Calibri"/>
          <w:b/>
          <w:lang w:val="pt-BR"/>
        </w:rPr>
        <w:t>Emissora</w:t>
      </w:r>
      <w:r w:rsidRPr="00D8141D">
        <w:rPr>
          <w:rFonts w:cs="Calibri"/>
          <w:lang w:val="pt-BR"/>
        </w:rPr>
        <w:t xml:space="preserve">: </w:t>
      </w:r>
      <w:r w:rsidR="00A76890" w:rsidRPr="00A76890">
        <w:rPr>
          <w:rFonts w:cs="Calibri"/>
          <w:lang w:val="pt-BR"/>
        </w:rPr>
        <w:t>https://ri.saomartinho.com.br/ (neste website, acessar “Informações aos Investidores”</w:t>
      </w:r>
      <w:r w:rsidR="00A76890" w:rsidRPr="00A76890">
        <w:rPr>
          <w:rFonts w:cs="Calibri"/>
        </w:rPr>
        <w:t>, “Documentos Entregues à CVM”, em seguida</w:t>
      </w:r>
      <w:r w:rsidR="00A76890" w:rsidRPr="00A76890">
        <w:rPr>
          <w:rFonts w:cs="Calibri"/>
          <w:lang w:val="pt-BR"/>
        </w:rPr>
        <w:t>, selecionar “2022” e, na página seguinte, na aba “Outros Documentos”, acessar o “Anúncio de Início” da Oferta)</w:t>
      </w:r>
      <w:r w:rsidRPr="00D8141D">
        <w:rPr>
          <w:rFonts w:eastAsia="Tahoma" w:cs="Calibri"/>
          <w:color w:val="000000"/>
          <w:spacing w:val="6"/>
          <w:lang w:val="pt-BR"/>
        </w:rPr>
        <w:t>;</w:t>
      </w:r>
    </w:p>
    <w:p w14:paraId="23BC806D" w14:textId="77777777" w:rsidR="00437261" w:rsidRPr="00D8141D" w:rsidRDefault="00437261" w:rsidP="00F76E8F">
      <w:pPr>
        <w:pStyle w:val="HOMEBRBodyText"/>
        <w:keepLines w:val="0"/>
        <w:widowControl w:val="0"/>
        <w:numPr>
          <w:ilvl w:val="0"/>
          <w:numId w:val="11"/>
        </w:numPr>
        <w:tabs>
          <w:tab w:val="left" w:pos="284"/>
        </w:tabs>
        <w:spacing w:after="140" w:line="290" w:lineRule="auto"/>
        <w:ind w:left="0" w:firstLine="0"/>
        <w:jc w:val="both"/>
        <w:rPr>
          <w:rFonts w:cs="Calibri"/>
          <w:lang w:val="pt-BR"/>
        </w:rPr>
      </w:pPr>
      <w:r w:rsidRPr="00D8141D">
        <w:rPr>
          <w:rFonts w:cs="Calibri"/>
          <w:b/>
          <w:lang w:val="pt-BR"/>
        </w:rPr>
        <w:t xml:space="preserve">Coordenador Líder – </w:t>
      </w:r>
      <w:r w:rsidR="00197993" w:rsidRPr="00D8141D">
        <w:rPr>
          <w:rFonts w:cs="Calibri"/>
          <w:b/>
          <w:lang w:val="pt-BR"/>
        </w:rPr>
        <w:t>XP</w:t>
      </w:r>
      <w:r w:rsidR="00197993" w:rsidRPr="00D8141D">
        <w:rPr>
          <w:rFonts w:cs="Calibri"/>
          <w:lang w:val="pt-BR"/>
        </w:rPr>
        <w:t>:</w:t>
      </w:r>
      <w:r w:rsidR="00197993" w:rsidRPr="00D8141D">
        <w:rPr>
          <w:rFonts w:cs="Calibri"/>
          <w:b/>
          <w:lang w:val="pt-BR"/>
        </w:rPr>
        <w:t xml:space="preserve"> </w:t>
      </w:r>
      <w:r w:rsidR="00873E04" w:rsidRPr="00D8141D">
        <w:rPr>
          <w:rFonts w:cs="Calibri"/>
          <w:lang w:val="pt-BR"/>
        </w:rPr>
        <w:t>https://institucional.xpi.com.br/investimentos/oferta-publica.aspx</w:t>
      </w:r>
      <w:r w:rsidR="00197993" w:rsidRPr="00D8141D">
        <w:rPr>
          <w:rFonts w:cs="Calibri"/>
          <w:lang w:val="pt-BR"/>
        </w:rPr>
        <w:t xml:space="preserve"> (neste website, acessar </w:t>
      </w:r>
      <w:r w:rsidR="00873E04" w:rsidRPr="00D8141D">
        <w:rPr>
          <w:rFonts w:cs="Calibri"/>
          <w:lang w:val="pt-BR"/>
        </w:rPr>
        <w:t>“Debêntures São Martinho S.A. – 4ª Emissão de Debêntures da São Martinho S.A.”,</w:t>
      </w:r>
      <w:r w:rsidR="00197993" w:rsidRPr="00D8141D">
        <w:rPr>
          <w:rFonts w:cs="Calibri"/>
          <w:lang w:val="pt-BR"/>
        </w:rPr>
        <w:t xml:space="preserve"> em seguida</w:t>
      </w:r>
      <w:r w:rsidR="00873E04" w:rsidRPr="00D8141D">
        <w:rPr>
          <w:rFonts w:cs="Calibri"/>
          <w:lang w:val="pt-BR"/>
        </w:rPr>
        <w:t xml:space="preserve"> clicar em</w:t>
      </w:r>
      <w:r w:rsidR="00197993" w:rsidRPr="00D8141D">
        <w:rPr>
          <w:rFonts w:cs="Calibri"/>
          <w:lang w:val="pt-BR"/>
        </w:rPr>
        <w:t xml:space="preserve"> </w:t>
      </w:r>
      <w:r w:rsidR="00197993" w:rsidRPr="00D8141D">
        <w:rPr>
          <w:rFonts w:cs="Calibri"/>
          <w:bCs/>
          <w:lang w:val="pt-BR"/>
        </w:rPr>
        <w:t>“</w:t>
      </w:r>
      <w:r w:rsidR="00197993" w:rsidRPr="00D8141D">
        <w:rPr>
          <w:rFonts w:cs="Calibri"/>
          <w:lang w:val="pt-BR"/>
        </w:rPr>
        <w:t>Anúncio de Início</w:t>
      </w:r>
      <w:r w:rsidR="00873E04" w:rsidRPr="00D8141D">
        <w:rPr>
          <w:rFonts w:cs="Calibri"/>
          <w:lang w:val="pt-BR"/>
        </w:rPr>
        <w:t>”)</w:t>
      </w:r>
      <w:r w:rsidRPr="00D8141D">
        <w:rPr>
          <w:rFonts w:cs="Calibri"/>
          <w:lang w:val="pt-BR"/>
        </w:rPr>
        <w:t>;</w:t>
      </w:r>
    </w:p>
    <w:p w14:paraId="11979FC8" w14:textId="77777777" w:rsidR="00437261" w:rsidRPr="00D8141D" w:rsidRDefault="00437261" w:rsidP="00F76E8F">
      <w:pPr>
        <w:pStyle w:val="HOMEBRBodyText"/>
        <w:keepLines w:val="0"/>
        <w:widowControl w:val="0"/>
        <w:numPr>
          <w:ilvl w:val="0"/>
          <w:numId w:val="11"/>
        </w:numPr>
        <w:tabs>
          <w:tab w:val="left" w:pos="284"/>
        </w:tabs>
        <w:spacing w:after="140" w:line="290" w:lineRule="auto"/>
        <w:ind w:left="0" w:firstLine="0"/>
        <w:jc w:val="both"/>
        <w:rPr>
          <w:rFonts w:cs="Calibri"/>
          <w:lang w:val="pt-BR"/>
        </w:rPr>
      </w:pPr>
      <w:r w:rsidRPr="00D8141D">
        <w:rPr>
          <w:rFonts w:cs="Calibri"/>
          <w:b/>
          <w:lang w:val="pt-BR"/>
        </w:rPr>
        <w:t>CVM:</w:t>
      </w:r>
      <w:r w:rsidRPr="00D8141D">
        <w:rPr>
          <w:rFonts w:cs="Calibri"/>
          <w:bCs/>
          <w:lang w:val="pt-BR"/>
        </w:rPr>
        <w:t xml:space="preserve"> </w:t>
      </w:r>
      <w:r w:rsidRPr="00D8141D">
        <w:rPr>
          <w:rFonts w:cs="Calibri"/>
          <w:lang w:val="pt-BR"/>
        </w:rPr>
        <w:t>www.cvm.gov.br</w:t>
      </w:r>
      <w:r w:rsidRPr="00D8141D">
        <w:rPr>
          <w:rFonts w:cs="Calibri"/>
          <w:bCs/>
          <w:lang w:val="pt-BR"/>
        </w:rPr>
        <w:t xml:space="preserve"> (neste website, acessar em “Informações de Regulados” ao lado esquerdo da tela, clicar em “Companhias”, clicar em “Informações Periódicas e Eventuais de Companhias”, clicar em “Informações periódicas e eventuais (ITR, DFs, Fatos Relevantes, Comunicados ao Mercados, entre outros)” buscar por “</w:t>
      </w:r>
      <w:r w:rsidR="00197993" w:rsidRPr="00D8141D">
        <w:rPr>
          <w:rFonts w:cs="Calibri"/>
          <w:bCs/>
          <w:lang w:val="pt-BR"/>
        </w:rPr>
        <w:t>SÃO MARTINHO</w:t>
      </w:r>
      <w:r w:rsidRPr="00D8141D">
        <w:rPr>
          <w:rFonts w:cs="Calibri"/>
          <w:bCs/>
          <w:lang w:val="pt-BR"/>
        </w:rPr>
        <w:t xml:space="preserve"> S.A.” no campo disponível. </w:t>
      </w:r>
      <w:r w:rsidR="004B3CFA" w:rsidRPr="00D8141D">
        <w:rPr>
          <w:rFonts w:cs="Calibri"/>
          <w:bCs/>
          <w:lang w:val="pt-BR"/>
        </w:rPr>
        <w:t>Em seguida, acessar “</w:t>
      </w:r>
      <w:r w:rsidR="00197993" w:rsidRPr="00D8141D">
        <w:rPr>
          <w:rFonts w:cs="Calibri"/>
          <w:bCs/>
          <w:lang w:val="pt-BR"/>
        </w:rPr>
        <w:t>SÃO MARTINHO</w:t>
      </w:r>
      <w:r w:rsidR="004B3CFA" w:rsidRPr="00D8141D">
        <w:rPr>
          <w:rFonts w:cs="Calibri"/>
          <w:bCs/>
          <w:lang w:val="pt-BR"/>
        </w:rPr>
        <w:t xml:space="preserve"> S.A.”</w:t>
      </w:r>
      <w:r w:rsidR="004B3CFA" w:rsidRPr="00D8141D">
        <w:rPr>
          <w:rFonts w:eastAsia="Tahoma" w:cs="Calibri"/>
          <w:spacing w:val="6"/>
          <w:lang w:val="pt-BR"/>
        </w:rPr>
        <w:t>. Na página seguinte, selecionar o “Período de Entrega” desejado, no campo “Categoria” selecionar “</w:t>
      </w:r>
      <w:r w:rsidR="004B3CFA" w:rsidRPr="00D8141D">
        <w:rPr>
          <w:rFonts w:cs="Calibri"/>
          <w:bCs/>
          <w:lang w:val="pt-BR"/>
        </w:rPr>
        <w:t>Documentos de Oferta de Distribuição Pública</w:t>
      </w:r>
      <w:r w:rsidR="004B3CFA" w:rsidRPr="00D8141D">
        <w:rPr>
          <w:rFonts w:eastAsia="Tahoma" w:cs="Calibri"/>
          <w:spacing w:val="6"/>
          <w:lang w:val="pt-BR"/>
        </w:rPr>
        <w:t xml:space="preserve">” e clicar em “Consultar”. Na sequência, clicar em “Visualizar o Documento” </w:t>
      </w:r>
      <w:r w:rsidR="004B3CFA" w:rsidRPr="00D8141D">
        <w:rPr>
          <w:rFonts w:cs="Calibri"/>
          <w:bCs/>
          <w:lang w:val="pt-BR"/>
        </w:rPr>
        <w:t>do “Anúncio de Início” da Oferta</w:t>
      </w:r>
      <w:r w:rsidR="004B3CFA" w:rsidRPr="00D8141D">
        <w:rPr>
          <w:rFonts w:eastAsia="Tahoma" w:cs="Calibri"/>
          <w:color w:val="000000"/>
          <w:spacing w:val="6"/>
          <w:lang w:val="pt-BR"/>
        </w:rPr>
        <w:t>;</w:t>
      </w:r>
    </w:p>
    <w:p w14:paraId="00D96865" w14:textId="72BFC6D9" w:rsidR="00437261" w:rsidRPr="00D8141D" w:rsidRDefault="00437261" w:rsidP="00F76E8F">
      <w:pPr>
        <w:pStyle w:val="HOMEBRBodyText"/>
        <w:keepLines w:val="0"/>
        <w:widowControl w:val="0"/>
        <w:numPr>
          <w:ilvl w:val="0"/>
          <w:numId w:val="11"/>
        </w:numPr>
        <w:tabs>
          <w:tab w:val="left" w:pos="284"/>
        </w:tabs>
        <w:spacing w:after="140" w:line="290" w:lineRule="auto"/>
        <w:ind w:left="0" w:firstLine="0"/>
        <w:jc w:val="both"/>
        <w:rPr>
          <w:rFonts w:cs="Calibri"/>
          <w:lang w:val="pt-BR"/>
        </w:rPr>
      </w:pPr>
      <w:r w:rsidRPr="00D8141D">
        <w:rPr>
          <w:rFonts w:cs="Calibri"/>
          <w:b/>
          <w:lang w:val="pt-BR"/>
        </w:rPr>
        <w:t>B3:</w:t>
      </w:r>
      <w:r w:rsidR="00A76890" w:rsidRPr="00D33DFE">
        <w:rPr>
          <w:rFonts w:cs="Calibri"/>
          <w:lang w:val="pt-BR"/>
        </w:rPr>
        <w:t xml:space="preserve"> </w:t>
      </w:r>
      <w:r w:rsidR="00A76890" w:rsidRPr="00A76890">
        <w:rPr>
          <w:rFonts w:cs="Calibri"/>
          <w:lang w:val="pt-BR"/>
        </w:rPr>
        <w:t>http://www.b3.com.br/pt_br/produtos-e-servicos/negociacao/renda-variavel/empresas-listadas.htm (neste website, buscar por “</w:t>
      </w:r>
      <w:r w:rsidR="00A76890" w:rsidRPr="00A76890">
        <w:rPr>
          <w:rFonts w:cs="Calibri"/>
          <w:bCs/>
          <w:lang w:val="pt-BR"/>
        </w:rPr>
        <w:t>SÃO MARTINHO S.A.</w:t>
      </w:r>
      <w:r w:rsidR="00A76890" w:rsidRPr="00A76890">
        <w:rPr>
          <w:rFonts w:cs="Calibri"/>
          <w:lang w:val="pt-BR"/>
        </w:rPr>
        <w:t>” no campo disponível, em seguida acessar “</w:t>
      </w:r>
      <w:r w:rsidR="00A76890" w:rsidRPr="00A76890">
        <w:rPr>
          <w:rFonts w:cs="Calibri"/>
          <w:bCs/>
          <w:lang w:val="pt-BR"/>
        </w:rPr>
        <w:t>SÃO MARTINHO S.A.</w:t>
      </w:r>
      <w:r w:rsidR="00A76890" w:rsidRPr="00A76890">
        <w:rPr>
          <w:rFonts w:cs="Calibri"/>
          <w:lang w:val="pt-BR"/>
        </w:rPr>
        <w:t>”, posteriormente, clicar em “Informações Relevantes” e em seguida, selecionar o ano de 2022, clicar em “Documentos de Oferta de Distribuição Pública” e acessar o “Anúncio de Início” da Oferta)</w:t>
      </w:r>
      <w:r w:rsidRPr="00D8141D">
        <w:rPr>
          <w:rFonts w:cs="Calibri"/>
          <w:bCs/>
          <w:lang w:val="pt-BR"/>
        </w:rPr>
        <w:t>.</w:t>
      </w:r>
    </w:p>
    <w:p w14:paraId="2F8688AA" w14:textId="77777777" w:rsidR="00E8286C" w:rsidRPr="00D8141D" w:rsidRDefault="00437261" w:rsidP="009E2BE2">
      <w:pPr>
        <w:pStyle w:val="HOMEBRBodyText"/>
        <w:keepLines w:val="0"/>
        <w:widowControl w:val="0"/>
        <w:spacing w:after="140" w:line="290" w:lineRule="auto"/>
        <w:jc w:val="both"/>
        <w:rPr>
          <w:rFonts w:cs="Calibri"/>
          <w:lang w:val="pt-BR"/>
        </w:rPr>
      </w:pPr>
      <w:r w:rsidRPr="00D8141D">
        <w:rPr>
          <w:rFonts w:cs="Calibri"/>
          <w:lang w:val="pt-BR"/>
        </w:rPr>
        <w:lastRenderedPageBreak/>
        <w:t>O Anúncio de Encerramento, após a sua divulgação, estará disponível aos interessados e poderá ser obtido eletronicamente nas seguintes páginas da rede mundial de computadores:</w:t>
      </w:r>
    </w:p>
    <w:p w14:paraId="5735AE69" w14:textId="4E7F599C" w:rsidR="00437261" w:rsidRPr="00D8141D" w:rsidRDefault="00437261" w:rsidP="00F76E8F">
      <w:pPr>
        <w:pStyle w:val="HOMEBRBodyText"/>
        <w:keepLines w:val="0"/>
        <w:widowControl w:val="0"/>
        <w:numPr>
          <w:ilvl w:val="0"/>
          <w:numId w:val="11"/>
        </w:numPr>
        <w:tabs>
          <w:tab w:val="left" w:pos="284"/>
        </w:tabs>
        <w:spacing w:after="140" w:line="290" w:lineRule="auto"/>
        <w:ind w:left="0" w:firstLine="0"/>
        <w:jc w:val="both"/>
        <w:rPr>
          <w:rFonts w:cs="Calibri"/>
          <w:lang w:val="pt-BR"/>
        </w:rPr>
      </w:pPr>
      <w:r w:rsidRPr="00D8141D">
        <w:rPr>
          <w:rFonts w:cs="Calibri"/>
          <w:b/>
          <w:lang w:val="pt-BR"/>
        </w:rPr>
        <w:t>Emissora</w:t>
      </w:r>
      <w:r w:rsidRPr="00D8141D">
        <w:rPr>
          <w:rFonts w:cs="Calibri"/>
          <w:lang w:val="pt-BR"/>
        </w:rPr>
        <w:t xml:space="preserve">: </w:t>
      </w:r>
      <w:r w:rsidR="00A76890" w:rsidRPr="00A76890">
        <w:rPr>
          <w:rFonts w:cs="Calibri"/>
          <w:lang w:val="pt-BR"/>
        </w:rPr>
        <w:t>https://ri.saomartinho.com.br/ (neste website, acessar “Informações aos Investidores”</w:t>
      </w:r>
      <w:r w:rsidR="00A76890" w:rsidRPr="00A76890">
        <w:rPr>
          <w:rFonts w:cs="Calibri"/>
        </w:rPr>
        <w:t>, “Documentos Entregues à CVM</w:t>
      </w:r>
      <w:r w:rsidR="00A76890" w:rsidRPr="00A76890">
        <w:rPr>
          <w:rFonts w:cs="Calibri"/>
          <w:lang w:val="pt-BR"/>
        </w:rPr>
        <w:t>”, em seguida, selecionar “2022” e, na página seguinte, na aba “Outros Documentos”, acessar o “Anúncio de Encerramento” da Oferta)</w:t>
      </w:r>
      <w:r w:rsidRPr="00D8141D">
        <w:rPr>
          <w:rFonts w:eastAsia="Tahoma" w:cs="Calibri"/>
          <w:color w:val="000000"/>
          <w:spacing w:val="6"/>
          <w:lang w:val="pt-BR"/>
        </w:rPr>
        <w:t>;</w:t>
      </w:r>
    </w:p>
    <w:p w14:paraId="4170D084" w14:textId="77777777" w:rsidR="00437261" w:rsidRPr="00D8141D" w:rsidRDefault="00437261" w:rsidP="00F76E8F">
      <w:pPr>
        <w:pStyle w:val="HOMEBRBodyText"/>
        <w:keepLines w:val="0"/>
        <w:widowControl w:val="0"/>
        <w:numPr>
          <w:ilvl w:val="0"/>
          <w:numId w:val="11"/>
        </w:numPr>
        <w:tabs>
          <w:tab w:val="left" w:pos="284"/>
        </w:tabs>
        <w:spacing w:after="140" w:line="290" w:lineRule="auto"/>
        <w:ind w:left="0" w:firstLine="0"/>
        <w:jc w:val="both"/>
        <w:rPr>
          <w:rFonts w:cs="Calibri"/>
          <w:lang w:val="pt-BR"/>
        </w:rPr>
      </w:pPr>
      <w:r w:rsidRPr="00D8141D">
        <w:rPr>
          <w:rFonts w:cs="Calibri"/>
          <w:b/>
          <w:lang w:val="pt-BR"/>
        </w:rPr>
        <w:t xml:space="preserve">Coordenador Líder – </w:t>
      </w:r>
      <w:r w:rsidR="00197993" w:rsidRPr="00D8141D">
        <w:rPr>
          <w:rFonts w:cs="Calibri"/>
          <w:b/>
          <w:lang w:val="pt-BR"/>
        </w:rPr>
        <w:t>XP</w:t>
      </w:r>
      <w:r w:rsidR="00197993" w:rsidRPr="00D8141D">
        <w:rPr>
          <w:rFonts w:cs="Calibri"/>
          <w:lang w:val="pt-BR"/>
        </w:rPr>
        <w:t>:</w:t>
      </w:r>
      <w:r w:rsidR="00197993" w:rsidRPr="00D8141D">
        <w:rPr>
          <w:rFonts w:cs="Calibri"/>
          <w:b/>
          <w:lang w:val="pt-BR"/>
        </w:rPr>
        <w:t xml:space="preserve"> </w:t>
      </w:r>
      <w:r w:rsidR="00873E04" w:rsidRPr="00D8141D">
        <w:rPr>
          <w:rFonts w:cs="Calibri"/>
          <w:lang w:val="pt-BR"/>
        </w:rPr>
        <w:t>https://institucional.xpi.com.br/investimentos/oferta-publica.aspx</w:t>
      </w:r>
      <w:r w:rsidR="00197993" w:rsidRPr="00D8141D">
        <w:rPr>
          <w:rFonts w:cs="Calibri"/>
          <w:lang w:val="pt-BR"/>
        </w:rPr>
        <w:t xml:space="preserve"> (neste website, acessar “ </w:t>
      </w:r>
      <w:r w:rsidR="00873E04" w:rsidRPr="00D8141D">
        <w:rPr>
          <w:rFonts w:cs="Calibri"/>
          <w:lang w:val="pt-BR"/>
        </w:rPr>
        <w:t>Debêntures São Martinho S.A. – 4ª Emissão de Debêntures da São Martinho S.A.”,</w:t>
      </w:r>
      <w:r w:rsidR="00197993" w:rsidRPr="00D8141D">
        <w:rPr>
          <w:rFonts w:cs="Calibri"/>
          <w:lang w:val="pt-BR"/>
        </w:rPr>
        <w:t xml:space="preserve"> em seguida</w:t>
      </w:r>
      <w:r w:rsidR="00873E04" w:rsidRPr="00D8141D">
        <w:rPr>
          <w:rFonts w:cs="Calibri"/>
          <w:lang w:val="pt-BR"/>
        </w:rPr>
        <w:t xml:space="preserve"> clicar em</w:t>
      </w:r>
      <w:r w:rsidR="00197993" w:rsidRPr="00D8141D">
        <w:rPr>
          <w:rFonts w:cs="Calibri"/>
          <w:lang w:val="pt-BR"/>
        </w:rPr>
        <w:t xml:space="preserve"> </w:t>
      </w:r>
      <w:r w:rsidR="00197993" w:rsidRPr="00D8141D">
        <w:rPr>
          <w:rFonts w:cs="Calibri"/>
          <w:bCs/>
          <w:lang w:val="pt-BR"/>
        </w:rPr>
        <w:t>“</w:t>
      </w:r>
      <w:r w:rsidR="00197993" w:rsidRPr="00D8141D">
        <w:rPr>
          <w:rFonts w:cs="Calibri"/>
          <w:lang w:val="pt-BR"/>
        </w:rPr>
        <w:t>Anúncio de Encerramento</w:t>
      </w:r>
      <w:r w:rsidR="00873E04" w:rsidRPr="00D8141D">
        <w:rPr>
          <w:rFonts w:cs="Calibri"/>
          <w:lang w:val="pt-BR"/>
        </w:rPr>
        <w:t>.”)</w:t>
      </w:r>
      <w:r w:rsidR="009F4609" w:rsidRPr="00D8141D">
        <w:rPr>
          <w:rFonts w:cs="Calibri"/>
          <w:lang w:val="pt-BR"/>
        </w:rPr>
        <w:t>;</w:t>
      </w:r>
    </w:p>
    <w:p w14:paraId="1FFC3C5C" w14:textId="77777777" w:rsidR="00437261" w:rsidRPr="00D8141D" w:rsidRDefault="00437261" w:rsidP="001A4356">
      <w:pPr>
        <w:pStyle w:val="HOMEBRBodyText"/>
        <w:keepLines w:val="0"/>
        <w:widowControl w:val="0"/>
        <w:numPr>
          <w:ilvl w:val="0"/>
          <w:numId w:val="11"/>
        </w:numPr>
        <w:tabs>
          <w:tab w:val="left" w:pos="284"/>
        </w:tabs>
        <w:spacing w:after="140"/>
        <w:ind w:left="0" w:firstLine="0"/>
        <w:jc w:val="both"/>
        <w:rPr>
          <w:rFonts w:cs="Calibri"/>
          <w:lang w:val="pt-BR"/>
        </w:rPr>
      </w:pPr>
      <w:r w:rsidRPr="00D8141D">
        <w:rPr>
          <w:rFonts w:cs="Calibri"/>
          <w:b/>
          <w:lang w:val="pt-BR"/>
        </w:rPr>
        <w:t>CVM:</w:t>
      </w:r>
      <w:r w:rsidRPr="00D8141D">
        <w:rPr>
          <w:rFonts w:cs="Calibri"/>
          <w:bCs/>
          <w:lang w:val="pt-BR"/>
        </w:rPr>
        <w:t xml:space="preserve"> </w:t>
      </w:r>
      <w:r w:rsidRPr="00D8141D">
        <w:rPr>
          <w:rFonts w:cs="Calibri"/>
          <w:lang w:val="pt-BR"/>
        </w:rPr>
        <w:t>www.cvm.gov.br</w:t>
      </w:r>
      <w:r w:rsidRPr="00D8141D">
        <w:rPr>
          <w:rFonts w:cs="Calibri"/>
          <w:bCs/>
          <w:lang w:val="pt-BR"/>
        </w:rPr>
        <w:t xml:space="preserve"> (neste website, acessar em “Informações de Regulados” ao lado esquerdo da tela, clicar em “Companhias”, clicar em “Informações Periódicas e Eventuais de Companhias”, clicar em “Informações periódicas e eventuais (ITR, DFs, Fatos Relevantes, Comunicados ao Mercados, entre outros)” buscar por “</w:t>
      </w:r>
      <w:r w:rsidR="00197993" w:rsidRPr="00D8141D">
        <w:rPr>
          <w:rFonts w:cs="Calibri"/>
          <w:bCs/>
          <w:lang w:val="pt-BR"/>
        </w:rPr>
        <w:t>SÃO MARTINHO</w:t>
      </w:r>
      <w:r w:rsidRPr="00D8141D">
        <w:rPr>
          <w:rFonts w:cs="Calibri"/>
          <w:bCs/>
          <w:lang w:val="pt-BR"/>
        </w:rPr>
        <w:t xml:space="preserve"> S.A.” no campo disponível. </w:t>
      </w:r>
      <w:r w:rsidR="004B3CFA" w:rsidRPr="00D8141D">
        <w:rPr>
          <w:rFonts w:cs="Calibri"/>
          <w:bCs/>
          <w:lang w:val="pt-BR"/>
        </w:rPr>
        <w:t>Em seguida, acessar “</w:t>
      </w:r>
      <w:r w:rsidR="00197993" w:rsidRPr="00D8141D">
        <w:rPr>
          <w:rFonts w:cs="Calibri"/>
          <w:bCs/>
          <w:lang w:val="pt-BR"/>
        </w:rPr>
        <w:t>SÃO MARTINHO</w:t>
      </w:r>
      <w:r w:rsidR="004B3CFA" w:rsidRPr="00D8141D">
        <w:rPr>
          <w:rFonts w:cs="Calibri"/>
          <w:bCs/>
          <w:lang w:val="pt-BR"/>
        </w:rPr>
        <w:t xml:space="preserve"> S.A.”</w:t>
      </w:r>
      <w:r w:rsidR="004B3CFA" w:rsidRPr="00D8141D">
        <w:rPr>
          <w:rFonts w:eastAsia="Tahoma" w:cs="Calibri"/>
          <w:spacing w:val="6"/>
          <w:lang w:val="pt-BR"/>
        </w:rPr>
        <w:t>. Na página seguinte, selecionar o “Período de Entrega” desejado, no campo “Categoria” selecionar “</w:t>
      </w:r>
      <w:r w:rsidR="004B3CFA" w:rsidRPr="00D8141D">
        <w:rPr>
          <w:rFonts w:cs="Calibri"/>
          <w:bCs/>
          <w:lang w:val="pt-BR"/>
        </w:rPr>
        <w:t>Documentos de Oferta de Distribuição Pública</w:t>
      </w:r>
      <w:r w:rsidR="004B3CFA" w:rsidRPr="00D8141D">
        <w:rPr>
          <w:rFonts w:eastAsia="Tahoma" w:cs="Calibri"/>
          <w:spacing w:val="6"/>
          <w:lang w:val="pt-BR"/>
        </w:rPr>
        <w:t xml:space="preserve">” e clicar em “Consultar”. Na sequência, clicar em “Visualizar o Documento” </w:t>
      </w:r>
      <w:r w:rsidR="004B3CFA" w:rsidRPr="00D8141D">
        <w:rPr>
          <w:rFonts w:cs="Calibri"/>
          <w:bCs/>
          <w:lang w:val="pt-BR"/>
        </w:rPr>
        <w:t>do “Anúncio de Encerramento” da Oferta</w:t>
      </w:r>
      <w:r w:rsidR="004B3CFA" w:rsidRPr="00D8141D">
        <w:rPr>
          <w:rFonts w:eastAsia="Tahoma" w:cs="Calibri"/>
          <w:color w:val="000000"/>
          <w:spacing w:val="6"/>
          <w:lang w:val="pt-BR"/>
        </w:rPr>
        <w:t>;</w:t>
      </w:r>
    </w:p>
    <w:p w14:paraId="2AA4582F" w14:textId="45D6AAD7" w:rsidR="00D339B7" w:rsidRDefault="00437261" w:rsidP="00F76E8F">
      <w:pPr>
        <w:pStyle w:val="HOMEBRBodyText"/>
        <w:keepLines w:val="0"/>
        <w:widowControl w:val="0"/>
        <w:numPr>
          <w:ilvl w:val="0"/>
          <w:numId w:val="11"/>
        </w:numPr>
        <w:tabs>
          <w:tab w:val="left" w:pos="284"/>
        </w:tabs>
        <w:spacing w:after="140" w:line="290" w:lineRule="auto"/>
        <w:ind w:left="0" w:firstLine="0"/>
        <w:jc w:val="both"/>
        <w:rPr>
          <w:rFonts w:cs="Calibri"/>
          <w:bCs/>
          <w:lang w:val="pt-BR"/>
        </w:rPr>
      </w:pPr>
      <w:r w:rsidRPr="00D8141D">
        <w:rPr>
          <w:rFonts w:cs="Calibri"/>
          <w:b/>
          <w:lang w:val="pt-BR"/>
        </w:rPr>
        <w:t>B3:</w:t>
      </w:r>
      <w:r w:rsidR="00A76890" w:rsidRPr="00D33DFE">
        <w:rPr>
          <w:rFonts w:cs="Calibri"/>
          <w:lang w:val="pt-BR"/>
        </w:rPr>
        <w:t xml:space="preserve"> </w:t>
      </w:r>
      <w:r w:rsidR="00A76890" w:rsidRPr="00A76890">
        <w:rPr>
          <w:rFonts w:cs="Calibri"/>
          <w:lang w:val="pt-BR"/>
        </w:rPr>
        <w:t>http://www.b3.com.br/pt_br/produtos-e-servicos/negociacao/renda-variavel/empresas-listadas.htm (neste website, buscar por “</w:t>
      </w:r>
      <w:r w:rsidR="00A76890" w:rsidRPr="00A76890">
        <w:rPr>
          <w:rFonts w:cs="Calibri"/>
          <w:bCs/>
          <w:lang w:val="pt-BR"/>
        </w:rPr>
        <w:t>SÃO MARTINHO S.A.</w:t>
      </w:r>
      <w:r w:rsidR="00A76890" w:rsidRPr="00A76890">
        <w:rPr>
          <w:rFonts w:cs="Calibri"/>
          <w:lang w:val="pt-BR"/>
        </w:rPr>
        <w:t>” no campo disponível, em seguida acessar “</w:t>
      </w:r>
      <w:r w:rsidR="00A76890" w:rsidRPr="00A76890">
        <w:rPr>
          <w:rFonts w:cs="Calibri"/>
          <w:bCs/>
          <w:lang w:val="pt-BR"/>
        </w:rPr>
        <w:t>SÃO MARTINHO S.A.</w:t>
      </w:r>
      <w:r w:rsidR="00A76890" w:rsidRPr="00A76890">
        <w:rPr>
          <w:rFonts w:cs="Calibri"/>
          <w:lang w:val="pt-BR"/>
        </w:rPr>
        <w:t>”, posteriormente, clicar em “Informações Relevantes” e em seguida, selecionar o ano de 2022, clicar em “Documentos de Oferta de Distribuição Pública” e acessar o “Anúncio de Encerramento” da Oferta)</w:t>
      </w:r>
      <w:r w:rsidRPr="00D8141D">
        <w:rPr>
          <w:rFonts w:cs="Calibri"/>
          <w:bCs/>
          <w:lang w:val="pt-BR"/>
        </w:rPr>
        <w:t>.</w:t>
      </w:r>
    </w:p>
    <w:p w14:paraId="5764D2F8" w14:textId="77777777" w:rsidR="00D339B7" w:rsidRDefault="00D339B7">
      <w:pPr>
        <w:spacing w:after="0" w:line="240" w:lineRule="auto"/>
        <w:rPr>
          <w:rFonts w:eastAsia="MS Mincho" w:cs="Calibri"/>
          <w:bCs/>
        </w:rPr>
      </w:pPr>
      <w:r>
        <w:rPr>
          <w:rFonts w:cs="Calibri"/>
          <w:bCs/>
        </w:rPr>
        <w:br w:type="page"/>
      </w:r>
    </w:p>
    <w:p w14:paraId="5C59F927" w14:textId="77777777" w:rsidR="00E8286C" w:rsidRPr="00566CD3" w:rsidRDefault="00E8286C" w:rsidP="00583F6E">
      <w:pPr>
        <w:pStyle w:val="Ttulo1"/>
        <w:keepNext w:val="0"/>
        <w:pageBreakBefore w:val="0"/>
        <w:widowControl w:val="0"/>
        <w:spacing w:after="140" w:line="290" w:lineRule="auto"/>
        <w:rPr>
          <w:caps w:val="0"/>
        </w:rPr>
      </w:pPr>
      <w:bookmarkStart w:id="65" w:name="_Toc428306460"/>
      <w:bookmarkStart w:id="66" w:name="_Toc87002464"/>
      <w:bookmarkStart w:id="67" w:name="_Toc90045080"/>
      <w:bookmarkStart w:id="68" w:name="_Toc95928393"/>
      <w:r w:rsidRPr="00566CD3">
        <w:rPr>
          <w:caps w:val="0"/>
        </w:rPr>
        <w:lastRenderedPageBreak/>
        <w:t>INFORMAÇÕES RELATIVAS À EMISSÃO, À OFERTA E ÀS DEBÊNTURES</w:t>
      </w:r>
      <w:bookmarkEnd w:id="65"/>
      <w:bookmarkEnd w:id="66"/>
      <w:bookmarkEnd w:id="67"/>
      <w:bookmarkEnd w:id="68"/>
    </w:p>
    <w:p w14:paraId="02B84189" w14:textId="77777777" w:rsidR="00E8286C" w:rsidRPr="00D8141D" w:rsidRDefault="00E8286C" w:rsidP="00E70F08">
      <w:pPr>
        <w:pStyle w:val="Ttulo2"/>
        <w:keepNext w:val="0"/>
        <w:keepLines w:val="0"/>
        <w:spacing w:after="140" w:line="290" w:lineRule="auto"/>
        <w:jc w:val="both"/>
        <w:rPr>
          <w:rFonts w:cs="Calibri"/>
          <w:b/>
          <w:szCs w:val="24"/>
          <w:lang w:val="pt-BR"/>
        </w:rPr>
      </w:pPr>
      <w:bookmarkStart w:id="69" w:name="_Toc428306461"/>
      <w:bookmarkStart w:id="70" w:name="_Ref434935674"/>
      <w:bookmarkStart w:id="71" w:name="_Toc95928394"/>
      <w:r w:rsidRPr="00D8141D">
        <w:rPr>
          <w:rFonts w:cs="Calibri"/>
          <w:b/>
          <w:szCs w:val="24"/>
          <w:lang w:val="pt-BR"/>
        </w:rPr>
        <w:t>COMPOSIÇÃO DO CAPITAL SOCIAL</w:t>
      </w:r>
      <w:bookmarkEnd w:id="69"/>
      <w:r w:rsidRPr="00D8141D">
        <w:rPr>
          <w:rFonts w:cs="Calibri"/>
          <w:b/>
          <w:szCs w:val="24"/>
          <w:lang w:val="pt-BR"/>
        </w:rPr>
        <w:t xml:space="preserve"> DA EMISSORA</w:t>
      </w:r>
      <w:bookmarkEnd w:id="70"/>
      <w:bookmarkEnd w:id="71"/>
    </w:p>
    <w:p w14:paraId="71B6DB9D" w14:textId="77777777" w:rsidR="006F700A" w:rsidRPr="00D8141D" w:rsidRDefault="00EF2819" w:rsidP="009E2BE2">
      <w:pPr>
        <w:pStyle w:val="HOMEBRBodyText"/>
        <w:keepLines w:val="0"/>
        <w:widowControl w:val="0"/>
        <w:spacing w:after="140" w:line="290" w:lineRule="auto"/>
        <w:jc w:val="both"/>
        <w:rPr>
          <w:rFonts w:eastAsia="Calibri" w:cs="Calibri"/>
          <w:lang w:val="pt-BR"/>
        </w:rPr>
      </w:pPr>
      <w:r w:rsidRPr="00D8141D">
        <w:rPr>
          <w:rFonts w:cs="Calibri"/>
          <w:lang w:val="pt-BR"/>
        </w:rPr>
        <w:t xml:space="preserve">Na data deste Prospecto, o </w:t>
      </w:r>
      <w:r w:rsidR="00587D0A" w:rsidRPr="00D8141D">
        <w:rPr>
          <w:rFonts w:cs="Calibri"/>
          <w:lang w:val="pt-BR"/>
        </w:rPr>
        <w:t xml:space="preserve">capital social subscrito e integralizado da Emissora é de </w:t>
      </w:r>
      <w:r w:rsidR="00816C38" w:rsidRPr="00D8141D">
        <w:rPr>
          <w:rFonts w:cs="Calibri"/>
          <w:lang w:val="pt-BR"/>
        </w:rPr>
        <w:t>R$ </w:t>
      </w:r>
      <w:r w:rsidR="0049193D" w:rsidRPr="00D8141D">
        <w:rPr>
          <w:rFonts w:cs="Calibri"/>
          <w:lang w:val="pt-BR"/>
        </w:rPr>
        <w:t>2.681.570.983,27</w:t>
      </w:r>
      <w:r w:rsidR="00816C38" w:rsidRPr="00D8141D">
        <w:rPr>
          <w:rFonts w:cs="Calibri"/>
          <w:lang w:val="pt-BR"/>
        </w:rPr>
        <w:t xml:space="preserve"> </w:t>
      </w:r>
      <w:r w:rsidR="00893EA8" w:rsidRPr="00D8141D">
        <w:rPr>
          <w:rFonts w:cs="Calibri"/>
          <w:lang w:val="pt-BR"/>
        </w:rPr>
        <w:t>(dois bilhões, seiscentos e oitenta e um milhões, quinhentos e setenta mil, novecentos e oitenta e três reais e vinte e sete centavos</w:t>
      </w:r>
      <w:r w:rsidR="009F4609" w:rsidRPr="00D8141D">
        <w:rPr>
          <w:rFonts w:cs="Calibri"/>
          <w:lang w:val="pt-BR"/>
        </w:rPr>
        <w:t>).</w:t>
      </w:r>
      <w:r w:rsidR="00587D0A" w:rsidRPr="00D8141D">
        <w:rPr>
          <w:rFonts w:cs="Calibri"/>
          <w:lang w:val="pt-BR"/>
        </w:rPr>
        <w:t xml:space="preserve"> O capital social está dividido em </w:t>
      </w:r>
      <w:r w:rsidR="00893EA8" w:rsidRPr="00D8141D">
        <w:rPr>
          <w:rFonts w:cs="Calibri"/>
          <w:lang w:val="pt-BR"/>
        </w:rPr>
        <w:t>354.011.329 (trezentas e cinquenta e quarto milhões, onze mil e trezentas e vinte e nove</w:t>
      </w:r>
      <w:r w:rsidR="009F4609" w:rsidRPr="00D8141D">
        <w:rPr>
          <w:rFonts w:cs="Calibri"/>
          <w:lang w:val="pt-BR"/>
        </w:rPr>
        <w:t>)</w:t>
      </w:r>
      <w:r w:rsidR="00893EA8" w:rsidRPr="00D8141D">
        <w:rPr>
          <w:rFonts w:cs="Calibri"/>
          <w:lang w:val="pt-BR"/>
        </w:rPr>
        <w:t xml:space="preserve"> </w:t>
      </w:r>
      <w:r w:rsidR="00587D0A" w:rsidRPr="00D8141D">
        <w:rPr>
          <w:rFonts w:cs="Calibri"/>
          <w:lang w:val="pt-BR"/>
        </w:rPr>
        <w:t>ações ordinárias, todas nominativas, escriturais e sem valor nominal. A Emissora está autorizada a aumentar o capital social por deliberação do Conselho de Administração, independentemente de reforma estatutária, até o limite de</w:t>
      </w:r>
      <w:r w:rsidR="00893EA8" w:rsidRPr="00D8141D">
        <w:rPr>
          <w:rFonts w:cs="Calibri"/>
          <w:lang w:val="pt-BR"/>
        </w:rPr>
        <w:t xml:space="preserve"> 372.000.000 </w:t>
      </w:r>
      <w:r w:rsidR="00587D0A" w:rsidRPr="00D8141D">
        <w:rPr>
          <w:rFonts w:cs="Calibri"/>
          <w:lang w:val="pt-BR"/>
        </w:rPr>
        <w:t>(</w:t>
      </w:r>
      <w:r w:rsidR="00893EA8" w:rsidRPr="00D8141D">
        <w:rPr>
          <w:rFonts w:cs="Calibri"/>
          <w:lang w:val="pt-BR"/>
        </w:rPr>
        <w:t>trezentas e setenta e duas milhões) ações</w:t>
      </w:r>
      <w:r w:rsidR="00587D0A" w:rsidRPr="00D8141D">
        <w:rPr>
          <w:rFonts w:cs="Calibri"/>
          <w:lang w:val="pt-BR"/>
        </w:rPr>
        <w:t>.</w:t>
      </w:r>
    </w:p>
    <w:p w14:paraId="0F1414BF" w14:textId="77777777" w:rsidR="00E8286C" w:rsidRPr="00D8141D" w:rsidRDefault="00587D0A" w:rsidP="009E2BE2">
      <w:pPr>
        <w:pStyle w:val="HOMEBRBodyText"/>
        <w:keepLines w:val="0"/>
        <w:widowControl w:val="0"/>
        <w:spacing w:after="140" w:line="290" w:lineRule="auto"/>
        <w:jc w:val="both"/>
        <w:rPr>
          <w:rFonts w:eastAsia="Calibri" w:cs="Calibri"/>
          <w:b/>
          <w:bCs/>
          <w:color w:val="FFFFFF"/>
          <w:sz w:val="18"/>
          <w:szCs w:val="18"/>
          <w:lang w:val="pt-BR"/>
        </w:rPr>
      </w:pPr>
      <w:r w:rsidRPr="00D8141D">
        <w:rPr>
          <w:rFonts w:cs="Calibri"/>
          <w:lang w:val="pt-BR"/>
        </w:rPr>
        <w:t xml:space="preserve">A tabela abaixo apresenta a distribuição do capital social da Emissora na </w:t>
      </w:r>
      <w:r w:rsidR="003E13AA" w:rsidRPr="00D8141D">
        <w:rPr>
          <w:rFonts w:cs="Calibri"/>
          <w:lang w:val="pt-BR"/>
        </w:rPr>
        <w:t xml:space="preserve">data base </w:t>
      </w:r>
      <w:r w:rsidR="009F4609" w:rsidRPr="00D8141D">
        <w:rPr>
          <w:rFonts w:cs="Calibri"/>
          <w:lang w:val="pt-BR"/>
        </w:rPr>
        <w:t>01</w:t>
      </w:r>
      <w:r w:rsidR="003E13AA" w:rsidRPr="00D8141D">
        <w:rPr>
          <w:rFonts w:cs="Calibri"/>
          <w:lang w:val="pt-BR"/>
        </w:rPr>
        <w:t xml:space="preserve"> de </w:t>
      </w:r>
      <w:r w:rsidR="009F4609" w:rsidRPr="00D8141D">
        <w:rPr>
          <w:rFonts w:cs="Calibri"/>
          <w:lang w:val="pt-BR"/>
        </w:rPr>
        <w:t>março</w:t>
      </w:r>
      <w:r w:rsidR="003E13AA" w:rsidRPr="00D8141D">
        <w:rPr>
          <w:rFonts w:cs="Calibri"/>
          <w:lang w:val="pt-BR"/>
        </w:rPr>
        <w:t xml:space="preserve"> de </w:t>
      </w:r>
      <w:r w:rsidR="00893EA8" w:rsidRPr="00D8141D">
        <w:rPr>
          <w:rFonts w:cs="Calibri"/>
          <w:lang w:val="pt-BR"/>
        </w:rPr>
        <w:t>2021</w:t>
      </w:r>
      <w:r w:rsidR="003E13AA" w:rsidRPr="00D8141D">
        <w:rPr>
          <w:rFonts w:cs="Calibri"/>
          <w:lang w:val="pt-BR"/>
        </w:rPr>
        <w:t>, entre os acionistas com participação relevante acima de 5% (cinco por cento) do capital social da Companhia na data deste Prospecto:</w:t>
      </w:r>
    </w:p>
    <w:tbl>
      <w:tblPr>
        <w:tblW w:w="8779" w:type="dxa"/>
        <w:tblCellMar>
          <w:left w:w="70" w:type="dxa"/>
          <w:right w:w="70" w:type="dxa"/>
        </w:tblCellMar>
        <w:tblLook w:val="04A0" w:firstRow="1" w:lastRow="0" w:firstColumn="1" w:lastColumn="0" w:noHBand="0" w:noVBand="1"/>
      </w:tblPr>
      <w:tblGrid>
        <w:gridCol w:w="2263"/>
        <w:gridCol w:w="1152"/>
        <w:gridCol w:w="890"/>
        <w:gridCol w:w="1152"/>
        <w:gridCol w:w="890"/>
        <w:gridCol w:w="1290"/>
        <w:gridCol w:w="1142"/>
      </w:tblGrid>
      <w:tr w:rsidR="00B24174" w:rsidRPr="00D8141D" w14:paraId="2F7A3E41" w14:textId="77777777" w:rsidTr="00D8141D">
        <w:trPr>
          <w:trHeight w:val="253"/>
        </w:trPr>
        <w:tc>
          <w:tcPr>
            <w:tcW w:w="8779" w:type="dxa"/>
            <w:gridSpan w:val="7"/>
            <w:tcBorders>
              <w:top w:val="single" w:sz="8" w:space="0" w:color="FFFFFF"/>
              <w:left w:val="single" w:sz="8" w:space="0" w:color="FFFFFF"/>
              <w:bottom w:val="single" w:sz="8" w:space="0" w:color="FFFFFF"/>
              <w:right w:val="single" w:sz="8" w:space="0" w:color="FFFFFF"/>
            </w:tcBorders>
            <w:shd w:val="clear" w:color="auto" w:fill="808080"/>
            <w:vAlign w:val="center"/>
            <w:hideMark/>
          </w:tcPr>
          <w:p w14:paraId="106C8D6D"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Participações detidas em</w:t>
            </w:r>
            <w:r w:rsidR="00197993" w:rsidRPr="00D8141D">
              <w:rPr>
                <w:rFonts w:cs="Calibri"/>
                <w:b/>
                <w:bCs/>
                <w:color w:val="FFFFFF"/>
                <w:sz w:val="18"/>
                <w:szCs w:val="18"/>
              </w:rPr>
              <w:t xml:space="preserve"> </w:t>
            </w:r>
            <w:r w:rsidR="009F4609" w:rsidRPr="00D8141D">
              <w:rPr>
                <w:rFonts w:cs="Calibri"/>
                <w:b/>
                <w:bCs/>
                <w:color w:val="FFFFFF"/>
                <w:sz w:val="18"/>
                <w:szCs w:val="18"/>
              </w:rPr>
              <w:t>01</w:t>
            </w:r>
            <w:r w:rsidR="00DB205D" w:rsidRPr="00D8141D">
              <w:rPr>
                <w:rFonts w:cs="Calibri"/>
                <w:b/>
                <w:bCs/>
                <w:color w:val="FFFFFF"/>
                <w:sz w:val="18"/>
                <w:szCs w:val="18"/>
              </w:rPr>
              <w:t>/</w:t>
            </w:r>
            <w:r w:rsidR="009F4609" w:rsidRPr="00D8141D">
              <w:rPr>
                <w:rFonts w:cs="Calibri"/>
                <w:b/>
                <w:bCs/>
                <w:color w:val="FFFFFF"/>
                <w:sz w:val="18"/>
                <w:szCs w:val="18"/>
              </w:rPr>
              <w:t>março</w:t>
            </w:r>
            <w:r w:rsidR="00DB205D" w:rsidRPr="00D8141D">
              <w:rPr>
                <w:rFonts w:cs="Calibri"/>
                <w:b/>
                <w:bCs/>
                <w:color w:val="FFFFFF"/>
                <w:sz w:val="18"/>
                <w:szCs w:val="18"/>
              </w:rPr>
              <w:t>/</w:t>
            </w:r>
            <w:r w:rsidR="00893EA8" w:rsidRPr="00D8141D">
              <w:rPr>
                <w:rFonts w:cs="Calibri"/>
                <w:b/>
                <w:bCs/>
                <w:color w:val="FFFFFF"/>
                <w:sz w:val="18"/>
                <w:szCs w:val="18"/>
              </w:rPr>
              <w:t>2021</w:t>
            </w:r>
          </w:p>
        </w:tc>
      </w:tr>
      <w:tr w:rsidR="00B24174" w:rsidRPr="00D8141D" w14:paraId="4628944C" w14:textId="77777777" w:rsidTr="00D8141D">
        <w:trPr>
          <w:trHeight w:val="253"/>
        </w:trPr>
        <w:tc>
          <w:tcPr>
            <w:tcW w:w="2263" w:type="dxa"/>
            <w:vMerge w:val="restart"/>
            <w:tcBorders>
              <w:top w:val="nil"/>
              <w:left w:val="single" w:sz="8" w:space="0" w:color="FFFFFF"/>
              <w:bottom w:val="single" w:sz="8" w:space="0" w:color="FFFFFF"/>
              <w:right w:val="single" w:sz="8" w:space="0" w:color="FFFFFF"/>
            </w:tcBorders>
            <w:shd w:val="clear" w:color="auto" w:fill="808080"/>
            <w:vAlign w:val="center"/>
            <w:hideMark/>
          </w:tcPr>
          <w:p w14:paraId="7FB30B2B"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Acionista</w:t>
            </w:r>
          </w:p>
        </w:tc>
        <w:tc>
          <w:tcPr>
            <w:tcW w:w="2042" w:type="dxa"/>
            <w:gridSpan w:val="2"/>
            <w:tcBorders>
              <w:top w:val="single" w:sz="8" w:space="0" w:color="FFFFFF"/>
              <w:left w:val="nil"/>
              <w:bottom w:val="single" w:sz="8" w:space="0" w:color="FFFFFF"/>
              <w:right w:val="single" w:sz="8" w:space="0" w:color="FFFFFF"/>
            </w:tcBorders>
            <w:shd w:val="clear" w:color="auto" w:fill="808080"/>
            <w:vAlign w:val="center"/>
            <w:hideMark/>
          </w:tcPr>
          <w:p w14:paraId="12C05C5F"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Ações Ordinárias</w:t>
            </w:r>
          </w:p>
        </w:tc>
        <w:tc>
          <w:tcPr>
            <w:tcW w:w="2042" w:type="dxa"/>
            <w:gridSpan w:val="2"/>
            <w:tcBorders>
              <w:top w:val="single" w:sz="8" w:space="0" w:color="FFFFFF"/>
              <w:left w:val="nil"/>
              <w:bottom w:val="single" w:sz="8" w:space="0" w:color="FFFFFF"/>
              <w:right w:val="single" w:sz="8" w:space="0" w:color="FFFFFF"/>
            </w:tcBorders>
            <w:shd w:val="clear" w:color="auto" w:fill="808080"/>
            <w:vAlign w:val="center"/>
            <w:hideMark/>
          </w:tcPr>
          <w:p w14:paraId="78A463C7"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Ações Preferenciais</w:t>
            </w:r>
          </w:p>
        </w:tc>
        <w:tc>
          <w:tcPr>
            <w:tcW w:w="2432" w:type="dxa"/>
            <w:gridSpan w:val="2"/>
            <w:tcBorders>
              <w:top w:val="single" w:sz="8" w:space="0" w:color="FFFFFF"/>
              <w:left w:val="nil"/>
              <w:bottom w:val="single" w:sz="8" w:space="0" w:color="FFFFFF"/>
              <w:right w:val="single" w:sz="8" w:space="0" w:color="FFFFFF"/>
            </w:tcBorders>
            <w:shd w:val="clear" w:color="auto" w:fill="808080"/>
            <w:vAlign w:val="center"/>
            <w:hideMark/>
          </w:tcPr>
          <w:p w14:paraId="5594BD22"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Total</w:t>
            </w:r>
          </w:p>
        </w:tc>
      </w:tr>
      <w:tr w:rsidR="00B24174" w:rsidRPr="00D8141D" w14:paraId="63BEDB15" w14:textId="77777777" w:rsidTr="00D8141D">
        <w:trPr>
          <w:trHeight w:val="253"/>
        </w:trPr>
        <w:tc>
          <w:tcPr>
            <w:tcW w:w="2263" w:type="dxa"/>
            <w:vMerge/>
            <w:tcBorders>
              <w:top w:val="nil"/>
              <w:left w:val="single" w:sz="8" w:space="0" w:color="FFFFFF"/>
              <w:bottom w:val="single" w:sz="8" w:space="0" w:color="FFFFFF"/>
              <w:right w:val="single" w:sz="8" w:space="0" w:color="FFFFFF"/>
            </w:tcBorders>
            <w:shd w:val="clear" w:color="auto" w:fill="808080"/>
            <w:vAlign w:val="center"/>
            <w:hideMark/>
          </w:tcPr>
          <w:p w14:paraId="1DCE045F" w14:textId="77777777" w:rsidR="00B24174" w:rsidRPr="00D8141D" w:rsidRDefault="00B24174" w:rsidP="00B24174">
            <w:pPr>
              <w:spacing w:after="140" w:line="290" w:lineRule="auto"/>
              <w:rPr>
                <w:rFonts w:cs="Calibri"/>
                <w:b/>
                <w:bCs/>
                <w:color w:val="FFFFFF"/>
                <w:sz w:val="18"/>
                <w:szCs w:val="18"/>
              </w:rPr>
            </w:pPr>
          </w:p>
        </w:tc>
        <w:tc>
          <w:tcPr>
            <w:tcW w:w="1152" w:type="dxa"/>
            <w:tcBorders>
              <w:top w:val="nil"/>
              <w:left w:val="nil"/>
              <w:bottom w:val="single" w:sz="8" w:space="0" w:color="FFFFFF"/>
              <w:right w:val="single" w:sz="8" w:space="0" w:color="FFFFFF"/>
            </w:tcBorders>
            <w:shd w:val="clear" w:color="auto" w:fill="808080"/>
            <w:vAlign w:val="center"/>
            <w:hideMark/>
          </w:tcPr>
          <w:p w14:paraId="038A8569"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Quantidade</w:t>
            </w:r>
          </w:p>
        </w:tc>
        <w:tc>
          <w:tcPr>
            <w:tcW w:w="890" w:type="dxa"/>
            <w:tcBorders>
              <w:top w:val="nil"/>
              <w:left w:val="nil"/>
              <w:bottom w:val="single" w:sz="8" w:space="0" w:color="FFFFFF"/>
              <w:right w:val="single" w:sz="8" w:space="0" w:color="FFFFFF"/>
            </w:tcBorders>
            <w:shd w:val="clear" w:color="auto" w:fill="808080"/>
            <w:vAlign w:val="center"/>
            <w:hideMark/>
          </w:tcPr>
          <w:p w14:paraId="742CB8E6"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w:t>
            </w:r>
          </w:p>
        </w:tc>
        <w:tc>
          <w:tcPr>
            <w:tcW w:w="1152" w:type="dxa"/>
            <w:tcBorders>
              <w:top w:val="nil"/>
              <w:left w:val="nil"/>
              <w:bottom w:val="single" w:sz="8" w:space="0" w:color="FFFFFF"/>
              <w:right w:val="single" w:sz="8" w:space="0" w:color="FFFFFF"/>
            </w:tcBorders>
            <w:shd w:val="clear" w:color="auto" w:fill="808080"/>
            <w:vAlign w:val="center"/>
            <w:hideMark/>
          </w:tcPr>
          <w:p w14:paraId="72BE52C0"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Quantidade</w:t>
            </w:r>
          </w:p>
        </w:tc>
        <w:tc>
          <w:tcPr>
            <w:tcW w:w="890" w:type="dxa"/>
            <w:tcBorders>
              <w:top w:val="nil"/>
              <w:left w:val="nil"/>
              <w:bottom w:val="single" w:sz="8" w:space="0" w:color="FFFFFF"/>
              <w:right w:val="single" w:sz="8" w:space="0" w:color="FFFFFF"/>
            </w:tcBorders>
            <w:shd w:val="clear" w:color="auto" w:fill="808080"/>
            <w:vAlign w:val="center"/>
            <w:hideMark/>
          </w:tcPr>
          <w:p w14:paraId="0A79920E"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w:t>
            </w:r>
          </w:p>
        </w:tc>
        <w:tc>
          <w:tcPr>
            <w:tcW w:w="1290" w:type="dxa"/>
            <w:tcBorders>
              <w:top w:val="nil"/>
              <w:left w:val="nil"/>
              <w:bottom w:val="single" w:sz="8" w:space="0" w:color="FFFFFF"/>
              <w:right w:val="single" w:sz="8" w:space="0" w:color="FFFFFF"/>
            </w:tcBorders>
            <w:shd w:val="clear" w:color="auto" w:fill="808080"/>
            <w:vAlign w:val="center"/>
            <w:hideMark/>
          </w:tcPr>
          <w:p w14:paraId="74E4D1C3"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Quantidade</w:t>
            </w:r>
          </w:p>
        </w:tc>
        <w:tc>
          <w:tcPr>
            <w:tcW w:w="1142" w:type="dxa"/>
            <w:tcBorders>
              <w:top w:val="nil"/>
              <w:left w:val="nil"/>
              <w:bottom w:val="single" w:sz="8" w:space="0" w:color="FFFFFF"/>
              <w:right w:val="single" w:sz="8" w:space="0" w:color="FFFFFF"/>
            </w:tcBorders>
            <w:shd w:val="clear" w:color="auto" w:fill="808080"/>
            <w:vAlign w:val="center"/>
            <w:hideMark/>
          </w:tcPr>
          <w:p w14:paraId="09502C44" w14:textId="77777777" w:rsidR="00B24174" w:rsidRPr="00D8141D" w:rsidRDefault="00B24174" w:rsidP="00B24174">
            <w:pPr>
              <w:spacing w:after="140" w:line="290" w:lineRule="auto"/>
              <w:jc w:val="center"/>
              <w:rPr>
                <w:rFonts w:cs="Calibri"/>
                <w:b/>
                <w:bCs/>
                <w:color w:val="FFFFFF"/>
                <w:sz w:val="18"/>
                <w:szCs w:val="18"/>
              </w:rPr>
            </w:pPr>
            <w:r w:rsidRPr="00D8141D">
              <w:rPr>
                <w:rFonts w:cs="Calibri"/>
                <w:b/>
                <w:bCs/>
                <w:color w:val="FFFFFF"/>
                <w:sz w:val="18"/>
                <w:szCs w:val="18"/>
              </w:rPr>
              <w:t>%</w:t>
            </w:r>
          </w:p>
        </w:tc>
      </w:tr>
      <w:tr w:rsidR="00197993" w:rsidRPr="00D8141D" w14:paraId="42D9D761" w14:textId="77777777" w:rsidTr="00197993">
        <w:trPr>
          <w:trHeight w:val="253"/>
        </w:trPr>
        <w:tc>
          <w:tcPr>
            <w:tcW w:w="2263" w:type="dxa"/>
            <w:tcBorders>
              <w:top w:val="nil"/>
              <w:left w:val="single" w:sz="8" w:space="0" w:color="auto"/>
              <w:bottom w:val="single" w:sz="8" w:space="0" w:color="auto"/>
              <w:right w:val="single" w:sz="8" w:space="0" w:color="auto"/>
            </w:tcBorders>
            <w:shd w:val="clear" w:color="auto" w:fill="auto"/>
            <w:hideMark/>
          </w:tcPr>
          <w:p w14:paraId="2BE79F2E" w14:textId="77777777" w:rsidR="00197993" w:rsidRPr="00D8141D" w:rsidRDefault="00B04361" w:rsidP="00197993">
            <w:pPr>
              <w:spacing w:after="140" w:line="290" w:lineRule="auto"/>
              <w:rPr>
                <w:rFonts w:cs="Calibri"/>
                <w:color w:val="000000"/>
                <w:sz w:val="18"/>
                <w:szCs w:val="18"/>
              </w:rPr>
            </w:pPr>
            <w:r w:rsidRPr="00D8141D">
              <w:rPr>
                <w:rFonts w:cs="Calibri"/>
                <w:color w:val="000000"/>
                <w:sz w:val="18"/>
                <w:szCs w:val="18"/>
              </w:rPr>
              <w:t>LJN Participações S.A.</w:t>
            </w:r>
          </w:p>
        </w:tc>
        <w:tc>
          <w:tcPr>
            <w:tcW w:w="1152" w:type="dxa"/>
            <w:tcBorders>
              <w:top w:val="nil"/>
              <w:left w:val="nil"/>
              <w:bottom w:val="single" w:sz="8" w:space="0" w:color="auto"/>
              <w:right w:val="single" w:sz="8" w:space="0" w:color="auto"/>
            </w:tcBorders>
            <w:shd w:val="clear" w:color="auto" w:fill="auto"/>
            <w:hideMark/>
          </w:tcPr>
          <w:p w14:paraId="6FD2666C" w14:textId="77777777" w:rsidR="00197993" w:rsidRPr="00D8141D" w:rsidRDefault="00B04361" w:rsidP="00197993">
            <w:pPr>
              <w:spacing w:after="140" w:line="290" w:lineRule="auto"/>
              <w:jc w:val="center"/>
              <w:rPr>
                <w:rFonts w:cs="Calibri"/>
                <w:color w:val="000000"/>
                <w:sz w:val="18"/>
                <w:szCs w:val="18"/>
              </w:rPr>
            </w:pPr>
            <w:r w:rsidRPr="00D8141D">
              <w:rPr>
                <w:rFonts w:cs="Calibri"/>
                <w:sz w:val="18"/>
                <w:szCs w:val="18"/>
              </w:rPr>
              <w:t>190.242.864</w:t>
            </w:r>
          </w:p>
        </w:tc>
        <w:tc>
          <w:tcPr>
            <w:tcW w:w="890" w:type="dxa"/>
            <w:tcBorders>
              <w:top w:val="nil"/>
              <w:left w:val="nil"/>
              <w:bottom w:val="single" w:sz="8" w:space="0" w:color="auto"/>
              <w:right w:val="single" w:sz="8" w:space="0" w:color="auto"/>
            </w:tcBorders>
            <w:shd w:val="clear" w:color="auto" w:fill="auto"/>
            <w:hideMark/>
          </w:tcPr>
          <w:p w14:paraId="75B03EB5" w14:textId="77777777" w:rsidR="00197993" w:rsidRPr="00D8141D" w:rsidRDefault="00B04361" w:rsidP="00197993">
            <w:pPr>
              <w:spacing w:after="140" w:line="290" w:lineRule="auto"/>
              <w:jc w:val="center"/>
              <w:rPr>
                <w:rFonts w:cs="Calibri"/>
                <w:color w:val="000000"/>
                <w:sz w:val="18"/>
                <w:szCs w:val="18"/>
              </w:rPr>
            </w:pPr>
            <w:r w:rsidRPr="00D8141D">
              <w:rPr>
                <w:rFonts w:cs="Calibri"/>
                <w:sz w:val="18"/>
                <w:szCs w:val="18"/>
              </w:rPr>
              <w:t>53,740%</w:t>
            </w:r>
          </w:p>
        </w:tc>
        <w:tc>
          <w:tcPr>
            <w:tcW w:w="1152" w:type="dxa"/>
            <w:tcBorders>
              <w:top w:val="nil"/>
              <w:left w:val="nil"/>
              <w:bottom w:val="single" w:sz="8" w:space="0" w:color="auto"/>
              <w:right w:val="single" w:sz="8" w:space="0" w:color="auto"/>
            </w:tcBorders>
            <w:shd w:val="clear" w:color="auto" w:fill="auto"/>
            <w:hideMark/>
          </w:tcPr>
          <w:p w14:paraId="0562A12A" w14:textId="77777777" w:rsidR="00197993" w:rsidRPr="00D8141D" w:rsidRDefault="00B04361" w:rsidP="00197993">
            <w:pPr>
              <w:spacing w:after="140" w:line="290" w:lineRule="auto"/>
              <w:jc w:val="center"/>
              <w:rPr>
                <w:rFonts w:cs="Calibri"/>
                <w:color w:val="000000"/>
                <w:sz w:val="18"/>
                <w:szCs w:val="18"/>
              </w:rPr>
            </w:pPr>
            <w:r w:rsidRPr="00D8141D">
              <w:rPr>
                <w:rFonts w:cs="Calibri"/>
                <w:color w:val="000000"/>
                <w:sz w:val="18"/>
                <w:szCs w:val="18"/>
              </w:rPr>
              <w:t>N/A</w:t>
            </w:r>
          </w:p>
        </w:tc>
        <w:tc>
          <w:tcPr>
            <w:tcW w:w="890" w:type="dxa"/>
            <w:tcBorders>
              <w:top w:val="nil"/>
              <w:left w:val="nil"/>
              <w:bottom w:val="single" w:sz="8" w:space="0" w:color="auto"/>
              <w:right w:val="single" w:sz="8" w:space="0" w:color="auto"/>
            </w:tcBorders>
            <w:shd w:val="clear" w:color="auto" w:fill="auto"/>
            <w:hideMark/>
          </w:tcPr>
          <w:p w14:paraId="33CD8207" w14:textId="77777777" w:rsidR="00197993" w:rsidRPr="00D8141D" w:rsidRDefault="00B04361" w:rsidP="00197993">
            <w:pPr>
              <w:spacing w:after="140" w:line="290" w:lineRule="auto"/>
              <w:jc w:val="center"/>
              <w:rPr>
                <w:rFonts w:cs="Calibri"/>
                <w:color w:val="000000"/>
                <w:sz w:val="18"/>
                <w:szCs w:val="18"/>
              </w:rPr>
            </w:pPr>
            <w:r w:rsidRPr="00D8141D">
              <w:rPr>
                <w:rFonts w:cs="Calibri"/>
                <w:sz w:val="18"/>
                <w:szCs w:val="18"/>
              </w:rPr>
              <w:t>N/A</w:t>
            </w:r>
          </w:p>
        </w:tc>
        <w:tc>
          <w:tcPr>
            <w:tcW w:w="1290" w:type="dxa"/>
            <w:tcBorders>
              <w:top w:val="nil"/>
              <w:left w:val="nil"/>
              <w:bottom w:val="single" w:sz="8" w:space="0" w:color="auto"/>
              <w:right w:val="single" w:sz="8" w:space="0" w:color="auto"/>
            </w:tcBorders>
            <w:shd w:val="clear" w:color="auto" w:fill="auto"/>
            <w:hideMark/>
          </w:tcPr>
          <w:p w14:paraId="6E02221A" w14:textId="77777777" w:rsidR="00197993" w:rsidRPr="00D8141D" w:rsidRDefault="00B04361" w:rsidP="00197993">
            <w:pPr>
              <w:spacing w:after="140" w:line="290" w:lineRule="auto"/>
              <w:jc w:val="center"/>
              <w:rPr>
                <w:rFonts w:cs="Calibri"/>
                <w:color w:val="000000"/>
                <w:sz w:val="18"/>
                <w:szCs w:val="18"/>
              </w:rPr>
            </w:pPr>
            <w:r w:rsidRPr="00D8141D">
              <w:rPr>
                <w:rFonts w:cs="Calibri"/>
                <w:sz w:val="18"/>
                <w:szCs w:val="18"/>
              </w:rPr>
              <w:t>190.242.864</w:t>
            </w:r>
          </w:p>
        </w:tc>
        <w:tc>
          <w:tcPr>
            <w:tcW w:w="1142" w:type="dxa"/>
            <w:tcBorders>
              <w:top w:val="nil"/>
              <w:left w:val="nil"/>
              <w:bottom w:val="single" w:sz="8" w:space="0" w:color="auto"/>
              <w:right w:val="single" w:sz="8" w:space="0" w:color="auto"/>
            </w:tcBorders>
            <w:shd w:val="clear" w:color="auto" w:fill="auto"/>
            <w:hideMark/>
          </w:tcPr>
          <w:p w14:paraId="62E33E4C" w14:textId="77777777" w:rsidR="00197993" w:rsidRPr="00D8141D" w:rsidRDefault="00B04361" w:rsidP="00197993">
            <w:pPr>
              <w:spacing w:after="140" w:line="290" w:lineRule="auto"/>
              <w:jc w:val="center"/>
              <w:rPr>
                <w:rFonts w:cs="Calibri"/>
                <w:color w:val="000000"/>
                <w:sz w:val="18"/>
                <w:szCs w:val="18"/>
              </w:rPr>
            </w:pPr>
            <w:r w:rsidRPr="00D8141D">
              <w:rPr>
                <w:rFonts w:cs="Calibri"/>
                <w:sz w:val="18"/>
                <w:szCs w:val="18"/>
              </w:rPr>
              <w:t>53,739%</w:t>
            </w:r>
          </w:p>
        </w:tc>
      </w:tr>
      <w:tr w:rsidR="00B04361" w:rsidRPr="00D8141D" w14:paraId="666C5DD7" w14:textId="77777777" w:rsidTr="00197993">
        <w:trPr>
          <w:trHeight w:val="253"/>
        </w:trPr>
        <w:tc>
          <w:tcPr>
            <w:tcW w:w="2263" w:type="dxa"/>
            <w:tcBorders>
              <w:top w:val="nil"/>
              <w:left w:val="single" w:sz="8" w:space="0" w:color="auto"/>
              <w:bottom w:val="single" w:sz="8" w:space="0" w:color="auto"/>
              <w:right w:val="single" w:sz="8" w:space="0" w:color="auto"/>
            </w:tcBorders>
            <w:shd w:val="clear" w:color="auto" w:fill="auto"/>
            <w:hideMark/>
          </w:tcPr>
          <w:p w14:paraId="3A28820D" w14:textId="77777777" w:rsidR="00B04361" w:rsidRPr="00D8141D" w:rsidRDefault="00B04361" w:rsidP="00B04361">
            <w:pPr>
              <w:spacing w:after="140" w:line="290" w:lineRule="auto"/>
              <w:rPr>
                <w:rFonts w:cs="Calibri"/>
                <w:color w:val="000000"/>
                <w:sz w:val="18"/>
                <w:szCs w:val="18"/>
              </w:rPr>
            </w:pPr>
            <w:r w:rsidRPr="00D8141D">
              <w:rPr>
                <w:rFonts w:cs="Calibri"/>
                <w:sz w:val="18"/>
                <w:szCs w:val="18"/>
              </w:rPr>
              <w:t>OUTROS</w:t>
            </w:r>
          </w:p>
        </w:tc>
        <w:tc>
          <w:tcPr>
            <w:tcW w:w="1152" w:type="dxa"/>
            <w:tcBorders>
              <w:top w:val="nil"/>
              <w:left w:val="nil"/>
              <w:bottom w:val="single" w:sz="8" w:space="0" w:color="auto"/>
              <w:right w:val="single" w:sz="8" w:space="0" w:color="auto"/>
            </w:tcBorders>
            <w:shd w:val="clear" w:color="auto" w:fill="auto"/>
            <w:hideMark/>
          </w:tcPr>
          <w:p w14:paraId="3F11F015" w14:textId="77777777" w:rsidR="00B04361" w:rsidRPr="00D8141D" w:rsidRDefault="00B04361" w:rsidP="00B04361">
            <w:pPr>
              <w:spacing w:after="140" w:line="290" w:lineRule="auto"/>
              <w:jc w:val="center"/>
              <w:rPr>
                <w:rFonts w:cs="Calibri"/>
                <w:color w:val="000000"/>
                <w:sz w:val="18"/>
                <w:szCs w:val="18"/>
              </w:rPr>
            </w:pPr>
            <w:r w:rsidRPr="00D8141D">
              <w:rPr>
                <w:rFonts w:cs="Calibri"/>
                <w:sz w:val="18"/>
                <w:szCs w:val="18"/>
              </w:rPr>
              <w:t>156.132.202</w:t>
            </w:r>
          </w:p>
        </w:tc>
        <w:tc>
          <w:tcPr>
            <w:tcW w:w="890" w:type="dxa"/>
            <w:tcBorders>
              <w:top w:val="nil"/>
              <w:left w:val="nil"/>
              <w:bottom w:val="single" w:sz="8" w:space="0" w:color="auto"/>
              <w:right w:val="single" w:sz="8" w:space="0" w:color="auto"/>
            </w:tcBorders>
            <w:shd w:val="clear" w:color="auto" w:fill="auto"/>
            <w:hideMark/>
          </w:tcPr>
          <w:p w14:paraId="2E343AC9" w14:textId="77777777" w:rsidR="00B04361" w:rsidRPr="00D8141D" w:rsidRDefault="00B04361" w:rsidP="00B04361">
            <w:pPr>
              <w:spacing w:after="140" w:line="290" w:lineRule="auto"/>
              <w:jc w:val="center"/>
              <w:rPr>
                <w:rFonts w:cs="Calibri"/>
                <w:color w:val="000000"/>
                <w:sz w:val="18"/>
                <w:szCs w:val="18"/>
              </w:rPr>
            </w:pPr>
            <w:r w:rsidRPr="00D8141D">
              <w:rPr>
                <w:rFonts w:cs="Calibri"/>
                <w:sz w:val="18"/>
                <w:szCs w:val="18"/>
              </w:rPr>
              <w:t>44,100%</w:t>
            </w:r>
          </w:p>
        </w:tc>
        <w:tc>
          <w:tcPr>
            <w:tcW w:w="1152" w:type="dxa"/>
            <w:tcBorders>
              <w:top w:val="nil"/>
              <w:left w:val="nil"/>
              <w:bottom w:val="single" w:sz="8" w:space="0" w:color="auto"/>
              <w:right w:val="single" w:sz="8" w:space="0" w:color="auto"/>
            </w:tcBorders>
            <w:shd w:val="clear" w:color="auto" w:fill="auto"/>
            <w:hideMark/>
          </w:tcPr>
          <w:p w14:paraId="24BFECBD" w14:textId="77777777" w:rsidR="00B04361" w:rsidRPr="00D8141D" w:rsidRDefault="00B04361" w:rsidP="00B04361">
            <w:pPr>
              <w:spacing w:after="140" w:line="290" w:lineRule="auto"/>
              <w:jc w:val="center"/>
              <w:rPr>
                <w:rFonts w:cs="Calibri"/>
                <w:color w:val="000000"/>
                <w:sz w:val="18"/>
                <w:szCs w:val="18"/>
              </w:rPr>
            </w:pPr>
            <w:r w:rsidRPr="00D8141D">
              <w:rPr>
                <w:rFonts w:cs="Calibri"/>
                <w:sz w:val="18"/>
                <w:szCs w:val="18"/>
              </w:rPr>
              <w:t>N/A</w:t>
            </w:r>
          </w:p>
        </w:tc>
        <w:tc>
          <w:tcPr>
            <w:tcW w:w="890" w:type="dxa"/>
            <w:tcBorders>
              <w:top w:val="nil"/>
              <w:left w:val="nil"/>
              <w:bottom w:val="single" w:sz="8" w:space="0" w:color="auto"/>
              <w:right w:val="single" w:sz="8" w:space="0" w:color="auto"/>
            </w:tcBorders>
            <w:shd w:val="clear" w:color="auto" w:fill="auto"/>
            <w:hideMark/>
          </w:tcPr>
          <w:p w14:paraId="71E9DF94" w14:textId="77777777" w:rsidR="00B04361" w:rsidRPr="00D8141D" w:rsidRDefault="00B04361" w:rsidP="00B04361">
            <w:pPr>
              <w:spacing w:after="140" w:line="290" w:lineRule="auto"/>
              <w:jc w:val="center"/>
              <w:rPr>
                <w:rFonts w:cs="Calibri"/>
                <w:color w:val="000000"/>
                <w:sz w:val="18"/>
                <w:szCs w:val="18"/>
              </w:rPr>
            </w:pPr>
            <w:r w:rsidRPr="00D8141D">
              <w:rPr>
                <w:rFonts w:cs="Calibri"/>
                <w:sz w:val="18"/>
                <w:szCs w:val="18"/>
              </w:rPr>
              <w:t>N/A</w:t>
            </w:r>
          </w:p>
        </w:tc>
        <w:tc>
          <w:tcPr>
            <w:tcW w:w="1290" w:type="dxa"/>
            <w:tcBorders>
              <w:top w:val="nil"/>
              <w:left w:val="nil"/>
              <w:bottom w:val="single" w:sz="8" w:space="0" w:color="auto"/>
              <w:right w:val="single" w:sz="8" w:space="0" w:color="auto"/>
            </w:tcBorders>
            <w:shd w:val="clear" w:color="auto" w:fill="auto"/>
            <w:hideMark/>
          </w:tcPr>
          <w:p w14:paraId="34333790" w14:textId="77777777" w:rsidR="00B04361" w:rsidRPr="00D8141D" w:rsidRDefault="00B04361" w:rsidP="00B04361">
            <w:pPr>
              <w:spacing w:after="140" w:line="290" w:lineRule="auto"/>
              <w:jc w:val="center"/>
              <w:rPr>
                <w:rFonts w:cs="Calibri"/>
                <w:color w:val="000000"/>
                <w:sz w:val="18"/>
                <w:szCs w:val="18"/>
              </w:rPr>
            </w:pPr>
            <w:r w:rsidRPr="00D8141D">
              <w:rPr>
                <w:rFonts w:cs="Calibri"/>
                <w:sz w:val="18"/>
                <w:szCs w:val="18"/>
              </w:rPr>
              <w:t>156.132.202</w:t>
            </w:r>
          </w:p>
        </w:tc>
        <w:tc>
          <w:tcPr>
            <w:tcW w:w="1142" w:type="dxa"/>
            <w:tcBorders>
              <w:top w:val="nil"/>
              <w:left w:val="nil"/>
              <w:bottom w:val="single" w:sz="8" w:space="0" w:color="auto"/>
              <w:right w:val="single" w:sz="8" w:space="0" w:color="auto"/>
            </w:tcBorders>
            <w:shd w:val="clear" w:color="auto" w:fill="auto"/>
            <w:hideMark/>
          </w:tcPr>
          <w:p w14:paraId="2BE76076" w14:textId="77777777" w:rsidR="00B04361" w:rsidRPr="00D8141D" w:rsidRDefault="00B04361" w:rsidP="00B04361">
            <w:pPr>
              <w:spacing w:after="140" w:line="290" w:lineRule="auto"/>
              <w:jc w:val="center"/>
              <w:rPr>
                <w:rFonts w:cs="Calibri"/>
                <w:color w:val="000000"/>
                <w:sz w:val="18"/>
                <w:szCs w:val="18"/>
              </w:rPr>
            </w:pPr>
            <w:r w:rsidRPr="00D8141D">
              <w:rPr>
                <w:rFonts w:cs="Calibri"/>
                <w:sz w:val="18"/>
                <w:szCs w:val="18"/>
              </w:rPr>
              <w:t>44,100%</w:t>
            </w:r>
          </w:p>
        </w:tc>
      </w:tr>
      <w:tr w:rsidR="00B04361" w:rsidRPr="00D8141D" w14:paraId="5FCD5524" w14:textId="77777777" w:rsidTr="00197993">
        <w:trPr>
          <w:trHeight w:val="253"/>
        </w:trPr>
        <w:tc>
          <w:tcPr>
            <w:tcW w:w="2263" w:type="dxa"/>
            <w:tcBorders>
              <w:top w:val="nil"/>
              <w:left w:val="single" w:sz="8" w:space="0" w:color="auto"/>
              <w:bottom w:val="single" w:sz="8" w:space="0" w:color="auto"/>
              <w:right w:val="single" w:sz="8" w:space="0" w:color="auto"/>
            </w:tcBorders>
            <w:shd w:val="clear" w:color="auto" w:fill="auto"/>
            <w:vAlign w:val="center"/>
            <w:hideMark/>
          </w:tcPr>
          <w:p w14:paraId="6658EC2D" w14:textId="77777777" w:rsidR="00B04361" w:rsidRPr="00D8141D" w:rsidRDefault="00B04361" w:rsidP="00B04361">
            <w:pPr>
              <w:spacing w:after="140" w:line="290" w:lineRule="auto"/>
              <w:rPr>
                <w:rFonts w:cs="Calibri"/>
                <w:b/>
                <w:bCs/>
                <w:color w:val="000000"/>
                <w:sz w:val="18"/>
                <w:szCs w:val="18"/>
              </w:rPr>
            </w:pPr>
            <w:r w:rsidRPr="00D8141D">
              <w:rPr>
                <w:rFonts w:cs="Calibri"/>
                <w:b/>
                <w:bCs/>
                <w:color w:val="000000"/>
                <w:sz w:val="18"/>
                <w:szCs w:val="18"/>
              </w:rPr>
              <w:t>Total</w:t>
            </w:r>
          </w:p>
        </w:tc>
        <w:tc>
          <w:tcPr>
            <w:tcW w:w="1152" w:type="dxa"/>
            <w:tcBorders>
              <w:top w:val="nil"/>
              <w:left w:val="nil"/>
              <w:bottom w:val="single" w:sz="8" w:space="0" w:color="auto"/>
              <w:right w:val="single" w:sz="8" w:space="0" w:color="auto"/>
            </w:tcBorders>
            <w:shd w:val="clear" w:color="auto" w:fill="auto"/>
            <w:hideMark/>
          </w:tcPr>
          <w:p w14:paraId="7C6969D6" w14:textId="77777777" w:rsidR="00B04361" w:rsidRPr="00D8141D" w:rsidRDefault="00B04361" w:rsidP="00B04361">
            <w:pPr>
              <w:spacing w:after="140" w:line="290" w:lineRule="auto"/>
              <w:jc w:val="center"/>
              <w:rPr>
                <w:rFonts w:cs="Calibri"/>
                <w:b/>
                <w:bCs/>
                <w:color w:val="000000"/>
                <w:sz w:val="18"/>
                <w:szCs w:val="18"/>
              </w:rPr>
            </w:pPr>
            <w:r w:rsidRPr="00D8141D">
              <w:rPr>
                <w:rFonts w:cs="Calibri"/>
                <w:sz w:val="18"/>
                <w:szCs w:val="18"/>
              </w:rPr>
              <w:t>346.375.066</w:t>
            </w:r>
          </w:p>
        </w:tc>
        <w:tc>
          <w:tcPr>
            <w:tcW w:w="890" w:type="dxa"/>
            <w:tcBorders>
              <w:top w:val="nil"/>
              <w:left w:val="nil"/>
              <w:bottom w:val="single" w:sz="8" w:space="0" w:color="auto"/>
              <w:right w:val="single" w:sz="8" w:space="0" w:color="auto"/>
            </w:tcBorders>
            <w:shd w:val="clear" w:color="auto" w:fill="auto"/>
            <w:hideMark/>
          </w:tcPr>
          <w:p w14:paraId="730E41BB" w14:textId="77777777" w:rsidR="00B04361" w:rsidRPr="00D8141D" w:rsidRDefault="00B04361" w:rsidP="00B04361">
            <w:pPr>
              <w:spacing w:after="140" w:line="290" w:lineRule="auto"/>
              <w:jc w:val="center"/>
              <w:rPr>
                <w:rFonts w:cs="Calibri"/>
                <w:b/>
                <w:bCs/>
                <w:color w:val="000000"/>
                <w:sz w:val="18"/>
                <w:szCs w:val="18"/>
              </w:rPr>
            </w:pPr>
            <w:r w:rsidRPr="00D8141D">
              <w:rPr>
                <w:rFonts w:cs="Calibri"/>
                <w:sz w:val="18"/>
                <w:szCs w:val="18"/>
              </w:rPr>
              <w:t>97,84%%</w:t>
            </w:r>
          </w:p>
        </w:tc>
        <w:tc>
          <w:tcPr>
            <w:tcW w:w="1152" w:type="dxa"/>
            <w:tcBorders>
              <w:top w:val="nil"/>
              <w:left w:val="nil"/>
              <w:bottom w:val="single" w:sz="8" w:space="0" w:color="auto"/>
              <w:right w:val="single" w:sz="8" w:space="0" w:color="auto"/>
            </w:tcBorders>
            <w:shd w:val="clear" w:color="auto" w:fill="auto"/>
            <w:hideMark/>
          </w:tcPr>
          <w:p w14:paraId="04FCA10B" w14:textId="77777777" w:rsidR="00B04361" w:rsidRPr="00D8141D" w:rsidRDefault="00B04361" w:rsidP="00B04361">
            <w:pPr>
              <w:spacing w:after="140" w:line="290" w:lineRule="auto"/>
              <w:jc w:val="center"/>
              <w:rPr>
                <w:rFonts w:cs="Calibri"/>
                <w:b/>
                <w:bCs/>
                <w:color w:val="000000"/>
                <w:sz w:val="18"/>
                <w:szCs w:val="18"/>
              </w:rPr>
            </w:pPr>
            <w:r w:rsidRPr="00D8141D">
              <w:rPr>
                <w:rFonts w:cs="Calibri"/>
                <w:sz w:val="18"/>
                <w:szCs w:val="18"/>
              </w:rPr>
              <w:t>N/A</w:t>
            </w:r>
          </w:p>
        </w:tc>
        <w:tc>
          <w:tcPr>
            <w:tcW w:w="890" w:type="dxa"/>
            <w:tcBorders>
              <w:top w:val="nil"/>
              <w:left w:val="nil"/>
              <w:bottom w:val="single" w:sz="8" w:space="0" w:color="auto"/>
              <w:right w:val="single" w:sz="8" w:space="0" w:color="auto"/>
            </w:tcBorders>
            <w:shd w:val="clear" w:color="auto" w:fill="auto"/>
            <w:hideMark/>
          </w:tcPr>
          <w:p w14:paraId="6ABACB15" w14:textId="77777777" w:rsidR="00B04361" w:rsidRPr="00D8141D" w:rsidRDefault="00B04361" w:rsidP="00B04361">
            <w:pPr>
              <w:spacing w:after="140" w:line="290" w:lineRule="auto"/>
              <w:jc w:val="center"/>
              <w:rPr>
                <w:rFonts w:cs="Calibri"/>
                <w:b/>
                <w:bCs/>
                <w:color w:val="000000"/>
                <w:sz w:val="18"/>
                <w:szCs w:val="18"/>
              </w:rPr>
            </w:pPr>
            <w:r w:rsidRPr="00D8141D">
              <w:rPr>
                <w:rFonts w:cs="Calibri"/>
                <w:sz w:val="18"/>
                <w:szCs w:val="18"/>
              </w:rPr>
              <w:t>N/A</w:t>
            </w:r>
          </w:p>
        </w:tc>
        <w:tc>
          <w:tcPr>
            <w:tcW w:w="1290" w:type="dxa"/>
            <w:tcBorders>
              <w:top w:val="nil"/>
              <w:left w:val="nil"/>
              <w:bottom w:val="single" w:sz="8" w:space="0" w:color="auto"/>
              <w:right w:val="single" w:sz="8" w:space="0" w:color="auto"/>
            </w:tcBorders>
            <w:shd w:val="clear" w:color="auto" w:fill="auto"/>
            <w:hideMark/>
          </w:tcPr>
          <w:p w14:paraId="1B0DC54A" w14:textId="77777777" w:rsidR="00B04361" w:rsidRPr="00D8141D" w:rsidRDefault="00B04361" w:rsidP="00B04361">
            <w:pPr>
              <w:spacing w:after="140" w:line="290" w:lineRule="auto"/>
              <w:jc w:val="center"/>
              <w:rPr>
                <w:rFonts w:cs="Calibri"/>
                <w:b/>
                <w:bCs/>
                <w:color w:val="000000"/>
                <w:sz w:val="18"/>
                <w:szCs w:val="18"/>
              </w:rPr>
            </w:pPr>
            <w:r w:rsidRPr="00D8141D">
              <w:rPr>
                <w:rFonts w:cs="Calibri"/>
                <w:sz w:val="18"/>
                <w:szCs w:val="18"/>
              </w:rPr>
              <w:t>346.375.066</w:t>
            </w:r>
          </w:p>
        </w:tc>
        <w:tc>
          <w:tcPr>
            <w:tcW w:w="1142" w:type="dxa"/>
            <w:tcBorders>
              <w:top w:val="nil"/>
              <w:left w:val="nil"/>
              <w:bottom w:val="single" w:sz="8" w:space="0" w:color="auto"/>
              <w:right w:val="single" w:sz="8" w:space="0" w:color="auto"/>
            </w:tcBorders>
            <w:shd w:val="clear" w:color="auto" w:fill="auto"/>
            <w:hideMark/>
          </w:tcPr>
          <w:p w14:paraId="7A56677E" w14:textId="77777777" w:rsidR="00B04361" w:rsidRPr="00D8141D" w:rsidRDefault="00B04361" w:rsidP="00B04361">
            <w:pPr>
              <w:spacing w:after="140" w:line="290" w:lineRule="auto"/>
              <w:jc w:val="center"/>
              <w:rPr>
                <w:rFonts w:cs="Calibri"/>
                <w:b/>
                <w:bCs/>
                <w:color w:val="000000"/>
                <w:sz w:val="18"/>
                <w:szCs w:val="18"/>
              </w:rPr>
            </w:pPr>
            <w:r w:rsidRPr="00D8141D">
              <w:rPr>
                <w:rFonts w:cs="Calibri"/>
                <w:sz w:val="18"/>
                <w:szCs w:val="18"/>
              </w:rPr>
              <w:t>97,84%%</w:t>
            </w:r>
          </w:p>
        </w:tc>
      </w:tr>
    </w:tbl>
    <w:p w14:paraId="63483665" w14:textId="77777777" w:rsidR="00684F0F" w:rsidRPr="00D8141D" w:rsidRDefault="00684F0F" w:rsidP="00684F0F">
      <w:pPr>
        <w:pStyle w:val="HOMEBRBodyText"/>
        <w:keepLines w:val="0"/>
        <w:widowControl w:val="0"/>
        <w:spacing w:after="140" w:line="290" w:lineRule="auto"/>
        <w:jc w:val="both"/>
        <w:rPr>
          <w:rFonts w:cs="Calibri"/>
          <w:b/>
          <w:bCs/>
          <w:lang w:val="pt-BR"/>
        </w:rPr>
      </w:pPr>
      <w:r w:rsidRPr="00D8141D">
        <w:rPr>
          <w:rFonts w:cs="Calibri"/>
          <w:b/>
          <w:bCs/>
          <w:lang w:val="pt-BR"/>
        </w:rPr>
        <w:t>Para mais informações sobre a composição do capital social da Emissora, incluindo os acionistas da Emissora titulares de 5% (cinco por cento) ou mais do capital social da Emissora indicados na tabela acima, bem como sobre o controle da Emissora, veja, respectivamente, os itens “15. Controle e Grupo Econômico” e “17. Capital Social” do Formulário de Referência.</w:t>
      </w:r>
    </w:p>
    <w:p w14:paraId="645BA53E" w14:textId="77777777" w:rsidR="00E8286C" w:rsidRPr="00D8141D" w:rsidRDefault="00E8286C" w:rsidP="009E2BE2">
      <w:pPr>
        <w:pStyle w:val="Ttulo2"/>
        <w:keepNext w:val="0"/>
        <w:keepLines w:val="0"/>
        <w:spacing w:after="140" w:line="290" w:lineRule="auto"/>
        <w:jc w:val="both"/>
        <w:rPr>
          <w:rFonts w:eastAsia="Times New Roman" w:cs="Calibri"/>
          <w:b/>
          <w:caps/>
          <w:szCs w:val="24"/>
          <w:lang w:val="pt-BR"/>
        </w:rPr>
      </w:pPr>
      <w:bookmarkStart w:id="72" w:name="_Toc87002465"/>
      <w:bookmarkStart w:id="73" w:name="_Toc90045081"/>
      <w:bookmarkStart w:id="74" w:name="_Toc95928395"/>
      <w:r w:rsidRPr="00D8141D">
        <w:rPr>
          <w:rFonts w:eastAsia="Times New Roman" w:cs="Calibri"/>
          <w:b/>
          <w:caps/>
          <w:szCs w:val="24"/>
          <w:lang w:val="pt-BR"/>
        </w:rPr>
        <w:t>AUTORIZAÇÃO</w:t>
      </w:r>
      <w:bookmarkEnd w:id="72"/>
      <w:bookmarkEnd w:id="73"/>
      <w:bookmarkEnd w:id="74"/>
    </w:p>
    <w:p w14:paraId="2ADF3296" w14:textId="77777777" w:rsidR="00E8286C" w:rsidRPr="00D8141D" w:rsidRDefault="00E70DCC" w:rsidP="009E2BE2">
      <w:pPr>
        <w:pStyle w:val="HOMEBRBodyText"/>
        <w:keepLines w:val="0"/>
        <w:widowControl w:val="0"/>
        <w:spacing w:after="140" w:line="290" w:lineRule="auto"/>
        <w:jc w:val="both"/>
        <w:rPr>
          <w:rFonts w:cs="Calibri"/>
          <w:lang w:val="pt-BR"/>
        </w:rPr>
      </w:pPr>
      <w:bookmarkStart w:id="75" w:name="_Toc428306463"/>
      <w:r w:rsidRPr="0020727A">
        <w:rPr>
          <w:lang w:val="pt-BR"/>
        </w:rPr>
        <w:t xml:space="preserve">A (i) Emissão; (ii) Oferta; e (iii) a celebração da Escritura, serão realizadas com base nas deliberações da RCA da Emissora realizada em </w:t>
      </w:r>
      <w:r w:rsidR="00893EA8" w:rsidRPr="00D8141D">
        <w:rPr>
          <w:rFonts w:cs="Calibri"/>
          <w:lang w:val="pt-BR"/>
        </w:rPr>
        <w:t>13</w:t>
      </w:r>
      <w:r w:rsidRPr="0020727A">
        <w:rPr>
          <w:lang w:val="pt-BR"/>
        </w:rPr>
        <w:t xml:space="preserve"> de </w:t>
      </w:r>
      <w:r w:rsidR="00893EA8" w:rsidRPr="00D8141D">
        <w:rPr>
          <w:rFonts w:cs="Calibri"/>
          <w:lang w:val="pt-BR"/>
        </w:rPr>
        <w:t>dezembro</w:t>
      </w:r>
      <w:r w:rsidRPr="0020727A">
        <w:rPr>
          <w:lang w:val="pt-BR"/>
        </w:rPr>
        <w:t xml:space="preserve"> de 2021.</w:t>
      </w:r>
    </w:p>
    <w:p w14:paraId="4FA47005" w14:textId="0D314F91" w:rsidR="00286A01" w:rsidRPr="00D8141D" w:rsidRDefault="00E70DCC" w:rsidP="0029028C">
      <w:pPr>
        <w:pStyle w:val="HOMEBRBodyText"/>
        <w:keepLines w:val="0"/>
        <w:widowControl w:val="0"/>
        <w:spacing w:after="140" w:line="290" w:lineRule="auto"/>
        <w:jc w:val="both"/>
        <w:rPr>
          <w:rFonts w:cs="Calibri"/>
          <w:spacing w:val="6"/>
          <w:lang w:val="pt-BR"/>
        </w:rPr>
      </w:pPr>
      <w:r w:rsidRPr="0029028C">
        <w:rPr>
          <w:spacing w:val="6"/>
          <w:lang w:val="pt-BR"/>
        </w:rPr>
        <w:t>Por meio da RCA, a Diretoria da Emissora também foi autorizada a: (i) praticar todos os atos necessários à efetivação das deliberações consubstanciadas na RCA, incluindo a celebração de todos os documentos indispensáveis à concretização da Emissão</w:t>
      </w:r>
      <w:r w:rsidRPr="00D8141D">
        <w:rPr>
          <w:rFonts w:cs="Calibri"/>
          <w:spacing w:val="6"/>
          <w:lang w:val="pt-BR"/>
        </w:rPr>
        <w:t xml:space="preserve">, dentre os quais o aditamento a Escritura de Emissão que </w:t>
      </w:r>
      <w:r w:rsidR="00E76ACF" w:rsidRPr="00D8141D">
        <w:rPr>
          <w:rFonts w:cs="Calibri"/>
          <w:spacing w:val="6"/>
          <w:lang w:val="pt-BR"/>
        </w:rPr>
        <w:t>ratificou</w:t>
      </w:r>
      <w:r w:rsidRPr="00D8141D">
        <w:rPr>
          <w:rFonts w:cs="Calibri"/>
          <w:spacing w:val="6"/>
          <w:lang w:val="pt-BR"/>
        </w:rPr>
        <w:t xml:space="preserve"> o resultado do Procedimento de </w:t>
      </w:r>
      <w:r w:rsidRPr="00D8141D">
        <w:rPr>
          <w:rFonts w:cs="Calibri"/>
          <w:i/>
          <w:iCs/>
          <w:spacing w:val="6"/>
          <w:lang w:val="pt-BR"/>
        </w:rPr>
        <w:t>Bookbuilding</w:t>
      </w:r>
      <w:r w:rsidR="00032A25">
        <w:rPr>
          <w:rFonts w:cs="Calibri"/>
          <w:i/>
          <w:iCs/>
          <w:spacing w:val="6"/>
          <w:lang w:val="pt-BR"/>
        </w:rPr>
        <w:t xml:space="preserve">, </w:t>
      </w:r>
      <w:r w:rsidRPr="00D8141D">
        <w:rPr>
          <w:rFonts w:cs="Calibri"/>
          <w:spacing w:val="6"/>
          <w:lang w:val="pt-BR"/>
        </w:rPr>
        <w:t>e</w:t>
      </w:r>
      <w:r w:rsidR="00E76ACF" w:rsidRPr="00D8141D">
        <w:rPr>
          <w:rFonts w:cs="Calibri"/>
          <w:spacing w:val="6"/>
          <w:lang w:val="pt-BR"/>
        </w:rPr>
        <w:t xml:space="preserve"> </w:t>
      </w:r>
      <w:r w:rsidRPr="00D8141D">
        <w:rPr>
          <w:rFonts w:cs="Calibri"/>
          <w:spacing w:val="6"/>
          <w:lang w:val="pt-BR"/>
        </w:rPr>
        <w:t>contempl</w:t>
      </w:r>
      <w:r w:rsidR="00E76ACF" w:rsidRPr="00D8141D">
        <w:rPr>
          <w:rFonts w:cs="Calibri"/>
          <w:spacing w:val="6"/>
          <w:lang w:val="pt-BR"/>
        </w:rPr>
        <w:t>ou</w:t>
      </w:r>
      <w:r w:rsidRPr="00D8141D">
        <w:rPr>
          <w:rFonts w:cs="Calibri"/>
          <w:spacing w:val="6"/>
          <w:lang w:val="pt-BR"/>
        </w:rPr>
        <w:t xml:space="preserve"> o aumento do valor da Oferta mediante a colocação das Debêntures Adicionais; e</w:t>
      </w:r>
      <w:r w:rsidRPr="0029028C">
        <w:rPr>
          <w:spacing w:val="6"/>
          <w:lang w:val="pt-BR"/>
        </w:rPr>
        <w:t xml:space="preserve"> (ii) formalizar e efetivar a contratação do Coordenador Líder, do Agente Fiduciário e dos demais prestadores de serviços necessários à implementação da Emissão e da Oferta, tais como Escriturador, </w:t>
      </w:r>
      <w:r w:rsidR="009D09A0" w:rsidRPr="00D8141D">
        <w:rPr>
          <w:rFonts w:cs="Calibri"/>
          <w:spacing w:val="6"/>
        </w:rPr>
        <w:t>Agente de Liquidação</w:t>
      </w:r>
      <w:r w:rsidRPr="0029028C">
        <w:rPr>
          <w:spacing w:val="6"/>
          <w:lang w:val="pt-BR"/>
        </w:rPr>
        <w:t xml:space="preserve">, a B3, dentre outros, </w:t>
      </w:r>
      <w:r w:rsidRPr="0029028C">
        <w:rPr>
          <w:spacing w:val="6"/>
          <w:lang w:val="pt-BR"/>
        </w:rPr>
        <w:lastRenderedPageBreak/>
        <w:t>podendo, para tanto, negociar e assinar os respectivos instrumentos de contratação e eventuais alterações em aditamentos</w:t>
      </w:r>
      <w:r w:rsidR="00684F0F" w:rsidRPr="00D8141D">
        <w:rPr>
          <w:rFonts w:cs="Calibri"/>
          <w:spacing w:val="6"/>
          <w:lang w:val="pt-BR"/>
        </w:rPr>
        <w:t>.</w:t>
      </w:r>
    </w:p>
    <w:p w14:paraId="726A4D40" w14:textId="77777777" w:rsidR="00E8286C" w:rsidRPr="00566CD3" w:rsidRDefault="00A14D40" w:rsidP="009E2BE2">
      <w:pPr>
        <w:pStyle w:val="Ttulo3"/>
        <w:spacing w:after="140" w:line="290" w:lineRule="auto"/>
        <w:jc w:val="both"/>
      </w:pPr>
      <w:bookmarkStart w:id="76" w:name="_Toc87002466"/>
      <w:bookmarkStart w:id="77" w:name="_Toc90045082"/>
      <w:bookmarkStart w:id="78" w:name="_Toc95928396"/>
      <w:r w:rsidRPr="00566CD3">
        <w:t>R</w:t>
      </w:r>
      <w:bookmarkEnd w:id="75"/>
      <w:r w:rsidRPr="00566CD3">
        <w:t>EQUISITOS</w:t>
      </w:r>
      <w:bookmarkEnd w:id="76"/>
      <w:bookmarkEnd w:id="77"/>
      <w:bookmarkEnd w:id="78"/>
    </w:p>
    <w:p w14:paraId="73227D7E" w14:textId="77777777" w:rsidR="0084164F" w:rsidRPr="00D8141D" w:rsidRDefault="00E8286C" w:rsidP="0084164F">
      <w:pPr>
        <w:pStyle w:val="HOMEBRBodyText"/>
        <w:keepLines w:val="0"/>
        <w:widowControl w:val="0"/>
        <w:spacing w:after="140" w:line="290" w:lineRule="auto"/>
        <w:jc w:val="both"/>
        <w:rPr>
          <w:rFonts w:cs="Calibri"/>
          <w:lang w:val="pt-BR"/>
        </w:rPr>
      </w:pPr>
      <w:r w:rsidRPr="00D8141D">
        <w:rPr>
          <w:rFonts w:cs="Calibri"/>
          <w:lang w:val="pt-BR"/>
        </w:rPr>
        <w:t>A Emissão e a Oferta serão realizadas com observância dos seguintes requisitos:</w:t>
      </w:r>
    </w:p>
    <w:p w14:paraId="0D3544AF" w14:textId="77777777" w:rsidR="00E70DCC" w:rsidRPr="00566CD3" w:rsidRDefault="00E70DCC" w:rsidP="00E70DCC">
      <w:pPr>
        <w:pStyle w:val="Ttulo3"/>
        <w:spacing w:after="140" w:line="290" w:lineRule="auto"/>
        <w:jc w:val="both"/>
      </w:pPr>
      <w:bookmarkStart w:id="79" w:name="_Toc87002469"/>
      <w:bookmarkStart w:id="80" w:name="_Toc90045083"/>
      <w:bookmarkStart w:id="81" w:name="_Toc95928397"/>
      <w:bookmarkStart w:id="82" w:name="_Toc87002467"/>
      <w:r w:rsidRPr="00566CD3">
        <w:rPr>
          <w:i/>
        </w:rPr>
        <w:t>Arquivamento e Publicação dos atos societários.</w:t>
      </w:r>
      <w:bookmarkEnd w:id="79"/>
      <w:bookmarkEnd w:id="80"/>
      <w:bookmarkEnd w:id="81"/>
    </w:p>
    <w:p w14:paraId="4F98B56E" w14:textId="77777777" w:rsidR="00E70DCC" w:rsidRPr="00D8141D" w:rsidRDefault="00E70DCC" w:rsidP="00E70DCC">
      <w:pPr>
        <w:pStyle w:val="HOMEBRBodyText"/>
        <w:keepLines w:val="0"/>
        <w:spacing w:after="140" w:line="290" w:lineRule="auto"/>
        <w:jc w:val="both"/>
        <w:rPr>
          <w:rFonts w:cs="Calibri"/>
          <w:lang w:val="pt-BR"/>
        </w:rPr>
      </w:pPr>
      <w:r w:rsidRPr="00D8141D">
        <w:rPr>
          <w:rFonts w:cs="Calibri"/>
          <w:lang w:val="pt-BR"/>
        </w:rPr>
        <w:t>Nos termos do artigo 62, inciso I, e 289 da Lei das Sociedades por Ações</w:t>
      </w:r>
      <w:r w:rsidR="0093025D" w:rsidRPr="00D8141D">
        <w:rPr>
          <w:rFonts w:cs="Calibri"/>
          <w:lang w:val="pt-BR"/>
        </w:rPr>
        <w:t>,</w:t>
      </w:r>
      <w:r w:rsidRPr="00D8141D">
        <w:rPr>
          <w:rFonts w:cs="Calibri"/>
          <w:lang w:val="pt-BR"/>
        </w:rPr>
        <w:t xml:space="preserve"> </w:t>
      </w:r>
      <w:r w:rsidRPr="0020727A">
        <w:rPr>
          <w:lang w:val="pt-BR"/>
        </w:rPr>
        <w:t xml:space="preserve">a ata da RCA da Emissora </w:t>
      </w:r>
      <w:r w:rsidR="001F6E15" w:rsidRPr="00D8141D">
        <w:rPr>
          <w:rFonts w:cs="Calibri"/>
          <w:lang w:val="pt-BR"/>
        </w:rPr>
        <w:t xml:space="preserve">foi </w:t>
      </w:r>
      <w:r w:rsidR="004F0CDF" w:rsidRPr="00D8141D">
        <w:rPr>
          <w:rFonts w:cs="Calibri"/>
          <w:lang w:val="pt-BR"/>
        </w:rPr>
        <w:t>registrada</w:t>
      </w:r>
      <w:r w:rsidR="001F6E15" w:rsidRPr="00D8141D">
        <w:rPr>
          <w:rFonts w:cs="Calibri"/>
          <w:lang w:val="pt-BR"/>
        </w:rPr>
        <w:t xml:space="preserve"> na JUCESP em </w:t>
      </w:r>
      <w:r w:rsidR="004F0CDF" w:rsidRPr="00D8141D">
        <w:rPr>
          <w:rFonts w:cs="Calibri"/>
          <w:lang w:val="pt-BR"/>
        </w:rPr>
        <w:t>20</w:t>
      </w:r>
      <w:r w:rsidR="001F6E15" w:rsidRPr="00D8141D">
        <w:rPr>
          <w:rFonts w:cs="Calibri"/>
          <w:lang w:val="pt-BR"/>
        </w:rPr>
        <w:t xml:space="preserve"> de dezembro de 2021, sob o nº </w:t>
      </w:r>
      <w:r w:rsidR="004F0CDF" w:rsidRPr="00D8141D">
        <w:rPr>
          <w:rFonts w:cs="Calibri"/>
          <w:lang w:val="pt-BR"/>
        </w:rPr>
        <w:t>596.724</w:t>
      </w:r>
      <w:r w:rsidR="001F6E15" w:rsidRPr="00D8141D">
        <w:rPr>
          <w:rFonts w:cs="Calibri"/>
          <w:lang w:val="pt-BR"/>
        </w:rPr>
        <w:t>/21-</w:t>
      </w:r>
      <w:r w:rsidR="004F0CDF" w:rsidRPr="00D8141D">
        <w:rPr>
          <w:rFonts w:cs="Calibri"/>
          <w:lang w:val="pt-BR"/>
        </w:rPr>
        <w:t>4</w:t>
      </w:r>
      <w:r w:rsidR="001F6E15" w:rsidRPr="00D8141D">
        <w:rPr>
          <w:rFonts w:cs="Calibri"/>
          <w:lang w:val="pt-BR"/>
        </w:rPr>
        <w:t xml:space="preserve"> </w:t>
      </w:r>
      <w:r w:rsidRPr="0020727A">
        <w:rPr>
          <w:lang w:val="pt-BR"/>
        </w:rPr>
        <w:t xml:space="preserve">e </w:t>
      </w:r>
      <w:r w:rsidR="002B703F">
        <w:rPr>
          <w:lang w:val="pt-BR"/>
        </w:rPr>
        <w:t>foi</w:t>
      </w:r>
      <w:r w:rsidRPr="0020727A">
        <w:rPr>
          <w:lang w:val="pt-BR"/>
        </w:rPr>
        <w:t xml:space="preserve"> publicada no DOESP e no jornal “Valor Econômico</w:t>
      </w:r>
      <w:r w:rsidR="00A009B4" w:rsidRPr="0020727A">
        <w:rPr>
          <w:lang w:val="pt-BR"/>
        </w:rPr>
        <w:t>”</w:t>
      </w:r>
      <w:r w:rsidR="002B703F">
        <w:rPr>
          <w:lang w:val="pt-BR"/>
        </w:rPr>
        <w:t>, em 14 de dezembro de 2021</w:t>
      </w:r>
      <w:r w:rsidRPr="00D8141D">
        <w:rPr>
          <w:rFonts w:cs="Calibri"/>
          <w:lang w:val="pt-BR"/>
        </w:rPr>
        <w:t>.</w:t>
      </w:r>
    </w:p>
    <w:p w14:paraId="30751E38" w14:textId="77777777" w:rsidR="00E70DCC" w:rsidRPr="00D8141D" w:rsidRDefault="004F0CDF" w:rsidP="00E70DCC">
      <w:pPr>
        <w:pStyle w:val="HOMEBRBodyText"/>
        <w:keepLines w:val="0"/>
        <w:spacing w:after="140" w:line="290" w:lineRule="auto"/>
        <w:jc w:val="both"/>
        <w:rPr>
          <w:rFonts w:cs="Calibri"/>
          <w:lang w:val="pt-BR"/>
        </w:rPr>
      </w:pPr>
      <w:bookmarkStart w:id="83" w:name="_Hlk89270466"/>
      <w:r>
        <w:rPr>
          <w:lang w:val="pt-BR"/>
        </w:rPr>
        <w:t>A</w:t>
      </w:r>
      <w:r w:rsidR="00E70DCC" w:rsidRPr="0020727A">
        <w:rPr>
          <w:lang w:val="pt-BR"/>
        </w:rPr>
        <w:t>pós o</w:t>
      </w:r>
      <w:r>
        <w:rPr>
          <w:lang w:val="pt-BR"/>
        </w:rPr>
        <w:t>btido</w:t>
      </w:r>
      <w:r w:rsidR="00E70DCC" w:rsidRPr="0020727A">
        <w:rPr>
          <w:lang w:val="pt-BR"/>
        </w:rPr>
        <w:t xml:space="preserve"> o registro da ata da RCA, </w:t>
      </w:r>
      <w:r>
        <w:rPr>
          <w:lang w:val="pt-BR"/>
        </w:rPr>
        <w:t xml:space="preserve">a Emissora </w:t>
      </w:r>
      <w:r w:rsidR="00E70DCC" w:rsidRPr="0020727A">
        <w:rPr>
          <w:lang w:val="pt-BR"/>
        </w:rPr>
        <w:t>env</w:t>
      </w:r>
      <w:r>
        <w:rPr>
          <w:lang w:val="pt-BR"/>
        </w:rPr>
        <w:t>iou</w:t>
      </w:r>
      <w:r w:rsidR="00E70DCC" w:rsidRPr="0020727A">
        <w:rPr>
          <w:lang w:val="pt-BR"/>
        </w:rPr>
        <w:t xml:space="preserve"> ao Agente Fiduciário uma cópia eletrônica (PDF), contendo a chancela de inscrição na JUCESP, no prazo de 5 (cinco) Dias Úteis, sendo certo que o respectivo protocolo na JUCESP </w:t>
      </w:r>
      <w:r w:rsidR="003C27F7">
        <w:rPr>
          <w:lang w:val="pt-BR"/>
        </w:rPr>
        <w:t>ocorreu</w:t>
      </w:r>
      <w:r w:rsidR="00E70DCC" w:rsidRPr="0020727A">
        <w:rPr>
          <w:lang w:val="pt-BR"/>
        </w:rPr>
        <w:t xml:space="preserve"> em até 5 (cinco) Dias Úteis da data de sua assinatura</w:t>
      </w:r>
      <w:bookmarkEnd w:id="83"/>
      <w:r w:rsidR="00E70DCC" w:rsidRPr="0020727A">
        <w:rPr>
          <w:lang w:val="pt-BR"/>
        </w:rPr>
        <w:t>.</w:t>
      </w:r>
    </w:p>
    <w:p w14:paraId="18151B58" w14:textId="77777777" w:rsidR="00E70DCC" w:rsidRPr="00566CD3" w:rsidRDefault="00E70DCC" w:rsidP="00E70DCC">
      <w:pPr>
        <w:pStyle w:val="Ttulo3"/>
        <w:spacing w:after="140" w:line="290" w:lineRule="auto"/>
        <w:jc w:val="both"/>
        <w:rPr>
          <w:i/>
        </w:rPr>
      </w:pPr>
      <w:bookmarkStart w:id="84" w:name="_Ref427712429"/>
      <w:bookmarkStart w:id="85" w:name="_Toc87002470"/>
      <w:bookmarkStart w:id="86" w:name="_Toc90045084"/>
      <w:bookmarkStart w:id="87" w:name="_Toc95928398"/>
      <w:r w:rsidRPr="00566CD3">
        <w:rPr>
          <w:i/>
        </w:rPr>
        <w:t>Inscrição e registo da Escritura de Emissão</w:t>
      </w:r>
      <w:bookmarkEnd w:id="84"/>
      <w:bookmarkEnd w:id="85"/>
      <w:bookmarkEnd w:id="86"/>
      <w:bookmarkEnd w:id="87"/>
    </w:p>
    <w:p w14:paraId="7CC6C001" w14:textId="77777777" w:rsidR="00E70DCC" w:rsidRPr="00566CD3" w:rsidRDefault="00E70DCC" w:rsidP="00E70DCC">
      <w:pPr>
        <w:pStyle w:val="Body"/>
        <w:jc w:val="both"/>
      </w:pPr>
      <w:bookmarkStart w:id="88" w:name="_Ref427660038"/>
      <w:r w:rsidRPr="00566CD3">
        <w:t xml:space="preserve">Nos termos do artigo 62, inciso II e parágrafo 3º, da Lei das Sociedades por Ações, a Escritura de Emissão </w:t>
      </w:r>
      <w:r w:rsidR="003C27F7" w:rsidRPr="00566CD3">
        <w:t xml:space="preserve">foi registrada na JUCESP em 20 de dezembro de 2021, sob o nº ED004311-4/000, </w:t>
      </w:r>
      <w:r w:rsidRPr="00566CD3">
        <w:t>e seus aditamentos serão inscritos na JUCESP.</w:t>
      </w:r>
    </w:p>
    <w:bookmarkEnd w:id="88"/>
    <w:p w14:paraId="6FC0D9AD" w14:textId="77777777" w:rsidR="00E70DCC" w:rsidRPr="0020727A" w:rsidRDefault="00547DB6" w:rsidP="00E70DCC">
      <w:pPr>
        <w:pStyle w:val="HOMEBRBodyText"/>
        <w:keepLines w:val="0"/>
        <w:widowControl w:val="0"/>
        <w:spacing w:after="140" w:line="290" w:lineRule="auto"/>
        <w:jc w:val="both"/>
        <w:rPr>
          <w:lang w:val="pt-BR"/>
        </w:rPr>
      </w:pPr>
      <w:r w:rsidRPr="0020727A">
        <w:rPr>
          <w:lang w:val="pt-BR"/>
        </w:rPr>
        <w:t xml:space="preserve">A Emissora </w:t>
      </w:r>
      <w:r w:rsidR="003C27F7">
        <w:rPr>
          <w:lang w:val="pt-BR"/>
        </w:rPr>
        <w:t xml:space="preserve">enviou e </w:t>
      </w:r>
      <w:r w:rsidRPr="0020727A">
        <w:rPr>
          <w:lang w:val="pt-BR"/>
        </w:rPr>
        <w:t>se compromete a enviar</w:t>
      </w:r>
      <w:r w:rsidR="003C27F7">
        <w:rPr>
          <w:lang w:val="pt-BR"/>
        </w:rPr>
        <w:t>, conforme aplicável,</w:t>
      </w:r>
      <w:r w:rsidRPr="0020727A">
        <w:rPr>
          <w:lang w:val="pt-BR"/>
        </w:rPr>
        <w:t xml:space="preserve"> ao Agente Fiduciário 1 (uma) via eletrônica (PDF), contendo a chancela de inscrição na JUCESP, ou 1 (uma) via física, comprovando o arquivamento na JUCESP, conforme aplicável, da Escritura de Emissão e eventuais aditamentos devidamente registrados na JUCESP, no prazo de até 5 (cinco) Dias Úteis após a obtenção dos referidos registros, sendo certo que o respectivo protocolo na JUCESP </w:t>
      </w:r>
      <w:r w:rsidR="003C27F7">
        <w:rPr>
          <w:lang w:val="pt-BR"/>
        </w:rPr>
        <w:t xml:space="preserve">ocorreu e </w:t>
      </w:r>
      <w:r w:rsidRPr="0020727A">
        <w:rPr>
          <w:lang w:val="pt-BR"/>
        </w:rPr>
        <w:t>deverá ocorrer</w:t>
      </w:r>
      <w:r w:rsidR="003C27F7">
        <w:rPr>
          <w:lang w:val="pt-BR"/>
        </w:rPr>
        <w:t>, conforme aplicável,</w:t>
      </w:r>
      <w:r w:rsidRPr="0020727A">
        <w:rPr>
          <w:lang w:val="pt-BR"/>
        </w:rPr>
        <w:t xml:space="preserve"> em até 5 (cinco) Dias Úteis da data de assinatura da Escritura de Emissão e eventuais aditamentos</w:t>
      </w:r>
      <w:r w:rsidR="00E70DCC" w:rsidRPr="0020727A">
        <w:rPr>
          <w:lang w:val="pt-BR"/>
        </w:rPr>
        <w:t>.</w:t>
      </w:r>
    </w:p>
    <w:p w14:paraId="546BB0AA" w14:textId="77777777" w:rsidR="00E70DCC" w:rsidRPr="00D8141D" w:rsidRDefault="00547DB6" w:rsidP="00E70DCC">
      <w:pPr>
        <w:pStyle w:val="HOMEBRBodyText"/>
        <w:keepLines w:val="0"/>
        <w:widowControl w:val="0"/>
        <w:spacing w:after="140" w:line="290" w:lineRule="auto"/>
        <w:jc w:val="both"/>
        <w:rPr>
          <w:rFonts w:cs="Calibri"/>
          <w:lang w:val="pt-BR"/>
        </w:rPr>
      </w:pPr>
      <w:r w:rsidRPr="0020727A">
        <w:rPr>
          <w:lang w:val="pt-BR"/>
        </w:rPr>
        <w:t>Qualquer aditamento à Escritura de Emissão deverá conter, em seu anexo, a versão consolidada dos termos e condições da Escritura, contemplando as alterações realizadas.</w:t>
      </w:r>
    </w:p>
    <w:p w14:paraId="42655C79" w14:textId="77777777" w:rsidR="00547DB6" w:rsidRPr="00566CD3" w:rsidRDefault="00547DB6" w:rsidP="0037100C">
      <w:pPr>
        <w:pStyle w:val="Ttulo3"/>
        <w:spacing w:after="140" w:line="293" w:lineRule="auto"/>
        <w:jc w:val="both"/>
        <w:rPr>
          <w:i/>
        </w:rPr>
      </w:pPr>
      <w:bookmarkStart w:id="89" w:name="_Toc90045085"/>
      <w:bookmarkStart w:id="90" w:name="_Toc95928399"/>
      <w:r w:rsidRPr="00566CD3">
        <w:rPr>
          <w:i/>
        </w:rPr>
        <w:t>Depósito para Distribuição.</w:t>
      </w:r>
      <w:bookmarkEnd w:id="89"/>
      <w:bookmarkEnd w:id="90"/>
    </w:p>
    <w:p w14:paraId="45996B51" w14:textId="77777777" w:rsidR="00547DB6" w:rsidRPr="00F14CD9" w:rsidRDefault="00547DB6" w:rsidP="00F14CD9">
      <w:pPr>
        <w:spacing w:after="120" w:line="293" w:lineRule="auto"/>
        <w:jc w:val="both"/>
        <w:rPr>
          <w:rFonts w:eastAsia="MS Mincho" w:cs="Calibri"/>
        </w:rPr>
      </w:pPr>
      <w:r w:rsidRPr="00566CD3">
        <w:t xml:space="preserve">As Debêntures serão depositadas para distribuição no mercado primário por meio do MDA, administrado e operacionalizado pela B3, sendo a distribuição das Debêntures </w:t>
      </w:r>
      <w:r w:rsidRPr="00F14CD9">
        <w:rPr>
          <w:rFonts w:eastAsia="MS Mincho" w:cs="Calibri"/>
        </w:rPr>
        <w:t>liquidada financeiramente por meio da B3.</w:t>
      </w:r>
    </w:p>
    <w:p w14:paraId="29B6E8B4" w14:textId="77777777" w:rsidR="00547DB6" w:rsidRPr="00566CD3" w:rsidRDefault="00547DB6" w:rsidP="0037100C">
      <w:pPr>
        <w:pStyle w:val="Ttulo3"/>
        <w:spacing w:after="140" w:line="293" w:lineRule="auto"/>
        <w:jc w:val="both"/>
        <w:rPr>
          <w:i/>
        </w:rPr>
      </w:pPr>
      <w:bookmarkStart w:id="91" w:name="_Toc90045086"/>
      <w:bookmarkStart w:id="92" w:name="_Toc95928400"/>
      <w:r w:rsidRPr="00566CD3">
        <w:rPr>
          <w:i/>
        </w:rPr>
        <w:t>Depósito para negociação e custódia eletrônica.</w:t>
      </w:r>
      <w:bookmarkEnd w:id="91"/>
      <w:bookmarkEnd w:id="92"/>
    </w:p>
    <w:p w14:paraId="690A18E8" w14:textId="77777777" w:rsidR="00547DB6" w:rsidRPr="00F14CD9" w:rsidRDefault="00547DB6" w:rsidP="00F14CD9">
      <w:pPr>
        <w:spacing w:after="120" w:line="293" w:lineRule="auto"/>
        <w:jc w:val="both"/>
        <w:rPr>
          <w:rFonts w:eastAsia="MS Mincho" w:cs="Calibri"/>
        </w:rPr>
      </w:pPr>
      <w:r w:rsidRPr="00566CD3">
        <w:t xml:space="preserve">As Debêntures serão depositadas para negociação no mercado secundário por meio do CETIP21, administrado e operacionalizado pela B3, sendo as negociações das Debêntures liquidadas financeiramente por meio da B3 e as Debêntures custodiadas eletronicamente </w:t>
      </w:r>
      <w:r w:rsidRPr="00F14CD9">
        <w:rPr>
          <w:rFonts w:eastAsia="MS Mincho" w:cs="Calibri"/>
        </w:rPr>
        <w:t>na B3.</w:t>
      </w:r>
    </w:p>
    <w:p w14:paraId="436A5C1D" w14:textId="77777777" w:rsidR="00684F0F" w:rsidRPr="00566CD3" w:rsidRDefault="00684F0F" w:rsidP="0037100C">
      <w:pPr>
        <w:pStyle w:val="Ttulo3"/>
        <w:spacing w:after="140" w:line="293" w:lineRule="auto"/>
        <w:jc w:val="both"/>
        <w:rPr>
          <w:i/>
        </w:rPr>
      </w:pPr>
      <w:bookmarkStart w:id="93" w:name="_Toc90045087"/>
      <w:bookmarkStart w:id="94" w:name="_Toc95928401"/>
      <w:r w:rsidRPr="00566CD3">
        <w:rPr>
          <w:i/>
        </w:rPr>
        <w:lastRenderedPageBreak/>
        <w:t>Registro na CVM</w:t>
      </w:r>
      <w:bookmarkEnd w:id="82"/>
      <w:bookmarkEnd w:id="93"/>
      <w:bookmarkEnd w:id="94"/>
    </w:p>
    <w:p w14:paraId="625CAA96" w14:textId="6C4B4BF9" w:rsidR="00684F0F" w:rsidRPr="00566CD3" w:rsidRDefault="00547DB6" w:rsidP="00F14CD9">
      <w:pPr>
        <w:spacing w:after="120" w:line="293" w:lineRule="auto"/>
        <w:jc w:val="both"/>
      </w:pPr>
      <w:r w:rsidRPr="00566CD3">
        <w:t xml:space="preserve">A Oferta </w:t>
      </w:r>
      <w:r w:rsidR="00307A78" w:rsidRPr="00566CD3">
        <w:t>das Debêntures da Primeira Série foi</w:t>
      </w:r>
      <w:r w:rsidRPr="00566CD3">
        <w:t xml:space="preserve"> devidamente registrada pela CVM</w:t>
      </w:r>
      <w:r w:rsidR="00307A78" w:rsidRPr="00566CD3">
        <w:t xml:space="preserve"> sob o nº </w:t>
      </w:r>
      <w:r w:rsidR="00D11964" w:rsidRPr="0052360D">
        <w:t>CVM/SRE/DEB/2022/00</w:t>
      </w:r>
      <w:r w:rsidR="00D11964">
        <w:t>3</w:t>
      </w:r>
      <w:r w:rsidR="00307A78" w:rsidRPr="00566CD3">
        <w:t xml:space="preserve"> e a Oferta das Debêntures da Segunda Série foi devidamente registrada pela CVM sob o nº </w:t>
      </w:r>
      <w:r w:rsidR="00D11964" w:rsidRPr="00C13C86">
        <w:t>CVM/SRE/DEB/2022/004</w:t>
      </w:r>
      <w:r w:rsidR="00307A78" w:rsidRPr="00566CD3">
        <w:t>,</w:t>
      </w:r>
      <w:r w:rsidRPr="00566CD3">
        <w:t xml:space="preserve"> na forma da Lei do Mercado de </w:t>
      </w:r>
      <w:r w:rsidR="0093025D" w:rsidRPr="00566CD3">
        <w:t>Valores Mobiliários</w:t>
      </w:r>
      <w:r w:rsidRPr="00566CD3">
        <w:t xml:space="preserve"> e da Instrução CVM 400</w:t>
      </w:r>
      <w:r w:rsidR="00684F0F" w:rsidRPr="00566CD3">
        <w:t>.</w:t>
      </w:r>
    </w:p>
    <w:p w14:paraId="18092578" w14:textId="77777777" w:rsidR="00684F0F" w:rsidRPr="00566CD3" w:rsidRDefault="00684F0F" w:rsidP="0037100C">
      <w:pPr>
        <w:pStyle w:val="Ttulo3"/>
        <w:spacing w:after="140" w:line="293" w:lineRule="auto"/>
        <w:jc w:val="both"/>
        <w:rPr>
          <w:i/>
        </w:rPr>
      </w:pPr>
      <w:bookmarkStart w:id="95" w:name="_Toc87002468"/>
      <w:bookmarkStart w:id="96" w:name="_Toc90045088"/>
      <w:bookmarkStart w:id="97" w:name="_Toc95928402"/>
      <w:r w:rsidRPr="00566CD3">
        <w:rPr>
          <w:i/>
        </w:rPr>
        <w:t>Registro pela ANBIMA</w:t>
      </w:r>
      <w:bookmarkEnd w:id="95"/>
      <w:bookmarkEnd w:id="96"/>
      <w:bookmarkEnd w:id="97"/>
      <w:r w:rsidR="00547DB6" w:rsidRPr="00566CD3">
        <w:rPr>
          <w:i/>
        </w:rPr>
        <w:t xml:space="preserve"> </w:t>
      </w:r>
    </w:p>
    <w:p w14:paraId="31EF326E" w14:textId="77777777" w:rsidR="00684F0F" w:rsidRPr="00D8141D" w:rsidRDefault="00547DB6" w:rsidP="0037100C">
      <w:pPr>
        <w:pStyle w:val="HOMEBRBodyText"/>
        <w:keepLines w:val="0"/>
        <w:widowControl w:val="0"/>
        <w:spacing w:after="140" w:line="293" w:lineRule="auto"/>
        <w:jc w:val="both"/>
        <w:rPr>
          <w:rFonts w:cs="Calibri"/>
          <w:lang w:val="pt-BR"/>
        </w:rPr>
      </w:pPr>
      <w:r w:rsidRPr="0020727A">
        <w:rPr>
          <w:lang w:val="pt-BR"/>
        </w:rPr>
        <w:t xml:space="preserve">A Oferta será registrada na ANBIMA, nos termos do </w:t>
      </w:r>
      <w:r w:rsidR="0093025D" w:rsidRPr="0020727A">
        <w:rPr>
          <w:lang w:val="pt-BR"/>
        </w:rPr>
        <w:t xml:space="preserve">inciso I do </w:t>
      </w:r>
      <w:r w:rsidRPr="0020727A">
        <w:rPr>
          <w:lang w:val="pt-BR"/>
        </w:rPr>
        <w:t xml:space="preserve">artigo 16 e </w:t>
      </w:r>
      <w:r w:rsidR="0093025D" w:rsidRPr="0020727A">
        <w:rPr>
          <w:lang w:val="pt-BR"/>
        </w:rPr>
        <w:t>do inciso I do artigo 18 do</w:t>
      </w:r>
      <w:r w:rsidRPr="0020727A">
        <w:rPr>
          <w:lang w:val="pt-BR"/>
        </w:rPr>
        <w:t xml:space="preserve"> Código ANBIMA, no prazo de até 15 (quinze) dias contados </w:t>
      </w:r>
      <w:r w:rsidRPr="00D8141D">
        <w:rPr>
          <w:rFonts w:cs="Calibri"/>
          <w:lang w:val="pt-BR"/>
        </w:rPr>
        <w:t>da data de publicação do anúncio de encerramento da Oferta</w:t>
      </w:r>
      <w:r w:rsidR="00684F0F" w:rsidRPr="00D8141D">
        <w:rPr>
          <w:rFonts w:cs="Calibri"/>
          <w:lang w:val="pt-BR"/>
        </w:rPr>
        <w:t>.</w:t>
      </w:r>
    </w:p>
    <w:p w14:paraId="406E6487" w14:textId="77777777" w:rsidR="00E8286C" w:rsidRPr="00566CD3" w:rsidRDefault="00E8286C" w:rsidP="0037100C">
      <w:pPr>
        <w:pStyle w:val="Ttulo3"/>
        <w:spacing w:after="140" w:line="293" w:lineRule="auto"/>
        <w:jc w:val="both"/>
        <w:rPr>
          <w:i/>
        </w:rPr>
      </w:pPr>
      <w:bookmarkStart w:id="98" w:name="_Toc87002472"/>
      <w:bookmarkStart w:id="99" w:name="_Toc90045089"/>
      <w:bookmarkStart w:id="100" w:name="_Toc95928403"/>
      <w:r w:rsidRPr="00566CD3">
        <w:rPr>
          <w:i/>
        </w:rPr>
        <w:t>Projeto</w:t>
      </w:r>
      <w:r w:rsidR="00FC026C" w:rsidRPr="00566CD3">
        <w:rPr>
          <w:i/>
        </w:rPr>
        <w:t>s</w:t>
      </w:r>
      <w:r w:rsidRPr="00566CD3">
        <w:rPr>
          <w:i/>
        </w:rPr>
        <w:t xml:space="preserve"> de </w:t>
      </w:r>
      <w:r w:rsidR="0093025D" w:rsidRPr="00566CD3">
        <w:rPr>
          <w:i/>
        </w:rPr>
        <w:t xml:space="preserve">Investimento </w:t>
      </w:r>
      <w:r w:rsidR="00E52758" w:rsidRPr="00566CD3">
        <w:rPr>
          <w:i/>
        </w:rPr>
        <w:t xml:space="preserve">como Prioritário pelo Ministério </w:t>
      </w:r>
      <w:bookmarkEnd w:id="98"/>
      <w:r w:rsidR="006C5C3D" w:rsidRPr="00566CD3">
        <w:rPr>
          <w:i/>
        </w:rPr>
        <w:t>de Minas e Energia</w:t>
      </w:r>
      <w:bookmarkEnd w:id="99"/>
      <w:bookmarkEnd w:id="100"/>
    </w:p>
    <w:p w14:paraId="66135C38" w14:textId="77777777" w:rsidR="00E8286C" w:rsidRPr="00D8141D" w:rsidRDefault="006C5C3D" w:rsidP="0037100C">
      <w:pPr>
        <w:pStyle w:val="HOMEBRBodyText"/>
        <w:keepLines w:val="0"/>
        <w:widowControl w:val="0"/>
        <w:spacing w:after="140" w:line="293" w:lineRule="auto"/>
        <w:jc w:val="both"/>
        <w:rPr>
          <w:rFonts w:cs="Calibri"/>
          <w:lang w:val="pt-BR"/>
        </w:rPr>
      </w:pPr>
      <w:r w:rsidRPr="00D8141D">
        <w:rPr>
          <w:rFonts w:cs="Calibri"/>
          <w:lang w:val="pt-BR"/>
        </w:rPr>
        <w:t xml:space="preserve">A Emissão será realizada na forma do artigo 2º da Lei nº 12.431, do Decreto nº 8.874, tendo em vista o enquadramento dos Projetos de Investimento como prioritários pelo </w:t>
      </w:r>
      <w:r w:rsidRPr="0020727A">
        <w:rPr>
          <w:lang w:val="pt-BR"/>
        </w:rPr>
        <w:t>Ministério de Minas e Energia,</w:t>
      </w:r>
      <w:r w:rsidRPr="00D8141D">
        <w:rPr>
          <w:rFonts w:cs="Calibri"/>
          <w:lang w:val="pt-BR"/>
        </w:rPr>
        <w:t xml:space="preserve"> por meio da Portaria nº </w:t>
      </w:r>
      <w:r w:rsidR="0093025D" w:rsidRPr="00D8141D">
        <w:rPr>
          <w:rFonts w:cs="Calibri"/>
          <w:lang w:val="pt-BR"/>
        </w:rPr>
        <w:t>21</w:t>
      </w:r>
      <w:r w:rsidR="009F4609" w:rsidRPr="00D8141D">
        <w:rPr>
          <w:rFonts w:cs="Calibri"/>
          <w:lang w:val="pt-BR"/>
        </w:rPr>
        <w:t xml:space="preserve"> e da Portaria nº 35.</w:t>
      </w:r>
    </w:p>
    <w:p w14:paraId="0FC5ADA2" w14:textId="2A481740" w:rsidR="002C484B" w:rsidRPr="00D8141D" w:rsidRDefault="00E8286C" w:rsidP="0037100C">
      <w:pPr>
        <w:pStyle w:val="HOMEBRBodyText"/>
        <w:keepLines w:val="0"/>
        <w:widowControl w:val="0"/>
        <w:spacing w:after="140" w:line="293" w:lineRule="auto"/>
        <w:jc w:val="both"/>
        <w:rPr>
          <w:rFonts w:cs="Calibri"/>
          <w:b/>
          <w:lang w:val="pt-BR"/>
        </w:rPr>
      </w:pPr>
      <w:r w:rsidRPr="00D8141D">
        <w:rPr>
          <w:rFonts w:cs="Calibri"/>
          <w:b/>
          <w:lang w:val="pt-BR"/>
        </w:rPr>
        <w:t>Para mais informações sobre o</w:t>
      </w:r>
      <w:r w:rsidR="00A14D40" w:rsidRPr="00D8141D">
        <w:rPr>
          <w:rFonts w:cs="Calibri"/>
          <w:b/>
          <w:lang w:val="pt-BR"/>
        </w:rPr>
        <w:t>s</w:t>
      </w:r>
      <w:r w:rsidRPr="00D8141D">
        <w:rPr>
          <w:rFonts w:cs="Calibri"/>
          <w:b/>
          <w:lang w:val="pt-BR"/>
        </w:rPr>
        <w:t xml:space="preserve"> Projeto</w:t>
      </w:r>
      <w:r w:rsidR="00A14D40" w:rsidRPr="00D8141D">
        <w:rPr>
          <w:rFonts w:cs="Calibri"/>
          <w:b/>
          <w:lang w:val="pt-BR"/>
        </w:rPr>
        <w:t>s</w:t>
      </w:r>
      <w:r w:rsidRPr="00D8141D">
        <w:rPr>
          <w:rFonts w:cs="Calibri"/>
          <w:b/>
          <w:lang w:val="pt-BR"/>
        </w:rPr>
        <w:t xml:space="preserve">, veja a seção </w:t>
      </w:r>
      <w:r w:rsidR="002A4B8C" w:rsidRPr="00D8141D">
        <w:rPr>
          <w:rFonts w:cs="Calibri"/>
          <w:b/>
          <w:lang w:val="pt-BR"/>
        </w:rPr>
        <w:t>“</w:t>
      </w:r>
      <w:r w:rsidRPr="00D8141D">
        <w:rPr>
          <w:rFonts w:cs="Calibri"/>
          <w:b/>
          <w:i/>
          <w:lang w:val="pt-BR"/>
        </w:rPr>
        <w:t>Destinação dos Recursos</w:t>
      </w:r>
      <w:r w:rsidR="002A4B8C" w:rsidRPr="00D8141D">
        <w:rPr>
          <w:rFonts w:cs="Calibri"/>
          <w:b/>
          <w:lang w:val="pt-BR"/>
        </w:rPr>
        <w:t>”</w:t>
      </w:r>
      <w:r w:rsidRPr="00D8141D">
        <w:rPr>
          <w:rFonts w:cs="Calibri"/>
          <w:b/>
          <w:lang w:val="pt-BR"/>
        </w:rPr>
        <w:t xml:space="preserve">, na página </w:t>
      </w:r>
      <w:r w:rsidR="00DF1B9F" w:rsidRPr="00D8141D">
        <w:rPr>
          <w:rFonts w:cs="Calibri"/>
          <w:b/>
          <w:noProof/>
          <w:lang w:val="pt-BR"/>
        </w:rPr>
        <w:fldChar w:fldCharType="begin"/>
      </w:r>
      <w:r w:rsidR="00DF1B9F" w:rsidRPr="00D8141D">
        <w:rPr>
          <w:rFonts w:cs="Calibri"/>
          <w:b/>
          <w:lang w:val="pt-BR"/>
        </w:rPr>
        <w:instrText xml:space="preserve"> PAGEREF _Ref90229516 \h </w:instrText>
      </w:r>
      <w:r w:rsidR="00DF1B9F" w:rsidRPr="00D8141D">
        <w:rPr>
          <w:rFonts w:cs="Calibri"/>
          <w:b/>
          <w:noProof/>
          <w:lang w:val="pt-BR"/>
        </w:rPr>
      </w:r>
      <w:r w:rsidR="00DF1B9F" w:rsidRPr="00D8141D">
        <w:rPr>
          <w:rFonts w:cs="Calibri"/>
          <w:b/>
          <w:noProof/>
          <w:lang w:val="pt-BR"/>
        </w:rPr>
        <w:fldChar w:fldCharType="separate"/>
      </w:r>
      <w:r w:rsidR="001166EA">
        <w:rPr>
          <w:rFonts w:cs="Calibri"/>
          <w:b/>
          <w:noProof/>
          <w:lang w:val="pt-BR"/>
        </w:rPr>
        <w:t>145</w:t>
      </w:r>
      <w:r w:rsidR="00DF1B9F" w:rsidRPr="00D8141D">
        <w:rPr>
          <w:rFonts w:cs="Calibri"/>
          <w:b/>
          <w:noProof/>
          <w:lang w:val="pt-BR"/>
        </w:rPr>
        <w:fldChar w:fldCharType="end"/>
      </w:r>
      <w:r w:rsidRPr="00D8141D">
        <w:rPr>
          <w:rFonts w:cs="Calibri"/>
          <w:b/>
          <w:lang w:val="pt-BR"/>
        </w:rPr>
        <w:t xml:space="preserve"> deste Prospecto</w:t>
      </w:r>
      <w:bookmarkStart w:id="101" w:name="_Toc428306464"/>
    </w:p>
    <w:p w14:paraId="2DA2D8CC" w14:textId="77777777" w:rsidR="00E8286C" w:rsidRPr="00D8141D" w:rsidRDefault="00E8286C" w:rsidP="0037100C">
      <w:pPr>
        <w:pStyle w:val="Ttulo2"/>
        <w:keepNext w:val="0"/>
        <w:keepLines w:val="0"/>
        <w:spacing w:after="140" w:line="293" w:lineRule="auto"/>
        <w:jc w:val="both"/>
        <w:rPr>
          <w:rFonts w:eastAsia="Times New Roman" w:cs="Calibri"/>
          <w:b/>
          <w:caps/>
          <w:szCs w:val="24"/>
          <w:lang w:val="pt-BR"/>
        </w:rPr>
      </w:pPr>
      <w:bookmarkStart w:id="102" w:name="_Toc87002473"/>
      <w:bookmarkStart w:id="103" w:name="_Toc90045090"/>
      <w:bookmarkStart w:id="104" w:name="_Toc95928404"/>
      <w:r w:rsidRPr="00D8141D">
        <w:rPr>
          <w:rFonts w:eastAsia="Times New Roman" w:cs="Calibri"/>
          <w:b/>
          <w:szCs w:val="24"/>
          <w:lang w:val="pt-BR"/>
        </w:rPr>
        <w:t>OBJETO SOCIAL</w:t>
      </w:r>
      <w:bookmarkEnd w:id="101"/>
      <w:bookmarkEnd w:id="102"/>
      <w:bookmarkEnd w:id="103"/>
      <w:bookmarkEnd w:id="104"/>
    </w:p>
    <w:p w14:paraId="5B63E5BF" w14:textId="77777777" w:rsidR="0061030F" w:rsidRPr="00566CD3" w:rsidRDefault="006C5C3D" w:rsidP="0037100C">
      <w:pPr>
        <w:autoSpaceDE w:val="0"/>
        <w:autoSpaceDN w:val="0"/>
        <w:adjustRightInd w:val="0"/>
        <w:spacing w:after="140" w:line="293" w:lineRule="auto"/>
        <w:jc w:val="both"/>
      </w:pPr>
      <w:r w:rsidRPr="00566CD3">
        <w:t>De acordo com o artigo 3º do seu Estatuto Social, a Emissora tem como objeto social a (i) atividade agroindustrial de industrialização de cana-de açúcar, de produção própria e adquirida de terceiros, fabricação e comércio de açúcar, álcool e seus derivados e cogeração de energia elétrica; (ii) exploração agrícola e pecuária; (iii) importação e exportação de bens, produtos e matéria-prima; (iv) fabricação, comercialização, exportação e importação, por conta própria ou de terceiros, de produtos químicos e orgânicos, bem como a fabricação de aditivo, ingrediente e suplemento para consumo animal, podendo desenvolver outras atividades correlatas ou condizentes com estas atividades; e (v) participação em sociedades, mediante deliberação do Conselho de Administração</w:t>
      </w:r>
      <w:r w:rsidR="002C484B" w:rsidRPr="00566CD3">
        <w:t>.</w:t>
      </w:r>
      <w:r w:rsidR="0061030F" w:rsidRPr="00566CD3">
        <w:t xml:space="preserve"> </w:t>
      </w:r>
    </w:p>
    <w:p w14:paraId="2271AFD9" w14:textId="77777777" w:rsidR="00E8286C" w:rsidRPr="00D8141D" w:rsidRDefault="00E8286C" w:rsidP="009E2BE2">
      <w:pPr>
        <w:pStyle w:val="Ttulo2"/>
        <w:keepNext w:val="0"/>
        <w:keepLines w:val="0"/>
        <w:spacing w:after="140" w:line="290" w:lineRule="auto"/>
        <w:jc w:val="both"/>
        <w:rPr>
          <w:rFonts w:eastAsia="Times New Roman" w:cs="Calibri"/>
          <w:b/>
          <w:szCs w:val="24"/>
          <w:lang w:val="pt-BR"/>
        </w:rPr>
      </w:pPr>
      <w:bookmarkStart w:id="105" w:name="_Toc428306466"/>
      <w:bookmarkStart w:id="106" w:name="_Toc87002474"/>
      <w:bookmarkStart w:id="107" w:name="_Toc90045091"/>
      <w:bookmarkStart w:id="108" w:name="_Toc95928405"/>
      <w:r w:rsidRPr="00D8141D">
        <w:rPr>
          <w:rFonts w:eastAsia="Times New Roman" w:cs="Calibri"/>
          <w:b/>
          <w:szCs w:val="24"/>
          <w:lang w:val="pt-BR"/>
        </w:rPr>
        <w:t>CARACTERÍSTICAS DA EMISSÃO</w:t>
      </w:r>
      <w:bookmarkEnd w:id="105"/>
      <w:bookmarkEnd w:id="106"/>
      <w:bookmarkEnd w:id="107"/>
      <w:bookmarkEnd w:id="108"/>
    </w:p>
    <w:p w14:paraId="7E73DB0A" w14:textId="77777777" w:rsidR="00C02556" w:rsidRPr="00566CD3" w:rsidRDefault="00C02556" w:rsidP="00C02556">
      <w:pPr>
        <w:pStyle w:val="Ttulo3"/>
        <w:spacing w:after="140" w:line="290" w:lineRule="auto"/>
        <w:jc w:val="both"/>
        <w:rPr>
          <w:i/>
        </w:rPr>
      </w:pPr>
      <w:bookmarkStart w:id="109" w:name="_Toc87002479"/>
      <w:bookmarkStart w:id="110" w:name="_Toc90045092"/>
      <w:bookmarkStart w:id="111" w:name="_Toc95928406"/>
      <w:bookmarkStart w:id="112" w:name="_Toc87002475"/>
      <w:r w:rsidRPr="00566CD3">
        <w:rPr>
          <w:i/>
        </w:rPr>
        <w:t>Número da Emissão</w:t>
      </w:r>
      <w:bookmarkEnd w:id="109"/>
      <w:bookmarkEnd w:id="110"/>
      <w:bookmarkEnd w:id="111"/>
    </w:p>
    <w:p w14:paraId="3DA70C37" w14:textId="77777777" w:rsidR="00C02556" w:rsidRPr="00D8141D" w:rsidRDefault="00C02556" w:rsidP="00C02556">
      <w:pPr>
        <w:pStyle w:val="HOMEBRBodyText"/>
        <w:keepLines w:val="0"/>
        <w:widowControl w:val="0"/>
        <w:spacing w:after="140" w:line="290" w:lineRule="auto"/>
        <w:jc w:val="both"/>
        <w:rPr>
          <w:rFonts w:cs="Calibri"/>
          <w:lang w:val="pt-BR"/>
        </w:rPr>
      </w:pPr>
      <w:r w:rsidRPr="0020727A">
        <w:rPr>
          <w:lang w:val="pt-BR"/>
        </w:rPr>
        <w:t xml:space="preserve">As Debêntures representam a </w:t>
      </w:r>
      <w:r w:rsidRPr="00D8141D">
        <w:rPr>
          <w:rFonts w:cs="Calibri"/>
          <w:lang w:val="pt-BR"/>
        </w:rPr>
        <w:t>4ª (quarta</w:t>
      </w:r>
      <w:r w:rsidRPr="0020727A">
        <w:rPr>
          <w:lang w:val="pt-BR"/>
        </w:rPr>
        <w:t>) emissão de debêntures da Emissora</w:t>
      </w:r>
      <w:r w:rsidRPr="00D8141D">
        <w:rPr>
          <w:rFonts w:cs="Calibri"/>
          <w:lang w:val="pt-BR"/>
        </w:rPr>
        <w:t>.</w:t>
      </w:r>
    </w:p>
    <w:p w14:paraId="4C8C5DF1" w14:textId="77777777" w:rsidR="00C02556" w:rsidRPr="00566CD3" w:rsidRDefault="00C02556" w:rsidP="00C02556">
      <w:pPr>
        <w:pStyle w:val="Ttulo3"/>
        <w:spacing w:after="140" w:line="290" w:lineRule="auto"/>
        <w:jc w:val="both"/>
        <w:rPr>
          <w:i/>
        </w:rPr>
      </w:pPr>
      <w:bookmarkStart w:id="113" w:name="_Ref420334827"/>
      <w:bookmarkStart w:id="114" w:name="_Toc87002480"/>
      <w:bookmarkStart w:id="115" w:name="_Toc90045093"/>
      <w:bookmarkStart w:id="116" w:name="_Toc95928407"/>
      <w:r w:rsidRPr="00566CD3">
        <w:rPr>
          <w:i/>
        </w:rPr>
        <w:t>Séries</w:t>
      </w:r>
      <w:bookmarkEnd w:id="113"/>
      <w:bookmarkEnd w:id="114"/>
      <w:bookmarkEnd w:id="115"/>
      <w:bookmarkEnd w:id="116"/>
    </w:p>
    <w:p w14:paraId="3FFCB6B9" w14:textId="77777777" w:rsidR="00C02556" w:rsidRPr="00D8141D" w:rsidRDefault="00C02556" w:rsidP="00C02556">
      <w:pPr>
        <w:pStyle w:val="HOMEBRBodyText"/>
        <w:keepLines w:val="0"/>
        <w:widowControl w:val="0"/>
        <w:spacing w:after="140" w:line="290" w:lineRule="auto"/>
        <w:jc w:val="both"/>
        <w:rPr>
          <w:rFonts w:cs="Calibri"/>
          <w:lang w:val="pt-BR"/>
        </w:rPr>
      </w:pPr>
      <w:r w:rsidRPr="00D8141D">
        <w:rPr>
          <w:rFonts w:cs="Calibri"/>
          <w:lang w:val="pt-BR"/>
        </w:rPr>
        <w:t xml:space="preserve">A Emissão será realizada em 2 (duas) séries, sendo que a quantidade de Séries da Emissão </w:t>
      </w:r>
      <w:r w:rsidR="00E76ACF" w:rsidRPr="00D8141D">
        <w:rPr>
          <w:rFonts w:cs="Calibri"/>
          <w:lang w:val="pt-BR"/>
        </w:rPr>
        <w:t>foi</w:t>
      </w:r>
      <w:r w:rsidRPr="00D8141D">
        <w:rPr>
          <w:rFonts w:cs="Calibri"/>
          <w:lang w:val="pt-BR"/>
        </w:rPr>
        <w:t xml:space="preserve"> definida no Procedimento de </w:t>
      </w:r>
      <w:r w:rsidRPr="00D8141D">
        <w:rPr>
          <w:rFonts w:cs="Calibri"/>
          <w:i/>
          <w:iCs/>
          <w:lang w:val="pt-BR"/>
        </w:rPr>
        <w:t>Bookbuilding</w:t>
      </w:r>
      <w:r w:rsidRPr="00D8141D">
        <w:rPr>
          <w:rFonts w:cs="Calibri"/>
          <w:lang w:val="pt-BR"/>
        </w:rPr>
        <w:t>.</w:t>
      </w:r>
    </w:p>
    <w:p w14:paraId="5CFABEAE" w14:textId="77777777" w:rsidR="00E8286C" w:rsidRPr="00566CD3" w:rsidRDefault="00E8286C" w:rsidP="009E2BE2">
      <w:pPr>
        <w:pStyle w:val="Ttulo3"/>
        <w:spacing w:after="140" w:line="290" w:lineRule="auto"/>
        <w:jc w:val="both"/>
        <w:rPr>
          <w:i/>
        </w:rPr>
      </w:pPr>
      <w:bookmarkStart w:id="117" w:name="_Toc90045094"/>
      <w:bookmarkStart w:id="118" w:name="_Toc95928408"/>
      <w:r w:rsidRPr="00566CD3">
        <w:rPr>
          <w:i/>
        </w:rPr>
        <w:lastRenderedPageBreak/>
        <w:t>Valor Total da Emissão</w:t>
      </w:r>
      <w:bookmarkEnd w:id="112"/>
      <w:bookmarkEnd w:id="117"/>
      <w:bookmarkEnd w:id="118"/>
    </w:p>
    <w:p w14:paraId="1A72137F" w14:textId="77777777" w:rsidR="00E8286C" w:rsidRPr="00D8141D" w:rsidRDefault="00C02556" w:rsidP="009E2BE2">
      <w:pPr>
        <w:pStyle w:val="HOMEBRBodyText"/>
        <w:keepLines w:val="0"/>
        <w:widowControl w:val="0"/>
        <w:spacing w:after="140" w:line="290" w:lineRule="auto"/>
        <w:jc w:val="both"/>
        <w:rPr>
          <w:rFonts w:cs="Calibri"/>
          <w:lang w:val="pt-BR"/>
        </w:rPr>
      </w:pPr>
      <w:r w:rsidRPr="0020727A">
        <w:rPr>
          <w:lang w:val="pt-BR"/>
        </w:rPr>
        <w:t>O valor total da Emissão será de R$</w:t>
      </w:r>
      <w:r w:rsidRPr="00D8141D">
        <w:rPr>
          <w:rFonts w:cs="Calibri"/>
          <w:lang w:val="pt-BR"/>
        </w:rPr>
        <w:t>1</w:t>
      </w:r>
      <w:r w:rsidRPr="0020727A">
        <w:rPr>
          <w:lang w:val="pt-BR"/>
        </w:rPr>
        <w:t>.</w:t>
      </w:r>
      <w:r w:rsidR="007B23C4" w:rsidRPr="00D8141D">
        <w:rPr>
          <w:rFonts w:cs="Calibri"/>
          <w:lang w:val="pt-BR"/>
        </w:rPr>
        <w:t>200.</w:t>
      </w:r>
      <w:r w:rsidRPr="0020727A">
        <w:rPr>
          <w:lang w:val="pt-BR"/>
        </w:rPr>
        <w:t>000.000,00 (</w:t>
      </w:r>
      <w:r w:rsidRPr="00D8141D">
        <w:rPr>
          <w:rFonts w:cs="Calibri"/>
          <w:lang w:val="pt-BR"/>
        </w:rPr>
        <w:t>um bilhão</w:t>
      </w:r>
      <w:r w:rsidRPr="0020727A">
        <w:rPr>
          <w:lang w:val="pt-BR"/>
        </w:rPr>
        <w:t xml:space="preserve"> </w:t>
      </w:r>
      <w:r w:rsidR="008B010F" w:rsidRPr="00D8141D">
        <w:rPr>
          <w:rFonts w:cs="Calibri"/>
          <w:lang w:val="pt-BR"/>
        </w:rPr>
        <w:t xml:space="preserve">e duzentos milhões </w:t>
      </w:r>
      <w:r w:rsidRPr="0020727A">
        <w:rPr>
          <w:lang w:val="pt-BR"/>
        </w:rPr>
        <w:t xml:space="preserve">de reais), na Data de Emissão, </w:t>
      </w:r>
      <w:r w:rsidR="00E76ACF">
        <w:rPr>
          <w:lang w:val="pt-BR"/>
        </w:rPr>
        <w:t>considerando a colocação das</w:t>
      </w:r>
      <w:r w:rsidRPr="00D8141D">
        <w:rPr>
          <w:rFonts w:cs="Calibri"/>
          <w:lang w:val="pt-BR"/>
        </w:rPr>
        <w:t xml:space="preserve"> Debêntures Adicionais</w:t>
      </w:r>
      <w:r w:rsidR="0061030F" w:rsidRPr="00D8141D">
        <w:rPr>
          <w:rFonts w:cs="Calibri"/>
          <w:lang w:val="pt-BR"/>
        </w:rPr>
        <w:t>.</w:t>
      </w:r>
    </w:p>
    <w:p w14:paraId="2562B366" w14:textId="77777777" w:rsidR="007105F6" w:rsidRPr="00566CD3" w:rsidRDefault="009D09A0" w:rsidP="002E5FAE">
      <w:pPr>
        <w:pStyle w:val="Ttulo3"/>
        <w:spacing w:after="140" w:line="290" w:lineRule="auto"/>
        <w:jc w:val="both"/>
        <w:rPr>
          <w:i/>
        </w:rPr>
      </w:pPr>
      <w:bookmarkStart w:id="119" w:name="_Toc90045095"/>
      <w:bookmarkStart w:id="120" w:name="_Toc95928409"/>
      <w:bookmarkStart w:id="121" w:name="_Toc87002476"/>
      <w:r w:rsidRPr="00566CD3">
        <w:rPr>
          <w:i/>
        </w:rPr>
        <w:t>Agente de Liquidação</w:t>
      </w:r>
      <w:r w:rsidR="007105F6" w:rsidRPr="00566CD3">
        <w:rPr>
          <w:i/>
        </w:rPr>
        <w:t xml:space="preserve"> e Escriturador</w:t>
      </w:r>
      <w:bookmarkEnd w:id="119"/>
      <w:bookmarkEnd w:id="120"/>
    </w:p>
    <w:p w14:paraId="568915BD" w14:textId="77777777" w:rsidR="007105F6" w:rsidRPr="00F14CD9" w:rsidRDefault="007105F6" w:rsidP="00F14CD9">
      <w:pPr>
        <w:spacing w:after="120"/>
        <w:jc w:val="both"/>
        <w:rPr>
          <w:rFonts w:eastAsia="MS Mincho"/>
        </w:rPr>
      </w:pPr>
      <w:r w:rsidRPr="00566CD3">
        <w:t xml:space="preserve">O </w:t>
      </w:r>
      <w:r w:rsidR="009D09A0" w:rsidRPr="00566CD3">
        <w:t>Agente de Liquidação</w:t>
      </w:r>
      <w:r w:rsidRPr="00566CD3">
        <w:t xml:space="preserve"> da presente Emissão será a </w:t>
      </w:r>
      <w:r w:rsidRPr="00566CD3">
        <w:rPr>
          <w:b/>
        </w:rPr>
        <w:t>VÓRTX DISTRIBUIDORA DE TÍTULOS E VALORES MOBILIÁRIOS LTDA.,</w:t>
      </w:r>
      <w:r w:rsidRPr="00566CD3">
        <w:t xml:space="preserve"> sociedade limitada, com sede na Avenida Brigadeiro Faria Lima, nº 2.277,2º andar, Conjunto 202, na Cidade de Sio Paulo, Estado de Sio Paulo, inscrita no CNPJ/ME sob o nº 22.610.500/0001-88 e o Escriturador da presente Emissão será a </w:t>
      </w:r>
      <w:r w:rsidRPr="00566CD3">
        <w:rPr>
          <w:b/>
        </w:rPr>
        <w:t>SIMPLIFIC PAVARINI DISTRIBUIDORA DE TÍTULOS E VALORES MOBILIÁRIOS LTDA</w:t>
      </w:r>
      <w:r w:rsidRPr="00566CD3">
        <w:t xml:space="preserve">., </w:t>
      </w:r>
      <w:r w:rsidR="00520AE1" w:rsidRPr="00566CD3">
        <w:t>instituição financeira atuando por sua filial na cidade de São Paulo, Estado de São Paulo, na Rua Joaquim Floriano 466, bloco B, conj</w:t>
      </w:r>
      <w:r w:rsidR="00ED4305" w:rsidRPr="00566CD3">
        <w:t>.</w:t>
      </w:r>
      <w:r w:rsidR="00520AE1" w:rsidRPr="00566CD3">
        <w:t xml:space="preserve"> 1401, Itaim Bibi CEP 04534-002, inscrita no </w:t>
      </w:r>
      <w:r w:rsidR="00520AE1" w:rsidRPr="00F14CD9">
        <w:rPr>
          <w:rFonts w:eastAsia="MS Mincho"/>
        </w:rPr>
        <w:t>CNPJ</w:t>
      </w:r>
      <w:r w:rsidR="00F340FE" w:rsidRPr="00F14CD9">
        <w:rPr>
          <w:rFonts w:eastAsia="MS Mincho"/>
        </w:rPr>
        <w:t>/ME</w:t>
      </w:r>
      <w:r w:rsidR="00520AE1" w:rsidRPr="00F14CD9">
        <w:rPr>
          <w:rFonts w:eastAsia="MS Mincho"/>
        </w:rPr>
        <w:t xml:space="preserve"> sob o nº 15.227.994/0004-01</w:t>
      </w:r>
      <w:r w:rsidRPr="00F14CD9">
        <w:rPr>
          <w:rFonts w:eastAsia="MS Mincho"/>
        </w:rPr>
        <w:t>.</w:t>
      </w:r>
    </w:p>
    <w:p w14:paraId="6413CAA6" w14:textId="77777777" w:rsidR="002E5FAE" w:rsidRPr="00566CD3" w:rsidRDefault="002E5FAE" w:rsidP="002E5FAE">
      <w:pPr>
        <w:pStyle w:val="Ttulo3"/>
        <w:spacing w:after="140" w:line="290" w:lineRule="auto"/>
        <w:jc w:val="both"/>
        <w:rPr>
          <w:i/>
        </w:rPr>
      </w:pPr>
      <w:bookmarkStart w:id="122" w:name="_Ref90216516"/>
      <w:bookmarkStart w:id="123" w:name="_Toc90045096"/>
      <w:bookmarkStart w:id="124" w:name="_Toc95928410"/>
      <w:r w:rsidRPr="00566CD3">
        <w:rPr>
          <w:i/>
        </w:rPr>
        <w:t>Colocação e Procedimento de Distribuição</w:t>
      </w:r>
      <w:bookmarkEnd w:id="122"/>
      <w:bookmarkEnd w:id="123"/>
      <w:bookmarkEnd w:id="124"/>
    </w:p>
    <w:p w14:paraId="66523E16" w14:textId="77777777" w:rsidR="002E5FAE" w:rsidRPr="00566CD3" w:rsidRDefault="002E5FAE" w:rsidP="002E5FAE">
      <w:pPr>
        <w:jc w:val="both"/>
      </w:pPr>
      <w:r w:rsidRPr="00566CD3">
        <w:t>As Debêntures serão objeto de oferta pública de distribuição, nos termos da Instrução CVM 400, sob regime de garantia firme de colocação (exceto pelas Debêntures Adicionais, as quais serão colocadas sob o regime de melhores esforços de colocação), para a totalidade das Debêntures, nos termos do Contrato de Distribuição</w:t>
      </w:r>
      <w:r w:rsidR="00C02CC2" w:rsidRPr="00566CD3">
        <w:t xml:space="preserve"> e do Primeiro Aditamento ao Contrato de Distribuição</w:t>
      </w:r>
      <w:r w:rsidRPr="00566CD3">
        <w:t>, com a intermediação do Coordenador Líder e Participantes Especiais, observado o procedimento previsto no Plano de Distribuição. Os termos condições do Plano de Distribuição seguem descritos no Contrato de Distribuição</w:t>
      </w:r>
      <w:r w:rsidR="00C02CC2" w:rsidRPr="00566CD3">
        <w:t>, no Primeiro Aditamento ao Contrato de Distribuição</w:t>
      </w:r>
      <w:r w:rsidRPr="00566CD3">
        <w:t xml:space="preserve"> e nos demais documentos da Oferta. A Oferta não contará com esforços de colocação no exterior.</w:t>
      </w:r>
    </w:p>
    <w:p w14:paraId="7C24AE86" w14:textId="77777777" w:rsidR="005757B9" w:rsidRPr="00566CD3" w:rsidRDefault="002E5FAE" w:rsidP="00FF1ED9">
      <w:pPr>
        <w:spacing w:line="276" w:lineRule="auto"/>
        <w:jc w:val="both"/>
      </w:pPr>
      <w:r w:rsidRPr="00566CD3">
        <w:t xml:space="preserve">Nos termos da Instrução CVM 400, a Oferta somente ocorrerá após: </w:t>
      </w:r>
      <w:r w:rsidRPr="00566CD3">
        <w:rPr>
          <w:b/>
        </w:rPr>
        <w:t xml:space="preserve">(i) </w:t>
      </w:r>
      <w:r w:rsidRPr="00566CD3">
        <w:t xml:space="preserve">a concessão do registro da Oferta pela CVM; </w:t>
      </w:r>
      <w:r w:rsidRPr="00566CD3">
        <w:rPr>
          <w:b/>
        </w:rPr>
        <w:t>(ii)</w:t>
      </w:r>
      <w:r w:rsidRPr="00566CD3">
        <w:rPr>
          <w:b/>
          <w:i/>
        </w:rPr>
        <w:t xml:space="preserve"> </w:t>
      </w:r>
      <w:r w:rsidRPr="00566CD3">
        <w:t xml:space="preserve">a divulgação do Anúncio de Início da Oferta, nos termos do artigo 54-A da Instrução CVM 400; e </w:t>
      </w:r>
      <w:r w:rsidRPr="00566CD3">
        <w:rPr>
          <w:b/>
        </w:rPr>
        <w:t xml:space="preserve">(iii) </w:t>
      </w:r>
      <w:r w:rsidRPr="00566CD3">
        <w:t xml:space="preserve">a disponibilização </w:t>
      </w:r>
      <w:r w:rsidR="00307A78" w:rsidRPr="00566CD3">
        <w:t>deste</w:t>
      </w:r>
      <w:r w:rsidRPr="00566CD3">
        <w:t xml:space="preserve"> Prospecto Definitivo aos investidores e seu envio à CVM, nos termos do artigo 42 da Instrução CVM 400.</w:t>
      </w:r>
    </w:p>
    <w:p w14:paraId="26485766" w14:textId="77777777" w:rsidR="002E5FAE" w:rsidRPr="00566CD3" w:rsidRDefault="002E5FAE" w:rsidP="00FF1ED9">
      <w:pPr>
        <w:spacing w:line="276" w:lineRule="auto"/>
        <w:jc w:val="both"/>
      </w:pPr>
      <w:r w:rsidRPr="00566CD3">
        <w:t>Observados os requisitos indicados na Escritura de Emissão, as Debêntures serão subscritas e integralizadas na Primeira Data de Integralização, dentro do prazo máximo de 6 (seis) meses contados da data de divulgação do Anúncio de Início da Oferta, nos termos do artigo 18 da Instrução CVM 400.</w:t>
      </w:r>
    </w:p>
    <w:p w14:paraId="404D9C53" w14:textId="77777777" w:rsidR="002E5FAE" w:rsidRPr="00566CD3" w:rsidRDefault="002E5FAE" w:rsidP="002E5FAE">
      <w:pPr>
        <w:jc w:val="both"/>
      </w:pPr>
      <w:r w:rsidRPr="00566CD3">
        <w:t>Após a colocação das Debêntures, será divulgado o Anúncio de Encerramento da Oferta.</w:t>
      </w:r>
    </w:p>
    <w:p w14:paraId="7C7305CC" w14:textId="77777777" w:rsidR="00F23D54" w:rsidRPr="00566CD3" w:rsidRDefault="008B010F" w:rsidP="002E5FAE">
      <w:pPr>
        <w:jc w:val="both"/>
      </w:pPr>
      <w:r w:rsidRPr="00566CD3">
        <w:t>H</w:t>
      </w:r>
      <w:r w:rsidR="008408C5" w:rsidRPr="00566CD3">
        <w:t>ouve</w:t>
      </w:r>
      <w:r w:rsidR="00F23D54" w:rsidRPr="00566CD3">
        <w:t xml:space="preserve"> possibilidade </w:t>
      </w:r>
      <w:r w:rsidR="00047A4B" w:rsidRPr="00566CD3">
        <w:t xml:space="preserve">de </w:t>
      </w:r>
      <w:r w:rsidR="00F23D54" w:rsidRPr="00566CD3">
        <w:t xml:space="preserve">aumento </w:t>
      </w:r>
      <w:r w:rsidR="00047A4B" w:rsidRPr="00566CD3">
        <w:t xml:space="preserve">de até 20% (vinte por cento) </w:t>
      </w:r>
      <w:r w:rsidR="00F23D54" w:rsidRPr="00566CD3">
        <w:t>da quantidade</w:t>
      </w:r>
      <w:r w:rsidR="00047A4B" w:rsidRPr="00566CD3">
        <w:t xml:space="preserve"> total</w:t>
      </w:r>
      <w:r w:rsidR="00F23D54" w:rsidRPr="00566CD3">
        <w:t xml:space="preserve"> de Debêntures inicialmente ofertada, em virtude de excesso de demanda a ser contratado no âmbito da Oferta, mediante a emissão das Debêntures Adicionais, nos termos do parágrafo 2º do artigo 14 da Instrução CVM 400.</w:t>
      </w:r>
    </w:p>
    <w:p w14:paraId="63B267A8" w14:textId="77777777" w:rsidR="00F23D54" w:rsidRPr="00566CD3" w:rsidRDefault="008408C5" w:rsidP="002E5FAE">
      <w:pPr>
        <w:jc w:val="both"/>
      </w:pPr>
      <w:r w:rsidRPr="00566CD3">
        <w:t>Considerando que</w:t>
      </w:r>
      <w:r w:rsidR="00F23D54" w:rsidRPr="00566CD3">
        <w:t xml:space="preserve"> o montante da Oferta </w:t>
      </w:r>
      <w:r w:rsidRPr="00566CD3">
        <w:t>foi</w:t>
      </w:r>
      <w:r w:rsidR="00F23D54" w:rsidRPr="00566CD3">
        <w:t xml:space="preserve"> aumentado nos termos acima, o Coordenador Líder fará a distribuição das Debêntures Adicionais em regime de melhores esforços de colocação.</w:t>
      </w:r>
    </w:p>
    <w:p w14:paraId="4E3F7E4F" w14:textId="77777777" w:rsidR="00F23D54" w:rsidRPr="00566CD3" w:rsidRDefault="00F23D54" w:rsidP="002E5FAE">
      <w:pPr>
        <w:jc w:val="both"/>
      </w:pPr>
      <w:r w:rsidRPr="00566CD3">
        <w:lastRenderedPageBreak/>
        <w:t>Não será concedido qualquer tipo de desconto pelo Coordenador Líder aos investidores interessados em adquirir as Debêntures, observada a possibilidade de concessão de ágio ou deságio, na forma da Escritura de Emissão.</w:t>
      </w:r>
    </w:p>
    <w:p w14:paraId="74DD7436" w14:textId="77777777" w:rsidR="00F23D54" w:rsidRPr="00566CD3" w:rsidRDefault="00F23D54" w:rsidP="002E5FAE">
      <w:pPr>
        <w:jc w:val="both"/>
      </w:pPr>
      <w:r w:rsidRPr="00566CD3">
        <w:t>Não haverá preferência para subscrição das Debêntures pelos atuais acionistas da Emissora.</w:t>
      </w:r>
    </w:p>
    <w:p w14:paraId="6EC041D0" w14:textId="77777777" w:rsidR="00F23D54" w:rsidRPr="00566CD3" w:rsidRDefault="00F23D54" w:rsidP="00F14CD9">
      <w:pPr>
        <w:spacing w:after="120"/>
        <w:jc w:val="both"/>
      </w:pPr>
      <w:r w:rsidRPr="00566CD3">
        <w:t>Não será constituído fundo de manutenção de liquidez ou firmado contrato de garantia de liquidez ou estabilização de preço para as Debêntures. Não será constituído fundo de amortização para a presente Emissão.</w:t>
      </w:r>
    </w:p>
    <w:p w14:paraId="60A9AEB0" w14:textId="77777777" w:rsidR="002E5FAE" w:rsidRPr="00566CD3" w:rsidRDefault="002E5FAE" w:rsidP="002E5FAE">
      <w:pPr>
        <w:pStyle w:val="Ttulo3"/>
        <w:spacing w:after="140" w:line="290" w:lineRule="auto"/>
        <w:jc w:val="both"/>
        <w:rPr>
          <w:i/>
        </w:rPr>
      </w:pPr>
      <w:bookmarkStart w:id="125" w:name="_Toc460016395"/>
      <w:bookmarkStart w:id="126" w:name="_Toc87002521"/>
      <w:bookmarkStart w:id="127" w:name="_Toc90045097"/>
      <w:bookmarkStart w:id="128" w:name="_Toc95928411"/>
      <w:r w:rsidRPr="00566CD3">
        <w:rPr>
          <w:i/>
        </w:rPr>
        <w:t>Público-alvo da Oferta</w:t>
      </w:r>
      <w:bookmarkEnd w:id="125"/>
      <w:bookmarkEnd w:id="126"/>
      <w:bookmarkEnd w:id="127"/>
      <w:bookmarkEnd w:id="128"/>
    </w:p>
    <w:p w14:paraId="689F85F4" w14:textId="77777777" w:rsidR="002E5FAE" w:rsidRPr="00D8141D" w:rsidRDefault="002E5FAE" w:rsidP="002E5FAE">
      <w:pPr>
        <w:pStyle w:val="HOMEBRBodyText"/>
        <w:keepLines w:val="0"/>
        <w:widowControl w:val="0"/>
        <w:spacing w:after="140" w:line="290" w:lineRule="auto"/>
        <w:jc w:val="both"/>
        <w:rPr>
          <w:rFonts w:cs="Calibri"/>
          <w:lang w:val="pt-BR"/>
        </w:rPr>
      </w:pPr>
      <w:r w:rsidRPr="00D8141D">
        <w:rPr>
          <w:rFonts w:cs="Calibri"/>
          <w:lang w:val="pt-BR"/>
        </w:rPr>
        <w:t>O Público-alvo da Oferta, levando-se sempre em conta o perfil de risco dos seus destinatários, será composto pelos Investidores da Oferta.</w:t>
      </w:r>
    </w:p>
    <w:p w14:paraId="4AE2D0AF" w14:textId="77777777" w:rsidR="00F23D54" w:rsidRPr="00566CD3" w:rsidRDefault="00F23D54" w:rsidP="009E2BE2">
      <w:pPr>
        <w:pStyle w:val="Ttulo3"/>
        <w:spacing w:after="140" w:line="290" w:lineRule="auto"/>
        <w:jc w:val="both"/>
        <w:rPr>
          <w:i/>
        </w:rPr>
      </w:pPr>
      <w:bookmarkStart w:id="129" w:name="_Ref90046125"/>
      <w:bookmarkStart w:id="130" w:name="_Ref90059565"/>
      <w:bookmarkStart w:id="131" w:name="_Toc90045098"/>
      <w:bookmarkStart w:id="132" w:name="_Toc95928412"/>
      <w:r w:rsidRPr="00566CD3">
        <w:rPr>
          <w:i/>
        </w:rPr>
        <w:t>Coleta de Intenções de Investimento de Investimento (Procedimento de Bookbuilding)</w:t>
      </w:r>
      <w:bookmarkEnd w:id="129"/>
      <w:bookmarkEnd w:id="130"/>
      <w:bookmarkEnd w:id="131"/>
      <w:bookmarkEnd w:id="132"/>
      <w:r w:rsidRPr="00566CD3">
        <w:rPr>
          <w:i/>
        </w:rPr>
        <w:t xml:space="preserve"> </w:t>
      </w:r>
    </w:p>
    <w:p w14:paraId="7A6CAAC1" w14:textId="481AB985" w:rsidR="00F23D54" w:rsidRPr="00566CD3" w:rsidRDefault="00CE6B86" w:rsidP="00F23D54">
      <w:pPr>
        <w:jc w:val="both"/>
      </w:pPr>
      <w:r w:rsidRPr="00566CD3">
        <w:t>Foi adotado</w:t>
      </w:r>
      <w:r w:rsidR="00F23D54" w:rsidRPr="00566CD3">
        <w:t xml:space="preserve"> o Procedimento de </w:t>
      </w:r>
      <w:r w:rsidRPr="00566CD3">
        <w:t>coleta de intenções de investimento</w:t>
      </w:r>
      <w:r w:rsidR="00F23D54" w:rsidRPr="00566CD3">
        <w:t>, nos termos dos parágrafos 1º e 2º do artigo 23 e do artigo 44 da Instrução CVM 400, com recebimento de reservas durante o Período de Reserva</w:t>
      </w:r>
      <w:r w:rsidRPr="00566CD3">
        <w:t xml:space="preserve"> (conforme abaixo definido),</w:t>
      </w:r>
      <w:r w:rsidR="00F23D54" w:rsidRPr="00566CD3">
        <w:t xml:space="preserve"> sem lotes mínimos ou máximos, para verificação da demanda pelas Debêntures em diferentes níveis de </w:t>
      </w:r>
      <w:r w:rsidRPr="00566CD3">
        <w:t>taxa</w:t>
      </w:r>
      <w:r w:rsidR="00F23D54" w:rsidRPr="00566CD3">
        <w:t xml:space="preserve"> de juros, </w:t>
      </w:r>
      <w:r w:rsidRPr="00566CD3">
        <w:t>o que definiu</w:t>
      </w:r>
      <w:r w:rsidR="00F23D54" w:rsidRPr="00566CD3">
        <w:t xml:space="preserve">, de comum acordo com a Emissora: </w:t>
      </w:r>
      <w:r w:rsidR="00F23D54" w:rsidRPr="00566CD3">
        <w:rPr>
          <w:b/>
        </w:rPr>
        <w:t>(i)</w:t>
      </w:r>
      <w:r w:rsidR="00F23D54" w:rsidRPr="00566CD3">
        <w:t xml:space="preserve"> a existência de demanda para a colocação da totalidade das Debêntures, </w:t>
      </w:r>
      <w:r w:rsidRPr="00566CD3">
        <w:t>considerando</w:t>
      </w:r>
      <w:r w:rsidR="00F23D54" w:rsidRPr="00566CD3">
        <w:t xml:space="preserve"> as Debêntures Adicionais, e </w:t>
      </w:r>
      <w:r w:rsidRPr="00566CD3">
        <w:t>definiu</w:t>
      </w:r>
      <w:r w:rsidR="00F23D54" w:rsidRPr="00566CD3">
        <w:t xml:space="preserve"> sobre a realização da Emissão em 2 (duas) séries; </w:t>
      </w:r>
      <w:r w:rsidR="00F23D54" w:rsidRPr="00566CD3">
        <w:rPr>
          <w:b/>
        </w:rPr>
        <w:t xml:space="preserve">(ii) </w:t>
      </w:r>
      <w:r w:rsidR="00F23D54" w:rsidRPr="00566CD3">
        <w:t xml:space="preserve">a emissão e a quantidade de Debêntures da Primeira Série e de Debêntures da Segunda Série; </w:t>
      </w:r>
      <w:r w:rsidR="00F23D54" w:rsidRPr="00566CD3">
        <w:rPr>
          <w:b/>
        </w:rPr>
        <w:t>(iii)</w:t>
      </w:r>
      <w:r w:rsidR="00F23D54" w:rsidRPr="00566CD3">
        <w:t xml:space="preserve"> a taxa final dos Juros Remuneratórios da Primeira Série; </w:t>
      </w:r>
      <w:r w:rsidR="00F23D54" w:rsidRPr="00566CD3">
        <w:rPr>
          <w:b/>
        </w:rPr>
        <w:t>(iv)</w:t>
      </w:r>
      <w:r w:rsidR="00F23D54" w:rsidRPr="00566CD3">
        <w:t xml:space="preserve"> a taxa final dos Juros Remuneratórios da Segunda Série; </w:t>
      </w:r>
      <w:r w:rsidR="00F23D54" w:rsidRPr="00566CD3">
        <w:rPr>
          <w:b/>
        </w:rPr>
        <w:t>(v)</w:t>
      </w:r>
      <w:r w:rsidR="00F23D54" w:rsidRPr="00566CD3">
        <w:t xml:space="preserve"> a colocação das Debêntures Adicionais, bem como </w:t>
      </w:r>
      <w:r w:rsidRPr="00566CD3">
        <w:t>as respectivas séries nas quais foram alocadas</w:t>
      </w:r>
      <w:r w:rsidR="00F23D54" w:rsidRPr="00566CD3">
        <w:t xml:space="preserve"> as Debêntures Adicionais e, consequentemente, a quantidade de Debêntures </w:t>
      </w:r>
      <w:r w:rsidRPr="00566CD3">
        <w:t>que foi</w:t>
      </w:r>
      <w:r w:rsidR="00F23D54" w:rsidRPr="00566CD3">
        <w:t xml:space="preserve"> alocada em cada uma das Séries</w:t>
      </w:r>
      <w:r w:rsidRPr="00566CD3">
        <w:t xml:space="preserve"> e;</w:t>
      </w:r>
      <w:r w:rsidRPr="00566CD3">
        <w:rPr>
          <w:b/>
        </w:rPr>
        <w:t xml:space="preserve"> (vi) </w:t>
      </w:r>
      <w:r w:rsidRPr="00566CD3">
        <w:t>a alocação das Debêntures entre os Investidores da Oferta</w:t>
      </w:r>
      <w:r w:rsidR="00F23D54" w:rsidRPr="00566CD3">
        <w:t>.</w:t>
      </w:r>
    </w:p>
    <w:p w14:paraId="35DF9E82" w14:textId="77777777" w:rsidR="00F23D54" w:rsidRPr="00566CD3" w:rsidRDefault="00F23D54" w:rsidP="00F23D54">
      <w:pPr>
        <w:jc w:val="both"/>
      </w:pPr>
      <w:r w:rsidRPr="00566CD3">
        <w:t xml:space="preserve">A alocação das Debêntures entre Debêntures da Primeira Série e Debêntures da Segunda Série </w:t>
      </w:r>
      <w:r w:rsidR="00CE6B86" w:rsidRPr="00566CD3">
        <w:t>foi</w:t>
      </w:r>
      <w:r w:rsidRPr="00566CD3">
        <w:t xml:space="preserve"> realizada no Sistema de Vasos Comunicantes, ou seja, a alocação da quantidade total de Debêntures entre Debêntures de Primeira Série e Debêntures de Segunda Série, </w:t>
      </w:r>
      <w:r w:rsidR="00CE6B86" w:rsidRPr="00566CD3">
        <w:t>foi</w:t>
      </w:r>
      <w:r w:rsidRPr="00566CD3">
        <w:t xml:space="preserve"> definida no Procedimento de </w:t>
      </w:r>
      <w:r w:rsidRPr="00566CD3">
        <w:rPr>
          <w:i/>
        </w:rPr>
        <w:t>Bookbuil</w:t>
      </w:r>
      <w:r w:rsidR="00F340FE" w:rsidRPr="00566CD3">
        <w:rPr>
          <w:i/>
        </w:rPr>
        <w:t>d</w:t>
      </w:r>
      <w:r w:rsidRPr="00566CD3">
        <w:rPr>
          <w:i/>
        </w:rPr>
        <w:t>ing</w:t>
      </w:r>
      <w:r w:rsidRPr="00566CD3">
        <w:t>, observado que  o somatório das Debêntures da Primeira Série e das Debêntures da Segunda Série não excederá o Valor Total da Emissão, observada a  emissão das Debêntures Adicionais.</w:t>
      </w:r>
    </w:p>
    <w:p w14:paraId="5ED0A662" w14:textId="77777777" w:rsidR="00F23D54" w:rsidRPr="00566CD3" w:rsidRDefault="00CE6B86" w:rsidP="00F23D54">
      <w:pPr>
        <w:jc w:val="both"/>
      </w:pPr>
      <w:r w:rsidRPr="00566CD3">
        <w:t>Participaram</w:t>
      </w:r>
      <w:r w:rsidR="00F23D54" w:rsidRPr="00566CD3">
        <w:t xml:space="preserve"> do Procedimento de </w:t>
      </w:r>
      <w:r w:rsidR="00F23D54" w:rsidRPr="00566CD3">
        <w:rPr>
          <w:i/>
        </w:rPr>
        <w:t>Bookbuilding</w:t>
      </w:r>
      <w:r w:rsidR="00F23D54" w:rsidRPr="00566CD3">
        <w:t xml:space="preserve"> para definição dos Juros Remuneratórios e alocação das Debêntures entre as Séries exclusivamente Investidores Institucionais. Nesse sentido, os Investidores Não Institucionais não </w:t>
      </w:r>
      <w:r w:rsidRPr="00566CD3">
        <w:t>participaram</w:t>
      </w:r>
      <w:r w:rsidR="00F23D54" w:rsidRPr="00566CD3">
        <w:t xml:space="preserve"> do Procedimento de </w:t>
      </w:r>
      <w:r w:rsidR="00F23D54" w:rsidRPr="00566CD3">
        <w:rPr>
          <w:i/>
        </w:rPr>
        <w:t>Bookbuilding</w:t>
      </w:r>
      <w:r w:rsidR="00F23D54" w:rsidRPr="00566CD3">
        <w:t xml:space="preserve"> para a definição dos Juros Remuneratórios e alocação das Debêntures entre as Séries.</w:t>
      </w:r>
    </w:p>
    <w:p w14:paraId="058BF08C" w14:textId="3BFA29FF" w:rsidR="00F23D54" w:rsidRPr="00566CD3" w:rsidRDefault="00F23D54" w:rsidP="00F23D54">
      <w:pPr>
        <w:jc w:val="both"/>
      </w:pPr>
      <w:r w:rsidRPr="00566CD3">
        <w:t xml:space="preserve">Ao final do Procedimento de </w:t>
      </w:r>
      <w:r w:rsidRPr="00566CD3">
        <w:rPr>
          <w:i/>
        </w:rPr>
        <w:t>Bookbuilding</w:t>
      </w:r>
      <w:r w:rsidRPr="00566CD3">
        <w:t xml:space="preserve">, a Emissora </w:t>
      </w:r>
      <w:r w:rsidR="00CE6B86" w:rsidRPr="00566CD3">
        <w:t>ratificou</w:t>
      </w:r>
      <w:r w:rsidRPr="00566CD3">
        <w:t xml:space="preserve"> </w:t>
      </w:r>
      <w:r w:rsidRPr="00566CD3">
        <w:rPr>
          <w:b/>
        </w:rPr>
        <w:t xml:space="preserve">(i) </w:t>
      </w:r>
      <w:r w:rsidRPr="00566CD3">
        <w:t xml:space="preserve">a quantidade de Séries; </w:t>
      </w:r>
      <w:r w:rsidRPr="00566CD3">
        <w:rPr>
          <w:b/>
        </w:rPr>
        <w:t xml:space="preserve">(ii) </w:t>
      </w:r>
      <w:r w:rsidRPr="00566CD3">
        <w:t xml:space="preserve">a taxa final dos Juros Remuneratórios; </w:t>
      </w:r>
      <w:r w:rsidRPr="00566CD3">
        <w:rPr>
          <w:b/>
        </w:rPr>
        <w:t xml:space="preserve">(iii) </w:t>
      </w:r>
      <w:r w:rsidRPr="00566CD3">
        <w:t xml:space="preserve">a alocação das Debêntures entre as Séries; e </w:t>
      </w:r>
      <w:r w:rsidRPr="00566CD3">
        <w:rPr>
          <w:b/>
        </w:rPr>
        <w:t xml:space="preserve">(iv) </w:t>
      </w:r>
      <w:r w:rsidRPr="00566CD3">
        <w:t>a colocação das Debêntures Adicionais e as respectiva</w:t>
      </w:r>
      <w:r w:rsidR="00CE6B86" w:rsidRPr="00566CD3">
        <w:t>s</w:t>
      </w:r>
      <w:r w:rsidRPr="00566CD3">
        <w:t xml:space="preserve"> Série</w:t>
      </w:r>
      <w:r w:rsidR="00CE6B86" w:rsidRPr="00566CD3">
        <w:t>s</w:t>
      </w:r>
      <w:r w:rsidRPr="00566CD3">
        <w:t xml:space="preserve"> de alocação das Debêntures Adicionais, por meio de aditamento à Escritura de Emissão, que </w:t>
      </w:r>
      <w:r w:rsidR="00411FBD" w:rsidRPr="00566CD3">
        <w:t>foi</w:t>
      </w:r>
      <w:r w:rsidRPr="00566CD3">
        <w:t xml:space="preserve"> </w:t>
      </w:r>
      <w:r w:rsidR="003A6908">
        <w:rPr>
          <w:rFonts w:cs="Calibri"/>
        </w:rPr>
        <w:t>inscrito</w:t>
      </w:r>
      <w:r w:rsidR="003A6908" w:rsidRPr="00566CD3">
        <w:t xml:space="preserve"> </w:t>
      </w:r>
      <w:r w:rsidRPr="00566CD3">
        <w:t>na JUCESP</w:t>
      </w:r>
      <w:r w:rsidR="00411FBD" w:rsidRPr="00566CD3">
        <w:t xml:space="preserve"> em </w:t>
      </w:r>
      <w:r w:rsidR="00C80BEC">
        <w:rPr>
          <w:rFonts w:cs="Calibri"/>
          <w:kern w:val="16"/>
          <w:lang w:eastAsia="pt-BR"/>
        </w:rPr>
        <w:t>24</w:t>
      </w:r>
      <w:r w:rsidR="00C80BEC" w:rsidRPr="00566CD3">
        <w:t xml:space="preserve"> </w:t>
      </w:r>
      <w:r w:rsidR="00411FBD" w:rsidRPr="00566CD3">
        <w:t xml:space="preserve">de </w:t>
      </w:r>
      <w:r w:rsidR="00C80BEC">
        <w:rPr>
          <w:rFonts w:cs="Calibri"/>
          <w:kern w:val="16"/>
          <w:lang w:eastAsia="pt-BR"/>
        </w:rPr>
        <w:t>fevereiro</w:t>
      </w:r>
      <w:r w:rsidR="00C80BEC" w:rsidRPr="00566CD3">
        <w:t xml:space="preserve"> </w:t>
      </w:r>
      <w:r w:rsidR="00411FBD" w:rsidRPr="00566CD3">
        <w:t xml:space="preserve">de 2022 sob o nº </w:t>
      </w:r>
      <w:r w:rsidR="00C80BEC" w:rsidRPr="00C80BEC">
        <w:rPr>
          <w:rFonts w:cs="Calibri"/>
          <w:kern w:val="16"/>
          <w:lang w:eastAsia="pt-BR"/>
        </w:rPr>
        <w:t>AD004311-4/001</w:t>
      </w:r>
      <w:r w:rsidRPr="0082022E">
        <w:rPr>
          <w:rFonts w:cs="Calibri"/>
        </w:rPr>
        <w:t>,</w:t>
      </w:r>
      <w:r w:rsidRPr="00566CD3">
        <w:t xml:space="preserve"> sem necessidade de nova aprovação societária pela Emissora, nos termos da </w:t>
      </w:r>
      <w:r w:rsidRPr="00566CD3">
        <w:lastRenderedPageBreak/>
        <w:t xml:space="preserve">RCA da Emissão, ou de realização de Assembleia Geral de Debenturistas. O resultado do Procedimento de </w:t>
      </w:r>
      <w:r w:rsidRPr="00566CD3">
        <w:rPr>
          <w:i/>
        </w:rPr>
        <w:t xml:space="preserve">Bookbuilding </w:t>
      </w:r>
      <w:r w:rsidR="00D9463E" w:rsidRPr="00566CD3">
        <w:t>foi</w:t>
      </w:r>
      <w:r w:rsidRPr="00566CD3">
        <w:t xml:space="preserve"> divulgado por meio do </w:t>
      </w:r>
      <w:r w:rsidR="00D9463E" w:rsidRPr="00566CD3">
        <w:t>Comunicado ao Mercado</w:t>
      </w:r>
      <w:r w:rsidRPr="00566CD3">
        <w:t>, nos termos do artigo 23, parágrafo 2º, da Instrução CVM 400.</w:t>
      </w:r>
    </w:p>
    <w:p w14:paraId="6497D066" w14:textId="77777777" w:rsidR="00F23D54" w:rsidRPr="00566CD3" w:rsidRDefault="00F23D54" w:rsidP="00F23D54">
      <w:pPr>
        <w:jc w:val="both"/>
      </w:pPr>
      <w:r w:rsidRPr="00566CD3">
        <w:t xml:space="preserve">Nos termos do artigo 55 da Instrução CVM 400, </w:t>
      </w:r>
      <w:r w:rsidR="00B5101D" w:rsidRPr="00566CD3">
        <w:t>foi</w:t>
      </w:r>
      <w:r w:rsidRPr="00566CD3">
        <w:t xml:space="preserve"> aceita a participação de Investidores que sejam </w:t>
      </w:r>
      <w:r w:rsidR="00B5101D" w:rsidRPr="00566CD3">
        <w:t xml:space="preserve">considerados </w:t>
      </w:r>
      <w:r w:rsidRPr="00566CD3">
        <w:t xml:space="preserve">Pessoas Vinculadas. Caso </w:t>
      </w:r>
      <w:r w:rsidR="00EE375F" w:rsidRPr="00566CD3">
        <w:t>fosse</w:t>
      </w:r>
      <w:r w:rsidRPr="00566CD3">
        <w:t xml:space="preserve"> verificado excesso de demanda superior em 1/3 (um terço) à quantidade de Debêntures inicialmente ofertada (sem considerar as Debêntures Adicionais), não </w:t>
      </w:r>
      <w:r w:rsidR="00EE375F" w:rsidRPr="00566CD3">
        <w:t>seria</w:t>
      </w:r>
      <w:r w:rsidRPr="00566CD3">
        <w:t xml:space="preserve"> permitida a colocação de Debêntures junto aos Investidores da Oferta que sejam Pessoas Vinculadas, sendo suas ordens de investimento ou Pedidos de Reserva, conforme o caso, automaticamente cancelados.</w:t>
      </w:r>
    </w:p>
    <w:p w14:paraId="2F22B2F8" w14:textId="77777777" w:rsidR="00F23D54" w:rsidRPr="00566CD3" w:rsidRDefault="00F23D54" w:rsidP="00F23D54">
      <w:pPr>
        <w:jc w:val="both"/>
      </w:pPr>
      <w:r w:rsidRPr="00566CD3">
        <w:t>São consideradas “</w:t>
      </w:r>
      <w:r w:rsidRPr="00566CD3">
        <w:rPr>
          <w:u w:val="single"/>
        </w:rPr>
        <w:t>Pessoas Vinculadas</w:t>
      </w:r>
      <w:r w:rsidRPr="00566CD3">
        <w:t xml:space="preserve">”: </w:t>
      </w:r>
      <w:r w:rsidRPr="00566CD3">
        <w:rPr>
          <w:b/>
        </w:rPr>
        <w:t xml:space="preserve">(i) </w:t>
      </w:r>
      <w:r w:rsidRPr="00566CD3">
        <w:t xml:space="preserve">controladores pessoa física ou jurídica ou administradores da Emissora, de sua controladora e/ou de suas controladas ou outras pessoas vinculadas à Emissão e à Oferta, bem seus cônjuges ou companheiros, seus ascendentes, descendentes e colaterais até o 2º (segundo) grau; </w:t>
      </w:r>
      <w:r w:rsidRPr="00566CD3">
        <w:rPr>
          <w:b/>
        </w:rPr>
        <w:t>(ii)</w:t>
      </w:r>
      <w:r w:rsidRPr="00566CD3">
        <w:t xml:space="preserve"> controladores pessoa física ou jurídica ou administradores das Instituições Participantes da Oferta; </w:t>
      </w:r>
      <w:r w:rsidRPr="00566CD3">
        <w:rPr>
          <w:b/>
        </w:rPr>
        <w:t>(iii)</w:t>
      </w:r>
      <w:r w:rsidRPr="00566CD3">
        <w:t xml:space="preserve"> administradores, funcionários, operadores e demais prepostos da Emissora e/ou das Instituições Participantes da Oferta, que desempenhem atividades de intermediação ou de suporte operacional diretamente envolvidos na Oferta; </w:t>
      </w:r>
      <w:r w:rsidRPr="00566CD3">
        <w:rPr>
          <w:b/>
        </w:rPr>
        <w:t xml:space="preserve">(iv) </w:t>
      </w:r>
      <w:r w:rsidRPr="00566CD3">
        <w:t xml:space="preserve">agentes autônomos que prestem serviços à Emissora e/ou às Instituições Participantes da Oferta; </w:t>
      </w:r>
      <w:r w:rsidRPr="00566CD3">
        <w:rPr>
          <w:b/>
        </w:rPr>
        <w:t>(v)</w:t>
      </w:r>
      <w:r w:rsidRPr="00566CD3">
        <w:t xml:space="preserve"> demais profissionais que mantenham, com a Emissora e/ou as Instituições Participantes da Oferta, contrato de prestação de serviços diretamente relacionados à atividade de intermediação ou de suporte operacional no âmbito da Oferta; </w:t>
      </w:r>
      <w:r w:rsidRPr="00566CD3">
        <w:rPr>
          <w:b/>
        </w:rPr>
        <w:t>(vi)</w:t>
      </w:r>
      <w:r w:rsidRPr="00566CD3">
        <w:t xml:space="preserve"> sociedades controladas, direta ou indiretamente, pela Emissora ou por pessoas a ela vinculadas; </w:t>
      </w:r>
      <w:r w:rsidRPr="00566CD3">
        <w:rPr>
          <w:b/>
        </w:rPr>
        <w:t>(vii)</w:t>
      </w:r>
      <w:r w:rsidRPr="00566CD3">
        <w:t xml:space="preserve"> sociedades controladas, direta ou indiretamente, por pessoas vinculadas às Instituições Participantes da Oferta, desde que diretamente envolvidas na Oferta; </w:t>
      </w:r>
      <w:r w:rsidRPr="00566CD3">
        <w:rPr>
          <w:b/>
        </w:rPr>
        <w:t>(viii)</w:t>
      </w:r>
      <w:r w:rsidRPr="00566CD3">
        <w:t xml:space="preserve"> cônjuges ou companheiro e filhos menores das pessoas mencionadas nos itens "ii" a "v"; e </w:t>
      </w:r>
      <w:r w:rsidRPr="00566CD3">
        <w:rPr>
          <w:b/>
        </w:rPr>
        <w:t>(ix)</w:t>
      </w:r>
      <w:r w:rsidRPr="00566CD3">
        <w:t xml:space="preserve"> clubes e fundos de investimento cuja maioria das cotas pertença a pessoas vinculadas, salvo se geridos discricionariamente por terceiros não vinculados, nos termos do artigo 55 da Instrução CVM 400 e do artigo 2º, inciso XII, da Resolução da CVM nº 35, de 26 de maio de 2021, conforme alterada.</w:t>
      </w:r>
    </w:p>
    <w:p w14:paraId="6138ACBB" w14:textId="77777777" w:rsidR="00F23D54" w:rsidRPr="00566CD3" w:rsidRDefault="00F23D54" w:rsidP="00F23D54">
      <w:pPr>
        <w:jc w:val="both"/>
      </w:pPr>
      <w:r w:rsidRPr="00566CD3">
        <w:t xml:space="preserve">Os Investidores da Oferta, inclusive aqueles considerados Pessoas Vinculadas, </w:t>
      </w:r>
      <w:r w:rsidR="00B5101D" w:rsidRPr="00566CD3">
        <w:t>puderam</w:t>
      </w:r>
      <w:r w:rsidRPr="00566CD3">
        <w:t xml:space="preserve"> apresentar suas ordens de investimento por meio de um ou mais Pedidos de Reserva, durante </w:t>
      </w:r>
      <w:r w:rsidR="00DB205D" w:rsidRPr="00566CD3">
        <w:t>o</w:t>
      </w:r>
      <w:r w:rsidRPr="00566CD3">
        <w:t xml:space="preserve"> Período </w:t>
      </w:r>
      <w:r w:rsidR="00DB205D" w:rsidRPr="00566CD3">
        <w:t>de</w:t>
      </w:r>
      <w:r w:rsidRPr="00566CD3">
        <w:t xml:space="preserve"> Reserva. </w:t>
      </w:r>
      <w:r w:rsidR="003568F5" w:rsidRPr="00566CD3">
        <w:t>O</w:t>
      </w:r>
      <w:r w:rsidRPr="00566CD3">
        <w:t xml:space="preserve"> Prospecto Preliminar </w:t>
      </w:r>
      <w:r w:rsidR="003568F5" w:rsidRPr="00566CD3">
        <w:t>est</w:t>
      </w:r>
      <w:r w:rsidR="007F4E17" w:rsidRPr="00566CD3">
        <w:t>á</w:t>
      </w:r>
      <w:r w:rsidRPr="00566CD3">
        <w:t xml:space="preserve"> disponível nos mesmos locais em que </w:t>
      </w:r>
      <w:r w:rsidR="0065388F" w:rsidRPr="00566CD3">
        <w:t>está sendo</w:t>
      </w:r>
      <w:r w:rsidRPr="00566CD3">
        <w:t xml:space="preserve"> disponibilizado </w:t>
      </w:r>
      <w:r w:rsidR="0065388F" w:rsidRPr="00566CD3">
        <w:t>este</w:t>
      </w:r>
      <w:r w:rsidRPr="00566CD3">
        <w:t xml:space="preserve"> Prospecto Definitivo pelo menos 5 (cinco) Dias Úteis antes do prazo inicial para o recebimento dos Pedidos de Reserva</w:t>
      </w:r>
      <w:r w:rsidR="00127516" w:rsidRPr="00566CD3">
        <w:t>.</w:t>
      </w:r>
    </w:p>
    <w:p w14:paraId="56477D90" w14:textId="77777777" w:rsidR="003A4F08" w:rsidRPr="00566CD3" w:rsidRDefault="003A4F08" w:rsidP="00F14CD9">
      <w:pPr>
        <w:spacing w:after="120"/>
        <w:jc w:val="both"/>
      </w:pPr>
      <w:bookmarkStart w:id="133" w:name="_Hlk63154895"/>
      <w:r w:rsidRPr="00566CD3">
        <w:t xml:space="preserve">A Emissora e o Coordenador Líder </w:t>
      </w:r>
      <w:r w:rsidR="00DB205D" w:rsidRPr="00566CD3">
        <w:t>dispensaram a</w:t>
      </w:r>
      <w:r w:rsidRPr="00566CD3">
        <w:t xml:space="preserve"> apresentação do boletim de subscrição nos termos do artigo 4º, parágrafo 3º, da Instrução CVM 400, conforme alternativa do </w:t>
      </w:r>
      <w:r w:rsidR="00DB205D" w:rsidRPr="00566CD3">
        <w:t>artigo 1º</w:t>
      </w:r>
      <w:r w:rsidRPr="00566CD3">
        <w:t xml:space="preserve"> da </w:t>
      </w:r>
      <w:r w:rsidR="00DB205D" w:rsidRPr="00566CD3">
        <w:t>Resolução</w:t>
      </w:r>
      <w:r w:rsidRPr="00566CD3">
        <w:t xml:space="preserve"> CVM nº </w:t>
      </w:r>
      <w:r w:rsidR="00DB205D" w:rsidRPr="00566CD3">
        <w:t>27</w:t>
      </w:r>
      <w:r w:rsidRPr="00566CD3">
        <w:t xml:space="preserve">, de </w:t>
      </w:r>
      <w:r w:rsidR="00DB205D" w:rsidRPr="00566CD3">
        <w:t>08</w:t>
      </w:r>
      <w:r w:rsidRPr="00566CD3">
        <w:t xml:space="preserve"> de </w:t>
      </w:r>
      <w:r w:rsidR="00DB205D" w:rsidRPr="00566CD3">
        <w:t>abril</w:t>
      </w:r>
      <w:r w:rsidRPr="00566CD3">
        <w:t xml:space="preserve"> de </w:t>
      </w:r>
      <w:r w:rsidR="00DB205D" w:rsidRPr="00566CD3">
        <w:t>2021</w:t>
      </w:r>
      <w:r w:rsidRPr="00566CD3">
        <w:t>.</w:t>
      </w:r>
      <w:bookmarkEnd w:id="133"/>
    </w:p>
    <w:p w14:paraId="0FA8F247" w14:textId="77777777" w:rsidR="00127516" w:rsidRPr="00566CD3" w:rsidRDefault="00DB205D" w:rsidP="009E2BE2">
      <w:pPr>
        <w:pStyle w:val="Ttulo3"/>
        <w:spacing w:after="140" w:line="290" w:lineRule="auto"/>
        <w:jc w:val="both"/>
        <w:rPr>
          <w:i/>
        </w:rPr>
      </w:pPr>
      <w:r w:rsidRPr="00566CD3">
        <w:t xml:space="preserve"> </w:t>
      </w:r>
      <w:bookmarkStart w:id="134" w:name="_Toc90045099"/>
      <w:bookmarkStart w:id="135" w:name="_Toc95928413"/>
      <w:r w:rsidR="00127516" w:rsidRPr="00566CD3">
        <w:rPr>
          <w:i/>
        </w:rPr>
        <w:t>Debêntures Adicionais</w:t>
      </w:r>
      <w:bookmarkEnd w:id="134"/>
      <w:bookmarkEnd w:id="135"/>
    </w:p>
    <w:p w14:paraId="20AF6BB3" w14:textId="09AF5A50" w:rsidR="00A142EF" w:rsidRPr="0082022E" w:rsidRDefault="00A142EF" w:rsidP="00A142EF">
      <w:pPr>
        <w:jc w:val="both"/>
      </w:pPr>
      <w:r w:rsidRPr="0082022E">
        <w:t xml:space="preserve">Nos termos do parágrafo 2º do artigo 14 da Instrução CVM 400, a quantidade de Debêntures inicialmente ofertada foi aumentada em até 20% (vinte por cento), ou seja, em até 200.000 (duzentas mil) Debêntures Adicionais, nas mesmas condições das Debêntures inicialmente </w:t>
      </w:r>
      <w:r w:rsidRPr="0082022E">
        <w:lastRenderedPageBreak/>
        <w:t>ofertadas, sem a necessidade de novo pedido de registro à CVM ou modificação dos termos da Oferta</w:t>
      </w:r>
      <w:r w:rsidRPr="0082022E">
        <w:rPr>
          <w:i/>
          <w:iCs/>
        </w:rPr>
        <w:t>.</w:t>
      </w:r>
      <w:r w:rsidRPr="0082022E">
        <w:t xml:space="preserve"> A critério do Coordenador Líder e da Emissora, em conjunto, conforme verificado pelo Procedimento de</w:t>
      </w:r>
      <w:r w:rsidRPr="0082022E">
        <w:rPr>
          <w:i/>
          <w:iCs/>
        </w:rPr>
        <w:t xml:space="preserve"> Bookbuilding</w:t>
      </w:r>
      <w:r w:rsidRPr="0082022E">
        <w:t>, as Debêntures Adicionais foram Debêntures da Primeira Série e Debêntures da Segunda Série. As Debêntures Adicionais emitidas passarão a ter as mesmas características da Debêntures inicialmente ofertadas e passarão a integrar o conceito de “Debêntures” e serão colocadas sob o regime de melhores esforços de colocação pelo Coordenador Líder.</w:t>
      </w:r>
    </w:p>
    <w:p w14:paraId="00E801EB" w14:textId="5DBFA0ED" w:rsidR="00127516" w:rsidRPr="00566CD3" w:rsidRDefault="00127516" w:rsidP="00F14CD9">
      <w:pPr>
        <w:spacing w:after="120"/>
        <w:jc w:val="both"/>
      </w:pPr>
      <w:r w:rsidRPr="00566CD3">
        <w:t>C</w:t>
      </w:r>
      <w:r w:rsidR="00B5101D" w:rsidRPr="00566CD3">
        <w:t>onsiderando que ocorreu</w:t>
      </w:r>
      <w:r w:rsidRPr="00566CD3">
        <w:t xml:space="preserve"> o aumento na quantidade de Debêntures originalmente ofertada, conforme previsto acima, a Escritura de Emissão </w:t>
      </w:r>
      <w:r w:rsidR="00CC35CD" w:rsidRPr="00566CD3">
        <w:t>foi</w:t>
      </w:r>
      <w:r w:rsidRPr="00566CD3">
        <w:t xml:space="preserve"> aditada de maneira a refletir a quantidade de Debêntures efetivamente emitida, mediante a celebração </w:t>
      </w:r>
      <w:r w:rsidR="00D9463E" w:rsidRPr="00566CD3">
        <w:t>do Primeiro</w:t>
      </w:r>
      <w:r w:rsidRPr="00566CD3">
        <w:t xml:space="preserve"> aditamento à Escritura de Emissão, que </w:t>
      </w:r>
      <w:r w:rsidR="00CC35CD" w:rsidRPr="00566CD3">
        <w:t xml:space="preserve">foi </w:t>
      </w:r>
      <w:r w:rsidR="003A6908">
        <w:rPr>
          <w:rFonts w:cs="Calibri"/>
        </w:rPr>
        <w:t>inscrito</w:t>
      </w:r>
      <w:r w:rsidR="003A6908" w:rsidRPr="00566CD3">
        <w:t xml:space="preserve"> </w:t>
      </w:r>
      <w:r w:rsidRPr="00566CD3">
        <w:t>na JUCESP</w:t>
      </w:r>
      <w:r w:rsidR="00CC35CD" w:rsidRPr="00566CD3">
        <w:t xml:space="preserve">, em </w:t>
      </w:r>
      <w:r w:rsidR="00C80BEC">
        <w:rPr>
          <w:rFonts w:cs="Calibri"/>
          <w:kern w:val="16"/>
          <w:lang w:eastAsia="pt-BR"/>
        </w:rPr>
        <w:t>24</w:t>
      </w:r>
      <w:r w:rsidR="00C80BEC" w:rsidRPr="00566CD3">
        <w:t xml:space="preserve"> </w:t>
      </w:r>
      <w:r w:rsidR="00CC35CD" w:rsidRPr="00566CD3">
        <w:t xml:space="preserve">de </w:t>
      </w:r>
      <w:r w:rsidR="00C80BEC">
        <w:rPr>
          <w:rFonts w:cs="Calibri"/>
          <w:kern w:val="16"/>
          <w:lang w:eastAsia="pt-BR"/>
        </w:rPr>
        <w:t>fevereiro</w:t>
      </w:r>
      <w:r w:rsidR="00C80BEC" w:rsidRPr="00566CD3">
        <w:t xml:space="preserve"> </w:t>
      </w:r>
      <w:r w:rsidR="00CC35CD" w:rsidRPr="00566CD3">
        <w:t>de 2022</w:t>
      </w:r>
      <w:r w:rsidR="002B2F2F" w:rsidRPr="00566CD3">
        <w:t xml:space="preserve"> sob o nº </w:t>
      </w:r>
      <w:r w:rsidR="00C80BEC" w:rsidRPr="00C80BEC">
        <w:rPr>
          <w:rFonts w:cs="Calibri"/>
          <w:kern w:val="16"/>
          <w:lang w:eastAsia="pt-BR"/>
        </w:rPr>
        <w:t>AD004311-4/001</w:t>
      </w:r>
      <w:r w:rsidRPr="0082022E">
        <w:rPr>
          <w:rFonts w:cs="Calibri"/>
        </w:rPr>
        <w:t>,</w:t>
      </w:r>
      <w:r w:rsidRPr="00566CD3">
        <w:t xml:space="preserve"> sem necessidade de nova aprovação societária pela Emissora, nos termos da RCA, ou de realização de Assembleia Geral de Debenturistas.</w:t>
      </w:r>
    </w:p>
    <w:p w14:paraId="5F9E50C3" w14:textId="77777777" w:rsidR="00A12818" w:rsidRPr="00566CD3" w:rsidRDefault="00A12818" w:rsidP="00F14CD9">
      <w:pPr>
        <w:pStyle w:val="Ttulo3"/>
        <w:spacing w:after="140" w:line="290" w:lineRule="auto"/>
        <w:jc w:val="both"/>
      </w:pPr>
      <w:bookmarkStart w:id="136" w:name="_Toc90045100"/>
      <w:bookmarkStart w:id="137" w:name="_Toc95928414"/>
      <w:r w:rsidRPr="00566CD3">
        <w:t>Preço de Subscrição</w:t>
      </w:r>
      <w:bookmarkEnd w:id="136"/>
      <w:bookmarkEnd w:id="137"/>
      <w:r w:rsidRPr="00566CD3">
        <w:t xml:space="preserve"> </w:t>
      </w:r>
    </w:p>
    <w:p w14:paraId="578D321D" w14:textId="6FA075E2" w:rsidR="00A12818" w:rsidRPr="00566CD3" w:rsidRDefault="00A12818" w:rsidP="00A12818">
      <w:pPr>
        <w:jc w:val="both"/>
      </w:pPr>
      <w:r w:rsidRPr="00566CD3">
        <w:t xml:space="preserve">O Preço </w:t>
      </w:r>
      <w:r w:rsidR="00A76890">
        <w:t>d</w:t>
      </w:r>
      <w:r w:rsidRPr="0082022E">
        <w:t>e</w:t>
      </w:r>
      <w:r w:rsidRPr="00566CD3">
        <w:t xml:space="preserve"> Subscrição de cada uma das Debêntures na Primeira Data de Integralização será o seu Valor Nominal Unitário (conforme abaixo definido) e, caso ocorra a subscrição e integralização das Debênture em mais de uma data, o preço de subscrição para as Debêntures que forem integralizadas após a Primeira Data de Integralização será o Valor Nominal </w:t>
      </w:r>
      <w:r w:rsidR="009D09A0" w:rsidRPr="00566CD3">
        <w:t xml:space="preserve">Unitário </w:t>
      </w:r>
      <w:r w:rsidRPr="00566CD3">
        <w:t xml:space="preserve">Atualizado das Debêntures acrescido dos Juros Remuneratórios da respectiva Série, calculados </w:t>
      </w:r>
      <w:r w:rsidRPr="00566CD3">
        <w:rPr>
          <w:i/>
        </w:rPr>
        <w:t>pro rata temporis</w:t>
      </w:r>
      <w:r w:rsidRPr="00566CD3">
        <w:t xml:space="preserve"> desde a Primeira Data de Integralização (inclusive), até a data de sua efetiva integralização (exclusive). Em qualquer hipótese, o Preço de Subscrição poderá ser acrescido de ágio ou deságio, utilizando-se 8 (oito) casas decimais, sem arredondamento, sendo que, caso aplicável, o ágio ou deságio, conforme o caso será o mesmo para todas as Debêntures da respectiva Série em cada Data de Integralização. Para fins deste Prospecto </w:t>
      </w:r>
      <w:r w:rsidR="003568F5" w:rsidRPr="00566CD3">
        <w:t>Definitivo</w:t>
      </w:r>
      <w:r w:rsidRPr="00566CD3">
        <w:t>, considera-se “Primeira Data de Integralização” a data em que efetivamente ocorrer a primeira subscrição e integralização de qualquer das Debêntures.</w:t>
      </w:r>
    </w:p>
    <w:p w14:paraId="5EC86FB4" w14:textId="77777777" w:rsidR="00A12818" w:rsidRPr="00566CD3" w:rsidRDefault="00A12818" w:rsidP="00F14CD9">
      <w:pPr>
        <w:spacing w:after="120"/>
        <w:jc w:val="both"/>
      </w:pPr>
      <w:r w:rsidRPr="00566CD3">
        <w:t xml:space="preserve">Caso, até a data em que ocorrer a integralização posterior à Primeira Data de Integralização das Debêntures, não haja divulgação do IPCA do mês imediatamente anterior, será utilizado, para cálculo do Valor Nominal </w:t>
      </w:r>
      <w:r w:rsidR="009D09A0" w:rsidRPr="00566CD3">
        <w:t>Unitário</w:t>
      </w:r>
      <w:r w:rsidRPr="00566CD3">
        <w:t xml:space="preserve"> Atualizado, o último IPCA oficialmente divulgado, não sendo devidas quaisquer compensações financeiras entre a Emissora e os Debenturistas, se e quando o IPCA que seria aplicável for divulgado.</w:t>
      </w:r>
    </w:p>
    <w:p w14:paraId="4A723F2E" w14:textId="77777777" w:rsidR="00E8286C" w:rsidRPr="00566CD3" w:rsidRDefault="00A12818" w:rsidP="00F14CD9">
      <w:pPr>
        <w:pStyle w:val="Ttulo3"/>
        <w:spacing w:after="140" w:line="290" w:lineRule="auto"/>
        <w:jc w:val="both"/>
      </w:pPr>
      <w:bookmarkStart w:id="138" w:name="_Toc90045101"/>
      <w:bookmarkStart w:id="139" w:name="_Toc95928415"/>
      <w:bookmarkEnd w:id="121"/>
      <w:r w:rsidRPr="00566CD3">
        <w:t>Forma de Subscrição e Integralização</w:t>
      </w:r>
      <w:bookmarkEnd w:id="138"/>
      <w:bookmarkEnd w:id="139"/>
    </w:p>
    <w:p w14:paraId="1BEEAC0B" w14:textId="77777777" w:rsidR="0061030F" w:rsidRPr="00D8141D" w:rsidRDefault="00A12818" w:rsidP="009E2BE2">
      <w:pPr>
        <w:pStyle w:val="HOMEBRBodyText"/>
        <w:keepLines w:val="0"/>
        <w:widowControl w:val="0"/>
        <w:spacing w:after="140" w:line="290" w:lineRule="auto"/>
        <w:jc w:val="both"/>
        <w:rPr>
          <w:rFonts w:cs="Calibri"/>
          <w:lang w:val="pt-BR"/>
        </w:rPr>
      </w:pPr>
      <w:r w:rsidRPr="00D8141D">
        <w:rPr>
          <w:rFonts w:cs="Calibri"/>
          <w:lang w:val="pt-BR"/>
        </w:rPr>
        <w:t>As Debêntures poderão ser subscritas no mercado primário a qualquer tempo, dentro do prazo de colocação, com integralização à vista, no ato da subscrição, em moeda corrente nacional, pelo Preço de Subscrição, de acordo com as normas de liquidação e os procedimentos aplicáveis à B3, sendo a liquidação realizada por meio da B3</w:t>
      </w:r>
      <w:r w:rsidR="0061030F" w:rsidRPr="00D8141D">
        <w:rPr>
          <w:rFonts w:cs="Calibri"/>
          <w:lang w:val="pt-BR"/>
        </w:rPr>
        <w:t>.</w:t>
      </w:r>
    </w:p>
    <w:p w14:paraId="2E4ADDCA" w14:textId="77777777" w:rsidR="00E8286C" w:rsidRPr="00566CD3" w:rsidRDefault="00A12818" w:rsidP="009E2BE2">
      <w:pPr>
        <w:pStyle w:val="Ttulo3"/>
        <w:spacing w:after="140" w:line="290" w:lineRule="auto"/>
        <w:jc w:val="both"/>
      </w:pPr>
      <w:bookmarkStart w:id="140" w:name="_Toc90045102"/>
      <w:bookmarkStart w:id="141" w:name="_Toc95928416"/>
      <w:r w:rsidRPr="00566CD3">
        <w:lastRenderedPageBreak/>
        <w:t>Formador de Mercado</w:t>
      </w:r>
      <w:bookmarkEnd w:id="140"/>
      <w:bookmarkEnd w:id="141"/>
    </w:p>
    <w:p w14:paraId="092B6647" w14:textId="77777777" w:rsidR="00A12818" w:rsidRPr="00566CD3" w:rsidRDefault="00F753FD" w:rsidP="00F14CD9">
      <w:pPr>
        <w:spacing w:after="120"/>
        <w:jc w:val="both"/>
      </w:pPr>
      <w:bookmarkStart w:id="142" w:name="_Hlk89270822"/>
      <w:r w:rsidRPr="00566CD3">
        <w:t>Em conformidade com o disposto no Código ANBIMA, o Coordenador Líder recomendou à Companhia a contratação de instituição para desenvolver atividades de formador de mercado, nos termos da Instrução da CVM nº 384, de 17 de março de 2003, no entanto, não houve contratação de formador de mercado</w:t>
      </w:r>
      <w:bookmarkEnd w:id="142"/>
      <w:r w:rsidRPr="00566CD3">
        <w:t>.</w:t>
      </w:r>
      <w:r w:rsidRPr="00566CD3" w:rsidDel="00F753FD">
        <w:t xml:space="preserve"> </w:t>
      </w:r>
    </w:p>
    <w:p w14:paraId="60FF67BD" w14:textId="77777777" w:rsidR="00E8286C" w:rsidRPr="00566CD3" w:rsidRDefault="00E8286C" w:rsidP="00F14CD9">
      <w:pPr>
        <w:pStyle w:val="Ttulo3"/>
        <w:spacing w:after="140" w:line="290" w:lineRule="auto"/>
        <w:jc w:val="both"/>
      </w:pPr>
      <w:bookmarkStart w:id="143" w:name="_Toc87002478"/>
      <w:bookmarkStart w:id="144" w:name="_Ref90046158"/>
      <w:bookmarkStart w:id="145" w:name="_Ref90055414"/>
      <w:bookmarkStart w:id="146" w:name="_Ref90058068"/>
      <w:bookmarkStart w:id="147" w:name="_Ref90058078"/>
      <w:bookmarkStart w:id="148" w:name="_Ref90058087"/>
      <w:bookmarkStart w:id="149" w:name="_Ref90058095"/>
      <w:bookmarkStart w:id="150" w:name="_Ref90058218"/>
      <w:bookmarkStart w:id="151" w:name="_Ref90058226"/>
      <w:bookmarkStart w:id="152" w:name="_Ref90058235"/>
      <w:bookmarkStart w:id="153" w:name="_Ref90058245"/>
      <w:bookmarkStart w:id="154" w:name="_Toc90045103"/>
      <w:bookmarkStart w:id="155" w:name="_Toc95928417"/>
      <w:r w:rsidRPr="00566CD3">
        <w:t>Destinação dos Recursos</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413BB579" w14:textId="77777777" w:rsidR="00A14D40" w:rsidRPr="00D8141D" w:rsidRDefault="00A12818" w:rsidP="009E2BE2">
      <w:pPr>
        <w:pStyle w:val="HOMEBRBodyText"/>
        <w:keepLines w:val="0"/>
        <w:widowControl w:val="0"/>
        <w:spacing w:after="140" w:line="290" w:lineRule="auto"/>
        <w:jc w:val="both"/>
        <w:rPr>
          <w:rFonts w:cs="Calibri"/>
          <w:lang w:val="pt-BR"/>
        </w:rPr>
      </w:pPr>
      <w:bookmarkStart w:id="156" w:name="_Ref61907490"/>
      <w:r w:rsidRPr="0020727A">
        <w:rPr>
          <w:lang w:val="pt-BR"/>
        </w:rPr>
        <w:t xml:space="preserve">Os recursos líquidos obtidos pela Emissora com as Debêntures </w:t>
      </w:r>
      <w:r w:rsidRPr="00D8141D">
        <w:rPr>
          <w:rFonts w:cs="Calibri"/>
          <w:lang w:val="pt-BR"/>
        </w:rPr>
        <w:t xml:space="preserve">(inclusive decorrentes das Debêntures Adicionais, caso emitidas) </w:t>
      </w:r>
      <w:r w:rsidRPr="0020727A">
        <w:rPr>
          <w:lang w:val="pt-BR"/>
        </w:rPr>
        <w:t xml:space="preserve">serão integralmente </w:t>
      </w:r>
      <w:bookmarkEnd w:id="156"/>
      <w:r w:rsidRPr="0020727A">
        <w:rPr>
          <w:lang w:val="pt-BR"/>
        </w:rPr>
        <w:t>destinados ao desenvolvimento, construção e operação dos Projetos de Investimento, considerados prioritários nos termos do artigo 2º da Lei </w:t>
      </w:r>
      <w:r w:rsidRPr="00D8141D">
        <w:rPr>
          <w:rFonts w:cs="Calibri"/>
          <w:lang w:val="pt-BR"/>
        </w:rPr>
        <w:t>nº</w:t>
      </w:r>
      <w:r w:rsidRPr="0020727A">
        <w:rPr>
          <w:lang w:val="pt-BR"/>
        </w:rPr>
        <w:t xml:space="preserve"> 12.431, do Decreto 8.874 e das Portarias do Ministério de Minas e Energia, respectivamente, que aprovaram o enquadramento dos Projetos de Investimento como prioritários</w:t>
      </w:r>
      <w:r w:rsidRPr="00D8141D">
        <w:rPr>
          <w:rFonts w:cs="Calibri"/>
          <w:lang w:val="pt-BR"/>
        </w:rPr>
        <w:t>,</w:t>
      </w:r>
      <w:r w:rsidRPr="0020727A">
        <w:rPr>
          <w:lang w:val="pt-BR"/>
        </w:rPr>
        <w:t xml:space="preserve"> conforme detalhado abaixo:</w:t>
      </w:r>
    </w:p>
    <w:p w14:paraId="2AADA771" w14:textId="77777777" w:rsidR="00A12818" w:rsidRPr="00D8141D" w:rsidRDefault="00A12818" w:rsidP="00D45D71">
      <w:pPr>
        <w:pStyle w:val="HOMEBRBodyText"/>
        <w:keepLines w:val="0"/>
        <w:widowControl w:val="0"/>
        <w:numPr>
          <w:ilvl w:val="0"/>
          <w:numId w:val="44"/>
        </w:numPr>
        <w:spacing w:after="140" w:line="290" w:lineRule="auto"/>
        <w:jc w:val="both"/>
        <w:rPr>
          <w:rFonts w:cs="Calibri"/>
          <w:lang w:val="pt-BR"/>
        </w:rPr>
      </w:pPr>
      <w:r w:rsidRPr="0020727A">
        <w:rPr>
          <w:b/>
          <w:lang w:val="pt-BR"/>
        </w:rPr>
        <w:t>Portaria nº </w:t>
      </w:r>
      <w:r w:rsidR="0093025D" w:rsidRPr="00D8141D">
        <w:rPr>
          <w:rFonts w:cs="Calibri"/>
          <w:b/>
          <w:bCs/>
          <w:lang w:val="pt-BR"/>
        </w:rPr>
        <w:t>21</w:t>
      </w:r>
      <w:r w:rsidR="0093025D" w:rsidRPr="0020727A">
        <w:rPr>
          <w:b/>
          <w:lang w:val="pt-BR"/>
        </w:rPr>
        <w:t xml:space="preserve"> </w:t>
      </w:r>
      <w:r w:rsidRPr="0020727A">
        <w:rPr>
          <w:b/>
          <w:lang w:val="pt-BR"/>
        </w:rPr>
        <w:t xml:space="preserve">de </w:t>
      </w:r>
      <w:r w:rsidR="0093025D" w:rsidRPr="00D8141D">
        <w:rPr>
          <w:rFonts w:cs="Calibri"/>
          <w:b/>
          <w:bCs/>
          <w:lang w:val="pt-BR"/>
        </w:rPr>
        <w:t>04</w:t>
      </w:r>
      <w:r w:rsidR="0093025D" w:rsidRPr="0020727A">
        <w:rPr>
          <w:b/>
          <w:lang w:val="pt-BR"/>
        </w:rPr>
        <w:t> </w:t>
      </w:r>
      <w:r w:rsidRPr="0020727A">
        <w:rPr>
          <w:b/>
          <w:lang w:val="pt-BR"/>
        </w:rPr>
        <w:t>de </w:t>
      </w:r>
      <w:r w:rsidR="0093025D" w:rsidRPr="00D8141D">
        <w:rPr>
          <w:rFonts w:cs="Calibri"/>
          <w:b/>
          <w:bCs/>
          <w:lang w:val="pt-BR"/>
        </w:rPr>
        <w:t>maio</w:t>
      </w:r>
      <w:r w:rsidR="0093025D" w:rsidRPr="0020727A">
        <w:rPr>
          <w:b/>
          <w:lang w:val="pt-BR"/>
        </w:rPr>
        <w:t> </w:t>
      </w:r>
      <w:r w:rsidRPr="0020727A">
        <w:rPr>
          <w:b/>
          <w:lang w:val="pt-BR"/>
        </w:rPr>
        <w:t>de 2021:</w:t>
      </w:r>
    </w:p>
    <w:p w14:paraId="62FD74A3" w14:textId="77777777" w:rsidR="00047A4B" w:rsidRPr="0020727A" w:rsidRDefault="0093025D" w:rsidP="0093025D">
      <w:pPr>
        <w:pStyle w:val="HOMEBRBodyText"/>
        <w:keepLines w:val="0"/>
        <w:widowControl w:val="0"/>
        <w:spacing w:after="140" w:line="290" w:lineRule="auto"/>
        <w:jc w:val="both"/>
        <w:rPr>
          <w:lang w:val="pt-BR"/>
        </w:rPr>
      </w:pPr>
      <w:r w:rsidRPr="0020727A">
        <w:rPr>
          <w:lang w:val="pt-BR"/>
        </w:rPr>
        <w:t>(a) Objetivo do Projeto Capex Boa Vista: projeto de investimento na atividade de produção e estocagem de biocombustíveis e da sua biomassa denominado “Capex de Manutenção e Melhoria Operacional para produção de biocombustível na Usina Boa Vista” (“</w:t>
      </w:r>
      <w:r w:rsidRPr="0020727A">
        <w:rPr>
          <w:u w:val="single"/>
          <w:lang w:val="pt-BR"/>
        </w:rPr>
        <w:t>Projeto Capex Boa Vista</w:t>
      </w:r>
      <w:r w:rsidRPr="0020727A">
        <w:rPr>
          <w:lang w:val="pt-BR"/>
        </w:rPr>
        <w:t>”)</w:t>
      </w:r>
      <w:r w:rsidR="00047A4B" w:rsidRPr="0020727A">
        <w:rPr>
          <w:lang w:val="pt-BR"/>
        </w:rPr>
        <w:t>;</w:t>
      </w:r>
    </w:p>
    <w:p w14:paraId="30708235" w14:textId="77777777" w:rsidR="00047A4B" w:rsidRPr="0020727A" w:rsidRDefault="00047A4B" w:rsidP="0093025D">
      <w:pPr>
        <w:pStyle w:val="HOMEBRBodyText"/>
        <w:keepLines w:val="0"/>
        <w:widowControl w:val="0"/>
        <w:spacing w:after="140" w:line="290" w:lineRule="auto"/>
        <w:jc w:val="both"/>
        <w:rPr>
          <w:lang w:val="pt-BR"/>
        </w:rPr>
      </w:pPr>
      <w:r w:rsidRPr="0020727A">
        <w:rPr>
          <w:lang w:val="pt-BR"/>
        </w:rPr>
        <w:t>(b) Data estimada para início do Projeto Capex Boa Vista: 01 de abril de 2021</w:t>
      </w:r>
      <w:r w:rsidR="009F4609" w:rsidRPr="0020727A">
        <w:rPr>
          <w:lang w:val="pt-BR"/>
        </w:rPr>
        <w:t>;</w:t>
      </w:r>
      <w:r w:rsidRPr="0020727A">
        <w:rPr>
          <w:lang w:val="pt-BR"/>
        </w:rPr>
        <w:t xml:space="preserve"> </w:t>
      </w:r>
    </w:p>
    <w:p w14:paraId="674001CB" w14:textId="77777777" w:rsidR="0093025D" w:rsidRPr="006970D2" w:rsidRDefault="00047A4B" w:rsidP="0093025D">
      <w:pPr>
        <w:pStyle w:val="HOMEBRBodyText"/>
        <w:keepLines w:val="0"/>
        <w:widowControl w:val="0"/>
        <w:spacing w:after="140" w:line="290" w:lineRule="auto"/>
        <w:jc w:val="both"/>
        <w:rPr>
          <w:spacing w:val="-4"/>
          <w:lang w:val="pt-BR"/>
        </w:rPr>
      </w:pPr>
      <w:r w:rsidRPr="006970D2">
        <w:rPr>
          <w:spacing w:val="-4"/>
          <w:lang w:val="pt-BR"/>
        </w:rPr>
        <w:t xml:space="preserve">(c) Fase atual do Projeto Capex Boa Vista: o Projeto Capex Boa Vista encontra-se na fase de </w:t>
      </w:r>
      <w:r w:rsidR="009F4609" w:rsidRPr="006970D2">
        <w:rPr>
          <w:spacing w:val="-4"/>
          <w:lang w:val="pt-BR"/>
        </w:rPr>
        <w:t>execução;</w:t>
      </w:r>
    </w:p>
    <w:p w14:paraId="1D91C115" w14:textId="77777777" w:rsidR="00047A4B" w:rsidRPr="0020727A" w:rsidRDefault="00047A4B" w:rsidP="00DB48F4">
      <w:pPr>
        <w:pStyle w:val="HOMEBRBodyText"/>
        <w:keepLines w:val="0"/>
        <w:widowControl w:val="0"/>
        <w:spacing w:after="140" w:line="290" w:lineRule="auto"/>
        <w:jc w:val="both"/>
        <w:rPr>
          <w:lang w:val="pt-BR"/>
        </w:rPr>
      </w:pPr>
      <w:r w:rsidRPr="0020727A">
        <w:rPr>
          <w:lang w:val="pt-BR"/>
        </w:rPr>
        <w:t>(d) Data estimada para encerramento do Projeto Capex Boa Vista: 22 de novembro de 2023;</w:t>
      </w:r>
    </w:p>
    <w:p w14:paraId="7BA91186" w14:textId="77777777" w:rsidR="00047A4B" w:rsidRPr="0020727A" w:rsidRDefault="00047A4B" w:rsidP="00DB48F4">
      <w:pPr>
        <w:pStyle w:val="HOMEBRBodyText"/>
        <w:keepLines w:val="0"/>
        <w:widowControl w:val="0"/>
        <w:spacing w:after="140" w:line="290" w:lineRule="auto"/>
        <w:jc w:val="both"/>
        <w:rPr>
          <w:lang w:val="pt-BR"/>
        </w:rPr>
      </w:pPr>
      <w:r w:rsidRPr="0020727A">
        <w:rPr>
          <w:lang w:val="pt-BR"/>
        </w:rPr>
        <w:t>(e) Volume estimado de recursos financeiros necessários para a realização do Projeto Capex Boa Vista: R$ 500.000.000,00 (quinhentos milhões de reais);</w:t>
      </w:r>
    </w:p>
    <w:p w14:paraId="20124C26" w14:textId="2E505CB1" w:rsidR="00F14CD9" w:rsidRDefault="00047A4B" w:rsidP="001A4356">
      <w:pPr>
        <w:pStyle w:val="HOMEBRBodyText"/>
        <w:keepLines w:val="0"/>
        <w:widowControl w:val="0"/>
        <w:spacing w:after="140"/>
        <w:jc w:val="both"/>
        <w:rPr>
          <w:lang w:val="pt-BR"/>
        </w:rPr>
      </w:pPr>
      <w:r w:rsidRPr="0020727A">
        <w:rPr>
          <w:lang w:val="pt-BR"/>
        </w:rPr>
        <w:t xml:space="preserve">(f) Valor da Emissão que será destinado ao Projeto Capex Boa Vista: R$ </w:t>
      </w:r>
      <w:r w:rsidR="009F4609" w:rsidRPr="00EB4E90">
        <w:rPr>
          <w:lang w:val="pt-BR"/>
        </w:rPr>
        <w:t>95.443.564,00 (noventa e cinco milhões e quatrocentos e quarenta e três mil e quinhentos e sessenta e quatro reais)</w:t>
      </w:r>
      <w:r w:rsidR="009F4609" w:rsidRPr="0020727A">
        <w:rPr>
          <w:lang w:val="pt-BR"/>
        </w:rPr>
        <w:t>;</w:t>
      </w:r>
      <w:r w:rsidRPr="0020727A">
        <w:rPr>
          <w:lang w:val="pt-BR"/>
        </w:rPr>
        <w:t xml:space="preserve"> </w:t>
      </w:r>
    </w:p>
    <w:p w14:paraId="79001B0D" w14:textId="77777777" w:rsidR="00047A4B" w:rsidRPr="0020727A" w:rsidRDefault="00047A4B" w:rsidP="00F14CD9">
      <w:pPr>
        <w:pStyle w:val="HOMEBRBodyText"/>
        <w:keepLines w:val="0"/>
        <w:widowControl w:val="0"/>
        <w:spacing w:after="140"/>
        <w:jc w:val="both"/>
        <w:rPr>
          <w:lang w:val="pt-BR"/>
        </w:rPr>
      </w:pPr>
      <w:r w:rsidRPr="0020727A">
        <w:rPr>
          <w:lang w:val="pt-BR"/>
        </w:rPr>
        <w:t>(g) Alocação dos recursos a serem captados por meio da Emissão: plantio de cana-de-açúcar, manutenção de entressafra, novos equipamentos, reposição de equipamentos tratos culturais, gatos ambientais e legais;</w:t>
      </w:r>
    </w:p>
    <w:p w14:paraId="141ACC58" w14:textId="77777777" w:rsidR="00047A4B" w:rsidRPr="0020727A" w:rsidRDefault="00047A4B" w:rsidP="00375404">
      <w:pPr>
        <w:pStyle w:val="HOMEBRBodyText"/>
        <w:keepLines w:val="0"/>
        <w:widowControl w:val="0"/>
        <w:spacing w:after="120" w:line="276" w:lineRule="auto"/>
        <w:jc w:val="both"/>
        <w:rPr>
          <w:b/>
          <w:lang w:val="pt-BR"/>
        </w:rPr>
      </w:pPr>
      <w:r w:rsidRPr="0020727A">
        <w:rPr>
          <w:lang w:val="pt-BR"/>
        </w:rPr>
        <w:t xml:space="preserve">(h) Percentual dos recursos financeiros necessários ao Projeto Capex Boa Vista provenientes da Emissão: os recursos provenientes da Emissão correspondem a aproximadamente </w:t>
      </w:r>
      <w:r w:rsidR="009F4609">
        <w:rPr>
          <w:lang w:val="pt-BR"/>
        </w:rPr>
        <w:t>19,10</w:t>
      </w:r>
      <w:r w:rsidR="009F4609" w:rsidRPr="0020727A">
        <w:rPr>
          <w:lang w:val="pt-BR"/>
        </w:rPr>
        <w:t>% (</w:t>
      </w:r>
      <w:r w:rsidR="009F4609">
        <w:rPr>
          <w:lang w:val="pt-BR"/>
        </w:rPr>
        <w:t>dezenove inteiros e dez centésimos por cento</w:t>
      </w:r>
      <w:r w:rsidR="009F4609" w:rsidRPr="0020727A">
        <w:rPr>
          <w:lang w:val="pt-BR"/>
        </w:rPr>
        <w:t>)</w:t>
      </w:r>
      <w:r w:rsidRPr="0020727A">
        <w:rPr>
          <w:lang w:val="pt-BR"/>
        </w:rPr>
        <w:t xml:space="preserve"> do valor total de recursos financeiros necessários a Projeto Capex Boa Vista.</w:t>
      </w:r>
    </w:p>
    <w:p w14:paraId="631E00F1" w14:textId="77777777" w:rsidR="00A12818" w:rsidRPr="00D8141D" w:rsidRDefault="00A12818" w:rsidP="00D45D71">
      <w:pPr>
        <w:pStyle w:val="HOMEBRBodyText"/>
        <w:keepLines w:val="0"/>
        <w:widowControl w:val="0"/>
        <w:numPr>
          <w:ilvl w:val="0"/>
          <w:numId w:val="44"/>
        </w:numPr>
        <w:spacing w:after="120" w:line="290" w:lineRule="auto"/>
        <w:jc w:val="both"/>
        <w:rPr>
          <w:rFonts w:cs="Calibri"/>
          <w:lang w:val="pt-BR"/>
        </w:rPr>
      </w:pPr>
      <w:r w:rsidRPr="00D8141D">
        <w:rPr>
          <w:rFonts w:cs="Calibri"/>
          <w:b/>
          <w:bCs/>
          <w:lang w:val="pt-BR"/>
        </w:rPr>
        <w:t>Portaria nº </w:t>
      </w:r>
      <w:r w:rsidR="00047A4B" w:rsidRPr="00D8141D">
        <w:rPr>
          <w:rFonts w:cs="Calibri"/>
          <w:b/>
          <w:bCs/>
          <w:lang w:val="pt-BR"/>
        </w:rPr>
        <w:t xml:space="preserve">35 SPG/MME, </w:t>
      </w:r>
      <w:r w:rsidRPr="00D8141D">
        <w:rPr>
          <w:rFonts w:cs="Calibri"/>
          <w:b/>
          <w:bCs/>
          <w:lang w:val="pt-BR"/>
        </w:rPr>
        <w:t xml:space="preserve">de </w:t>
      </w:r>
      <w:r w:rsidR="00047A4B" w:rsidRPr="00D8141D">
        <w:rPr>
          <w:rFonts w:cs="Calibri"/>
          <w:b/>
          <w:bCs/>
          <w:lang w:val="pt-BR"/>
        </w:rPr>
        <w:t>18</w:t>
      </w:r>
      <w:r w:rsidRPr="00D8141D">
        <w:rPr>
          <w:rFonts w:cs="Calibri"/>
          <w:b/>
          <w:bCs/>
          <w:lang w:val="pt-BR"/>
        </w:rPr>
        <w:t> de </w:t>
      </w:r>
      <w:r w:rsidR="00047A4B" w:rsidRPr="00D8141D">
        <w:rPr>
          <w:rFonts w:cs="Calibri"/>
          <w:b/>
          <w:bCs/>
          <w:lang w:val="pt-BR"/>
        </w:rPr>
        <w:t>outubro</w:t>
      </w:r>
      <w:r w:rsidRPr="00D8141D">
        <w:rPr>
          <w:rFonts w:cs="Calibri"/>
          <w:b/>
          <w:bCs/>
          <w:lang w:val="pt-BR"/>
        </w:rPr>
        <w:t> de 2021:</w:t>
      </w:r>
    </w:p>
    <w:p w14:paraId="11170781" w14:textId="77777777" w:rsidR="00047A4B" w:rsidRPr="0020727A" w:rsidRDefault="00047A4B" w:rsidP="006970D2">
      <w:pPr>
        <w:pStyle w:val="HOMEBRBodyText"/>
        <w:keepLines w:val="0"/>
        <w:widowControl w:val="0"/>
        <w:spacing w:after="120" w:line="290" w:lineRule="auto"/>
        <w:jc w:val="both"/>
        <w:rPr>
          <w:lang w:val="pt-BR"/>
        </w:rPr>
      </w:pPr>
      <w:r w:rsidRPr="0020727A">
        <w:rPr>
          <w:lang w:val="pt-BR"/>
        </w:rPr>
        <w:t xml:space="preserve">(a) Objetivo do Projeto Capex Usinas: projeto de investimento na atividade de produção de biocombustíveis e da sua biomassa denominado “Capex de manutenção para produção de </w:t>
      </w:r>
      <w:r w:rsidRPr="0020727A">
        <w:rPr>
          <w:lang w:val="pt-BR"/>
        </w:rPr>
        <w:lastRenderedPageBreak/>
        <w:t>Biocombustível na Usina São Martinho, Usina Santa Cruz e Usina Iracema” (“</w:t>
      </w:r>
      <w:r w:rsidRPr="0020727A">
        <w:rPr>
          <w:u w:val="single"/>
          <w:lang w:val="pt-BR"/>
        </w:rPr>
        <w:t>Projeto Capex Usinas</w:t>
      </w:r>
      <w:r w:rsidRPr="0020727A">
        <w:rPr>
          <w:lang w:val="pt-BR"/>
        </w:rPr>
        <w:t>” e, em conjunto com o Projeto Capex Boa Vista, os “</w:t>
      </w:r>
      <w:r w:rsidRPr="0020727A">
        <w:rPr>
          <w:u w:val="single"/>
          <w:lang w:val="pt-BR"/>
        </w:rPr>
        <w:t>Projetos de Investimento</w:t>
      </w:r>
      <w:r w:rsidRPr="0020727A">
        <w:rPr>
          <w:lang w:val="pt-BR"/>
        </w:rPr>
        <w:t>”);</w:t>
      </w:r>
    </w:p>
    <w:p w14:paraId="3B878D32" w14:textId="77777777" w:rsidR="00047A4B" w:rsidRPr="0020727A" w:rsidRDefault="00047A4B" w:rsidP="006970D2">
      <w:pPr>
        <w:pStyle w:val="HOMEBRBodyText"/>
        <w:keepLines w:val="0"/>
        <w:widowControl w:val="0"/>
        <w:spacing w:after="120" w:line="290" w:lineRule="auto"/>
        <w:jc w:val="both"/>
        <w:rPr>
          <w:lang w:val="pt-BR"/>
        </w:rPr>
      </w:pPr>
      <w:r w:rsidRPr="0020727A">
        <w:rPr>
          <w:lang w:val="pt-BR"/>
        </w:rPr>
        <w:t xml:space="preserve">(b) Data estimada para início do Projeto Capex Usinas: </w:t>
      </w:r>
      <w:r w:rsidR="009F4609">
        <w:rPr>
          <w:lang w:val="pt-BR"/>
        </w:rPr>
        <w:t>01 de abril de 2021</w:t>
      </w:r>
      <w:r w:rsidR="009F4609" w:rsidRPr="0020727A">
        <w:rPr>
          <w:lang w:val="pt-BR"/>
        </w:rPr>
        <w:t>;</w:t>
      </w:r>
    </w:p>
    <w:p w14:paraId="5A408CE1" w14:textId="77777777" w:rsidR="00047A4B" w:rsidRPr="0020727A" w:rsidRDefault="00047A4B" w:rsidP="006970D2">
      <w:pPr>
        <w:pStyle w:val="HOMEBRBodyText"/>
        <w:keepLines w:val="0"/>
        <w:widowControl w:val="0"/>
        <w:spacing w:after="120" w:line="290" w:lineRule="auto"/>
        <w:jc w:val="both"/>
        <w:rPr>
          <w:lang w:val="pt-BR"/>
        </w:rPr>
      </w:pPr>
      <w:r w:rsidRPr="0020727A">
        <w:rPr>
          <w:lang w:val="pt-BR"/>
        </w:rPr>
        <w:t xml:space="preserve">(c) Fase atual do Projeto Capex Usinas: </w:t>
      </w:r>
      <w:r w:rsidR="009F4609" w:rsidRPr="00EB4E90">
        <w:rPr>
          <w:lang w:val="pt-BR"/>
        </w:rPr>
        <w:t>o Projeto Capex Usinas encontra-se na fase de execução</w:t>
      </w:r>
      <w:r w:rsidR="009F4609" w:rsidRPr="00EB4E90" w:rsidDel="00EB4E90">
        <w:rPr>
          <w:lang w:val="pt-BR"/>
        </w:rPr>
        <w:t>;</w:t>
      </w:r>
    </w:p>
    <w:p w14:paraId="79698C25" w14:textId="77777777" w:rsidR="00047A4B" w:rsidRPr="0020727A" w:rsidRDefault="00047A4B" w:rsidP="006970D2">
      <w:pPr>
        <w:pStyle w:val="HOMEBRBodyText"/>
        <w:keepLines w:val="0"/>
        <w:widowControl w:val="0"/>
        <w:spacing w:after="120" w:line="290" w:lineRule="auto"/>
        <w:jc w:val="both"/>
        <w:rPr>
          <w:lang w:val="pt-BR"/>
        </w:rPr>
      </w:pPr>
      <w:r w:rsidRPr="0020727A">
        <w:rPr>
          <w:lang w:val="pt-BR"/>
        </w:rPr>
        <w:t xml:space="preserve">(d) Data estimada para encerramento do Projeto Capex Usinas: </w:t>
      </w:r>
      <w:r w:rsidR="009F4609">
        <w:rPr>
          <w:lang w:val="pt-BR"/>
        </w:rPr>
        <w:t>31</w:t>
      </w:r>
      <w:r w:rsidRPr="0020727A">
        <w:rPr>
          <w:lang w:val="pt-BR"/>
        </w:rPr>
        <w:t xml:space="preserve"> de março de 2023;</w:t>
      </w:r>
    </w:p>
    <w:p w14:paraId="613263AC" w14:textId="77777777" w:rsidR="00047A4B" w:rsidRPr="0020727A" w:rsidRDefault="00047A4B" w:rsidP="006970D2">
      <w:pPr>
        <w:pStyle w:val="HOMEBRBodyText"/>
        <w:keepLines w:val="0"/>
        <w:widowControl w:val="0"/>
        <w:spacing w:after="120" w:line="290" w:lineRule="auto"/>
        <w:jc w:val="both"/>
        <w:rPr>
          <w:lang w:val="pt-BR"/>
        </w:rPr>
      </w:pPr>
      <w:r w:rsidRPr="0020727A">
        <w:rPr>
          <w:lang w:val="pt-BR"/>
        </w:rPr>
        <w:t>(e) Volume estimado de recursos financeiros necessários para a realização do Projeto Capex Usinas: R</w:t>
      </w:r>
      <w:r w:rsidR="009F4609" w:rsidRPr="00EB4E90">
        <w:rPr>
          <w:lang w:val="pt-BR"/>
        </w:rPr>
        <w:t>$1.104.556.436,00 (um bilhão e cento e quatro milhões e quinhentos e cinquenta e seis mil e quatrocentos e trinta e seis reais)</w:t>
      </w:r>
      <w:r w:rsidR="009F4609" w:rsidRPr="0020727A">
        <w:rPr>
          <w:lang w:val="pt-BR"/>
        </w:rPr>
        <w:t>;</w:t>
      </w:r>
    </w:p>
    <w:p w14:paraId="65269D9E" w14:textId="77777777" w:rsidR="00047A4B" w:rsidRPr="0020727A" w:rsidRDefault="00047A4B" w:rsidP="006970D2">
      <w:pPr>
        <w:pStyle w:val="HOMEBRBodyText"/>
        <w:keepLines w:val="0"/>
        <w:widowControl w:val="0"/>
        <w:spacing w:after="120" w:line="290" w:lineRule="auto"/>
        <w:jc w:val="both"/>
        <w:rPr>
          <w:lang w:val="pt-BR"/>
        </w:rPr>
      </w:pPr>
      <w:r w:rsidRPr="0020727A">
        <w:rPr>
          <w:lang w:val="pt-BR"/>
        </w:rPr>
        <w:t xml:space="preserve">(f) Valor da Emissão que será destinado ao Projeto Capex Usinas: R$ </w:t>
      </w:r>
      <w:r w:rsidR="00940E70" w:rsidRPr="00940E70">
        <w:rPr>
          <w:lang w:val="pt-BR"/>
        </w:rPr>
        <w:t>1.104</w:t>
      </w:r>
      <w:r w:rsidR="009F4609" w:rsidRPr="00EB4E90">
        <w:rPr>
          <w:lang w:val="pt-BR"/>
        </w:rPr>
        <w:t>.556.436,00 (</w:t>
      </w:r>
      <w:r w:rsidR="00940E70" w:rsidRPr="00940E70">
        <w:rPr>
          <w:lang w:val="pt-BR"/>
        </w:rPr>
        <w:t>um bilhão e cento</w:t>
      </w:r>
      <w:r w:rsidR="009F4609" w:rsidRPr="00EB4E90">
        <w:rPr>
          <w:lang w:val="pt-BR"/>
        </w:rPr>
        <w:t xml:space="preserve"> e quatro milhões e quinhentos e cinquenta e seis mil e quatrocentos e trinta e seis reais)</w:t>
      </w:r>
      <w:r w:rsidR="009F4609" w:rsidRPr="0020727A">
        <w:rPr>
          <w:lang w:val="pt-BR"/>
        </w:rPr>
        <w:t>;</w:t>
      </w:r>
      <w:r w:rsidRPr="0020727A">
        <w:rPr>
          <w:lang w:val="pt-BR"/>
        </w:rPr>
        <w:t xml:space="preserve"> </w:t>
      </w:r>
    </w:p>
    <w:p w14:paraId="157991F7" w14:textId="77777777" w:rsidR="00047A4B" w:rsidRPr="0020727A" w:rsidRDefault="00047A4B" w:rsidP="006970D2">
      <w:pPr>
        <w:pStyle w:val="HOMEBRBodyText"/>
        <w:keepLines w:val="0"/>
        <w:widowControl w:val="0"/>
        <w:spacing w:after="120" w:line="290" w:lineRule="auto"/>
        <w:jc w:val="both"/>
        <w:rPr>
          <w:lang w:val="pt-BR"/>
        </w:rPr>
      </w:pPr>
      <w:r w:rsidRPr="0020727A">
        <w:rPr>
          <w:lang w:val="pt-BR"/>
        </w:rPr>
        <w:t>(g) Alocação dos recursos a serem captados por meio da Emissão: manutenção dos canaviais e das indústrias, especificamente Capex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73E162DB" w14:textId="558C98DF" w:rsidR="00BE78FD" w:rsidRDefault="00047A4B" w:rsidP="006970D2">
      <w:pPr>
        <w:pStyle w:val="HOMEBRBodyText"/>
        <w:keepLines w:val="0"/>
        <w:widowControl w:val="0"/>
        <w:spacing w:after="120" w:line="290" w:lineRule="auto"/>
        <w:jc w:val="both"/>
        <w:rPr>
          <w:lang w:val="pt-BR"/>
        </w:rPr>
      </w:pPr>
      <w:r w:rsidRPr="0020727A">
        <w:rPr>
          <w:lang w:val="pt-BR"/>
        </w:rPr>
        <w:t xml:space="preserve">(h) Percentual dos recursos financeiros necessários ao Projeto Capex provenientes da Emissão: os recursos provenientes da Emissão correspondem a aproximadamente </w:t>
      </w:r>
      <w:r w:rsidR="00940E70">
        <w:rPr>
          <w:lang w:val="pt-BR"/>
        </w:rPr>
        <w:t>100</w:t>
      </w:r>
      <w:r w:rsidR="00E560F1" w:rsidRPr="00E560F1">
        <w:rPr>
          <w:lang w:val="pt-BR"/>
        </w:rPr>
        <w:t>% (</w:t>
      </w:r>
      <w:r w:rsidR="00940E70">
        <w:rPr>
          <w:lang w:val="pt-BR"/>
        </w:rPr>
        <w:t>cem</w:t>
      </w:r>
      <w:r w:rsidR="009F4609">
        <w:rPr>
          <w:lang w:val="pt-BR"/>
        </w:rPr>
        <w:t xml:space="preserve"> por cento</w:t>
      </w:r>
      <w:r w:rsidR="009F4609" w:rsidRPr="0020727A">
        <w:rPr>
          <w:lang w:val="pt-BR"/>
        </w:rPr>
        <w:t>)</w:t>
      </w:r>
      <w:r w:rsidRPr="0020727A">
        <w:rPr>
          <w:lang w:val="pt-BR"/>
        </w:rPr>
        <w:t xml:space="preserve"> do valor total de recursos financeiros necessários a Projeto Capex Usinas</w:t>
      </w:r>
      <w:r w:rsidR="00BE78FD">
        <w:rPr>
          <w:lang w:val="pt-BR"/>
        </w:rPr>
        <w:t>.</w:t>
      </w:r>
    </w:p>
    <w:p w14:paraId="289A5941" w14:textId="77777777" w:rsidR="00A14D40" w:rsidRPr="0020727A" w:rsidRDefault="003D6C0D" w:rsidP="006970D2">
      <w:pPr>
        <w:pStyle w:val="HOMEBRBodyText"/>
        <w:keepLines w:val="0"/>
        <w:widowControl w:val="0"/>
        <w:spacing w:after="120" w:line="290" w:lineRule="auto"/>
        <w:jc w:val="both"/>
        <w:rPr>
          <w:lang w:val="pt-BR"/>
        </w:rPr>
      </w:pPr>
      <w:r>
        <w:rPr>
          <w:lang w:val="pt-BR"/>
        </w:rPr>
        <w:t>Como houve</w:t>
      </w:r>
      <w:r w:rsidR="00A12818" w:rsidRPr="0020727A">
        <w:rPr>
          <w:lang w:val="pt-BR"/>
        </w:rPr>
        <w:t xml:space="preserve"> a emissão das Debêntures Adicionais, o montante dos recursos líquidos obtidos com a Oferta em decorrência de tal emissão será destinado integralmente aos Projetos de Investimento, conforme condições previstas neste item.</w:t>
      </w:r>
    </w:p>
    <w:p w14:paraId="445EE975" w14:textId="5ECD7B96" w:rsidR="00A12818" w:rsidRPr="00D8141D" w:rsidRDefault="00A76890" w:rsidP="006970D2">
      <w:pPr>
        <w:pStyle w:val="HOMEBRBodyText"/>
        <w:keepLines w:val="0"/>
        <w:widowControl w:val="0"/>
        <w:spacing w:after="120" w:line="290" w:lineRule="auto"/>
        <w:jc w:val="both"/>
        <w:rPr>
          <w:rFonts w:cs="Calibri"/>
          <w:spacing w:val="-4"/>
          <w:lang w:val="pt-BR"/>
        </w:rPr>
      </w:pPr>
      <w:r w:rsidRPr="00754ACE">
        <w:rPr>
          <w:spacing w:val="-4"/>
          <w:lang w:val="pt-BR"/>
        </w:rPr>
        <w:t>Para o cumprimento, pelo Agente Fiduciário, do disposto na Resolução da CVM nº 17, de 9 de fevereiro de 2021, conforme alterada ("</w:t>
      </w:r>
      <w:r w:rsidRPr="00754ACE">
        <w:rPr>
          <w:spacing w:val="-4"/>
          <w:u w:val="single"/>
          <w:lang w:val="pt-BR"/>
        </w:rPr>
        <w:t>Resolução CVM 17</w:t>
      </w:r>
      <w:r w:rsidRPr="00754ACE">
        <w:rPr>
          <w:spacing w:val="-4"/>
          <w:lang w:val="pt-BR"/>
        </w:rPr>
        <w:t xml:space="preserve">"), a Emissora deverá enviar ao Agente Fiduciário, no prazo de até 15 (quinze) </w:t>
      </w:r>
      <w:r>
        <w:rPr>
          <w:spacing w:val="-4"/>
          <w:lang w:val="pt-BR"/>
        </w:rPr>
        <w:t>D</w:t>
      </w:r>
      <w:r w:rsidRPr="00754ACE">
        <w:rPr>
          <w:spacing w:val="-4"/>
          <w:lang w:val="pt-BR"/>
        </w:rPr>
        <w:t xml:space="preserve">ias </w:t>
      </w:r>
      <w:r>
        <w:rPr>
          <w:spacing w:val="-4"/>
          <w:lang w:val="pt-BR"/>
        </w:rPr>
        <w:t>Ú</w:t>
      </w:r>
      <w:r w:rsidRPr="00754ACE">
        <w:rPr>
          <w:spacing w:val="-4"/>
          <w:lang w:val="pt-BR"/>
        </w:rPr>
        <w:t>teis, da solicitação pelo Agente Fiduciário, até a data em que ocorrer primeiro entre a Data de Vencimento e a data em que a Emissora comprove a aplicação da totalidade dos recursos obtidos com estas Debêntures: (i) declaração em papel timbrado, assinada por representante legal com poderes para tanto nos termos do seu estatuto social, atestando que os recursos oriundos da Emissão foram aplicados na forma prevista acima; ou (ii) caso também seja solicitado pelo Agente Fiduciário, a seu exclusivo critério ou se assim exigido pelos Debenturistas, as notas fiscais relativas aos Projetos de Investimento, até o valor total da Emissão.</w:t>
      </w:r>
    </w:p>
    <w:p w14:paraId="082EF4FD" w14:textId="5825A778" w:rsidR="00E8286C" w:rsidRPr="00D8141D" w:rsidRDefault="00E8286C" w:rsidP="006970D2">
      <w:pPr>
        <w:pStyle w:val="HOMEBRBodyText"/>
        <w:keepLines w:val="0"/>
        <w:widowControl w:val="0"/>
        <w:spacing w:after="120" w:line="290" w:lineRule="auto"/>
        <w:jc w:val="both"/>
        <w:rPr>
          <w:rFonts w:cs="Calibri"/>
          <w:b/>
          <w:lang w:val="pt-BR"/>
        </w:rPr>
      </w:pPr>
      <w:r w:rsidRPr="00D8141D">
        <w:rPr>
          <w:rFonts w:cs="Calibri"/>
          <w:b/>
          <w:lang w:val="pt-BR"/>
        </w:rPr>
        <w:t>Para mais informações sobre o</w:t>
      </w:r>
      <w:r w:rsidR="00A14D40" w:rsidRPr="00D8141D">
        <w:rPr>
          <w:rFonts w:cs="Calibri"/>
          <w:b/>
          <w:lang w:val="pt-BR"/>
        </w:rPr>
        <w:t>s</w:t>
      </w:r>
      <w:r w:rsidRPr="00D8141D">
        <w:rPr>
          <w:rFonts w:cs="Calibri"/>
          <w:b/>
          <w:lang w:val="pt-BR"/>
        </w:rPr>
        <w:t xml:space="preserve"> Projeto</w:t>
      </w:r>
      <w:r w:rsidR="00A14D40" w:rsidRPr="00D8141D">
        <w:rPr>
          <w:rFonts w:cs="Calibri"/>
          <w:b/>
          <w:lang w:val="pt-BR"/>
        </w:rPr>
        <w:t>s</w:t>
      </w:r>
      <w:r w:rsidRPr="00D8141D">
        <w:rPr>
          <w:rFonts w:cs="Calibri"/>
          <w:b/>
          <w:lang w:val="pt-BR"/>
        </w:rPr>
        <w:t xml:space="preserve"> e a destinação dos recursos das Debêntures, veja a seção </w:t>
      </w:r>
      <w:r w:rsidR="002A4B8C" w:rsidRPr="00D8141D">
        <w:rPr>
          <w:rFonts w:cs="Calibri"/>
          <w:b/>
          <w:lang w:val="pt-BR"/>
        </w:rPr>
        <w:t>“</w:t>
      </w:r>
      <w:r w:rsidRPr="00D8141D">
        <w:rPr>
          <w:rFonts w:cs="Calibri"/>
          <w:b/>
          <w:lang w:val="pt-BR"/>
        </w:rPr>
        <w:t>Destinação dos Recursos</w:t>
      </w:r>
      <w:r w:rsidR="002A4B8C" w:rsidRPr="00D8141D">
        <w:rPr>
          <w:rFonts w:cs="Calibri"/>
          <w:b/>
          <w:lang w:val="pt-BR"/>
        </w:rPr>
        <w:t>”</w:t>
      </w:r>
      <w:r w:rsidRPr="00D8141D">
        <w:rPr>
          <w:rFonts w:cs="Calibri"/>
          <w:b/>
          <w:lang w:val="pt-BR"/>
        </w:rPr>
        <w:t xml:space="preserve">, na página </w:t>
      </w:r>
      <w:r w:rsidR="00DF1B9F" w:rsidRPr="00D8141D">
        <w:rPr>
          <w:rFonts w:cs="Calibri"/>
          <w:b/>
          <w:lang w:val="pt-BR"/>
        </w:rPr>
        <w:fldChar w:fldCharType="begin"/>
      </w:r>
      <w:r w:rsidR="00DF1B9F" w:rsidRPr="00D8141D">
        <w:rPr>
          <w:rFonts w:cs="Calibri"/>
          <w:b/>
          <w:lang w:val="pt-BR"/>
        </w:rPr>
        <w:instrText xml:space="preserve"> PAGEREF _Ref90229535 \h </w:instrText>
      </w:r>
      <w:r w:rsidR="00DF1B9F" w:rsidRPr="00D8141D">
        <w:rPr>
          <w:rFonts w:cs="Calibri"/>
          <w:b/>
          <w:lang w:val="pt-BR"/>
        </w:rPr>
      </w:r>
      <w:r w:rsidR="00DF1B9F" w:rsidRPr="00D8141D">
        <w:rPr>
          <w:rFonts w:cs="Calibri"/>
          <w:b/>
          <w:lang w:val="pt-BR"/>
        </w:rPr>
        <w:fldChar w:fldCharType="separate"/>
      </w:r>
      <w:r w:rsidR="001166EA">
        <w:rPr>
          <w:rFonts w:cs="Calibri"/>
          <w:b/>
          <w:noProof/>
          <w:lang w:val="pt-BR"/>
        </w:rPr>
        <w:t>145</w:t>
      </w:r>
      <w:r w:rsidR="00DF1B9F" w:rsidRPr="00D8141D">
        <w:rPr>
          <w:rFonts w:cs="Calibri"/>
          <w:b/>
          <w:lang w:val="pt-BR"/>
        </w:rPr>
        <w:fldChar w:fldCharType="end"/>
      </w:r>
      <w:r w:rsidR="00487806" w:rsidRPr="00D8141D">
        <w:rPr>
          <w:rFonts w:cs="Calibri"/>
          <w:b/>
          <w:lang w:val="pt-BR"/>
        </w:rPr>
        <w:t xml:space="preserve"> </w:t>
      </w:r>
      <w:r w:rsidRPr="00D8141D">
        <w:rPr>
          <w:rFonts w:cs="Calibri"/>
          <w:b/>
          <w:lang w:val="pt-BR"/>
        </w:rPr>
        <w:t>deste Prospecto.</w:t>
      </w:r>
    </w:p>
    <w:p w14:paraId="6E206452" w14:textId="77777777" w:rsidR="00C13C86" w:rsidRDefault="00C13C86">
      <w:pPr>
        <w:spacing w:after="0" w:line="240" w:lineRule="auto"/>
        <w:rPr>
          <w:rFonts w:eastAsia="MS Mincho"/>
          <w:b/>
          <w:bCs/>
          <w:i/>
          <w:szCs w:val="26"/>
        </w:rPr>
      </w:pPr>
      <w:bookmarkStart w:id="157" w:name="_Toc90045104"/>
      <w:bookmarkStart w:id="158" w:name="_Toc95928418"/>
      <w:r>
        <w:rPr>
          <w:i/>
        </w:rPr>
        <w:br w:type="page"/>
      </w:r>
    </w:p>
    <w:p w14:paraId="0C794C54" w14:textId="350078A0" w:rsidR="003A1322" w:rsidRPr="00566CD3" w:rsidRDefault="003A1322" w:rsidP="006970D2">
      <w:pPr>
        <w:pStyle w:val="Ttulo3"/>
        <w:keepLines w:val="0"/>
        <w:spacing w:after="120" w:line="290" w:lineRule="auto"/>
        <w:jc w:val="both"/>
        <w:rPr>
          <w:i/>
        </w:rPr>
      </w:pPr>
      <w:r w:rsidRPr="00566CD3">
        <w:rPr>
          <w:i/>
        </w:rPr>
        <w:lastRenderedPageBreak/>
        <w:t>Agente Fiduciário</w:t>
      </w:r>
      <w:bookmarkEnd w:id="157"/>
      <w:bookmarkEnd w:id="158"/>
    </w:p>
    <w:p w14:paraId="2471F1C2" w14:textId="77777777" w:rsidR="00487806" w:rsidRPr="00D8141D" w:rsidRDefault="00487806" w:rsidP="006970D2">
      <w:pPr>
        <w:pStyle w:val="HOMEBRBodyText"/>
        <w:keepLines w:val="0"/>
        <w:widowControl w:val="0"/>
        <w:spacing w:after="120" w:line="290" w:lineRule="auto"/>
        <w:jc w:val="both"/>
        <w:rPr>
          <w:rFonts w:eastAsia="Calibri" w:cs="Calibri"/>
          <w:bCs/>
          <w:lang w:val="pt-BR"/>
        </w:rPr>
      </w:pPr>
      <w:r w:rsidRPr="0020727A">
        <w:rPr>
          <w:b/>
          <w:lang w:val="pt-BR"/>
        </w:rPr>
        <w:t>SIMPLIFIC PAVARINI DISTRIBUIDORA DE TÍTULOS E VALORES MOBILIÁRIOS LTDA.</w:t>
      </w:r>
      <w:r w:rsidRPr="0020727A">
        <w:rPr>
          <w:lang w:val="pt-BR"/>
        </w:rPr>
        <w:t>, instituição financeira com sede na Rua Sete de Setembro, nº 99, 24º andar, na cidade do Rio de Janeiro, Estado do Rio de Janeiro, inscrita no CNPJ/ME sob o nº 15.227.994/0001-50, neste ato representada por seu representante legal devidamente constituído na forma de seu Contrato Social</w:t>
      </w:r>
      <w:r w:rsidR="00DB205D" w:rsidRPr="00D8141D">
        <w:rPr>
          <w:rFonts w:cs="Calibri"/>
          <w:bCs/>
          <w:lang w:val="pt-BR"/>
        </w:rPr>
        <w:t>.</w:t>
      </w:r>
      <w:r w:rsidRPr="00D8141D">
        <w:rPr>
          <w:rFonts w:cs="Calibri"/>
          <w:bCs/>
          <w:lang w:val="pt-BR"/>
        </w:rPr>
        <w:t xml:space="preserve"> Dados para contato: Telefone </w:t>
      </w:r>
      <w:r w:rsidR="00DB205D" w:rsidRPr="00D8141D">
        <w:rPr>
          <w:rFonts w:eastAsia="Calibri" w:cs="Calibri"/>
          <w:bCs/>
          <w:lang w:val="pt-BR"/>
        </w:rPr>
        <w:t>(11) 3090-0447 / (21) 2507-1949;</w:t>
      </w:r>
      <w:r w:rsidRPr="00D8141D">
        <w:rPr>
          <w:rFonts w:cs="Calibri"/>
          <w:bCs/>
          <w:lang w:val="pt-BR"/>
        </w:rPr>
        <w:t xml:space="preserve"> Correio eletrônico: </w:t>
      </w:r>
      <w:r w:rsidR="00DB205D" w:rsidRPr="00D8141D">
        <w:rPr>
          <w:rFonts w:eastAsia="Calibri" w:cs="Calibri"/>
          <w:bCs/>
          <w:lang w:val="pt-BR"/>
        </w:rPr>
        <w:t>spestruturacao@simplificpavarini.com.br;</w:t>
      </w:r>
      <w:r w:rsidRPr="00D8141D">
        <w:rPr>
          <w:rStyle w:val="Hyperlink"/>
          <w:rFonts w:ascii="Calibri" w:hAnsi="Calibri" w:cs="Calibri"/>
          <w:bCs/>
          <w:sz w:val="22"/>
          <w:lang w:val="pt-BR"/>
        </w:rPr>
        <w:t xml:space="preserve"> Website: </w:t>
      </w:r>
      <w:r w:rsidR="00DB205D" w:rsidRPr="00D8141D">
        <w:rPr>
          <w:rFonts w:eastAsia="Calibri" w:cs="Calibri"/>
          <w:bCs/>
          <w:lang w:val="pt-BR"/>
        </w:rPr>
        <w:t>https://www.simplificpavarini.com.br/</w:t>
      </w:r>
    </w:p>
    <w:p w14:paraId="42545EA4" w14:textId="77777777" w:rsidR="003A1322" w:rsidRPr="00D8141D" w:rsidRDefault="00487806" w:rsidP="00754ACE">
      <w:pPr>
        <w:pStyle w:val="HOMEBRBodyText"/>
        <w:keepLines w:val="0"/>
        <w:widowControl w:val="0"/>
        <w:spacing w:after="140" w:line="290" w:lineRule="auto"/>
        <w:jc w:val="both"/>
        <w:rPr>
          <w:rFonts w:eastAsia="Calibri" w:cs="Calibri"/>
          <w:bCs/>
          <w:lang w:val="pt-BR"/>
        </w:rPr>
      </w:pPr>
      <w:r w:rsidRPr="00D8141D" w:rsidDel="00487806">
        <w:rPr>
          <w:rFonts w:cs="Calibri"/>
          <w:lang w:val="pt-BR"/>
        </w:rPr>
        <w:t xml:space="preserve"> </w:t>
      </w:r>
      <w:r w:rsidR="003A1322" w:rsidRPr="00D8141D">
        <w:rPr>
          <w:rFonts w:eastAsia="Calibri" w:cs="Calibri"/>
          <w:bCs/>
          <w:lang w:val="pt-BR"/>
        </w:rPr>
        <w:t xml:space="preserve">Para os fins do artigo 6º, parágrafo 2º, da </w:t>
      </w:r>
      <w:r w:rsidR="009F4609" w:rsidRPr="00D8141D">
        <w:rPr>
          <w:rFonts w:eastAsia="Calibri" w:cs="Calibri"/>
          <w:bCs/>
          <w:lang w:val="pt-BR"/>
        </w:rPr>
        <w:t>Resolução</w:t>
      </w:r>
      <w:r w:rsidR="003A1322" w:rsidRPr="00D8141D">
        <w:rPr>
          <w:rFonts w:eastAsia="Calibri" w:cs="Calibri"/>
          <w:bCs/>
          <w:lang w:val="pt-BR"/>
        </w:rPr>
        <w:t xml:space="preserve"> CVM </w:t>
      </w:r>
      <w:r w:rsidR="009F4609" w:rsidRPr="00D8141D">
        <w:rPr>
          <w:rFonts w:eastAsia="Calibri" w:cs="Calibri"/>
          <w:bCs/>
          <w:lang w:val="pt-BR"/>
        </w:rPr>
        <w:t>17</w:t>
      </w:r>
      <w:r w:rsidR="003A1322" w:rsidRPr="00D8141D">
        <w:rPr>
          <w:rFonts w:eastAsia="Calibri" w:cs="Calibri"/>
          <w:bCs/>
          <w:lang w:val="pt-BR"/>
        </w:rPr>
        <w:t xml:space="preserve">, o Agente Fiduciário declara que </w:t>
      </w:r>
      <w:r w:rsidR="009F4609" w:rsidRPr="00D8141D">
        <w:rPr>
          <w:rFonts w:eastAsia="Calibri" w:cs="Calibri"/>
          <w:bCs/>
          <w:lang w:val="pt-BR"/>
        </w:rPr>
        <w:t>não</w:t>
      </w:r>
      <w:r w:rsidR="003A1322" w:rsidRPr="00D8141D">
        <w:rPr>
          <w:rFonts w:eastAsia="Calibri" w:cs="Calibri"/>
          <w:bCs/>
          <w:lang w:val="pt-BR"/>
        </w:rPr>
        <w:t xml:space="preserve"> exerce função de agente fiduciário </w:t>
      </w:r>
      <w:r w:rsidR="009F4609" w:rsidRPr="00D8141D">
        <w:rPr>
          <w:rFonts w:eastAsia="Calibri" w:cs="Calibri"/>
          <w:bCs/>
          <w:lang w:val="pt-BR"/>
        </w:rPr>
        <w:t>e/ou agente administrativo em outras</w:t>
      </w:r>
      <w:r w:rsidR="003A1322" w:rsidRPr="00D8141D">
        <w:rPr>
          <w:rFonts w:eastAsia="Calibri" w:cs="Calibri"/>
          <w:bCs/>
          <w:lang w:val="pt-BR"/>
        </w:rPr>
        <w:t xml:space="preserve"> emissões</w:t>
      </w:r>
      <w:r w:rsidR="009F4609" w:rsidRPr="00D8141D">
        <w:rPr>
          <w:rFonts w:eastAsia="Calibri" w:cs="Calibri"/>
          <w:bCs/>
          <w:lang w:val="pt-BR"/>
        </w:rPr>
        <w:t xml:space="preserve"> da Emissora ou do grupo econômico da Emissora.</w:t>
      </w:r>
    </w:p>
    <w:p w14:paraId="39BF9823" w14:textId="77777777" w:rsidR="00E8286C" w:rsidRPr="00566CD3" w:rsidRDefault="003A1322" w:rsidP="009E2BE2">
      <w:pPr>
        <w:pStyle w:val="Ttulo3"/>
        <w:spacing w:after="140" w:line="290" w:lineRule="auto"/>
        <w:jc w:val="both"/>
      </w:pPr>
      <w:bookmarkStart w:id="159" w:name="_Toc90045105"/>
      <w:bookmarkStart w:id="160" w:name="_Toc95928419"/>
      <w:r w:rsidRPr="00566CD3">
        <w:t>CARACTERÍSTICAS GERAIS DAS DEBÊNTURES</w:t>
      </w:r>
      <w:bookmarkEnd w:id="159"/>
      <w:bookmarkEnd w:id="160"/>
    </w:p>
    <w:p w14:paraId="063C5966" w14:textId="77777777" w:rsidR="00E8286C" w:rsidRPr="00566CD3" w:rsidRDefault="003A1322" w:rsidP="00375404">
      <w:pPr>
        <w:pStyle w:val="Ttulo3"/>
        <w:spacing w:after="140"/>
        <w:jc w:val="both"/>
        <w:rPr>
          <w:i/>
        </w:rPr>
      </w:pPr>
      <w:bookmarkStart w:id="161" w:name="_Toc90045106"/>
      <w:bookmarkStart w:id="162" w:name="_Toc95928420"/>
      <w:bookmarkStart w:id="163" w:name="_Ref427705231"/>
      <w:r w:rsidRPr="00566CD3">
        <w:rPr>
          <w:i/>
        </w:rPr>
        <w:t>Data de Emissão</w:t>
      </w:r>
      <w:bookmarkEnd w:id="161"/>
      <w:bookmarkEnd w:id="162"/>
    </w:p>
    <w:p w14:paraId="543E59FF" w14:textId="77777777" w:rsidR="00E8286C" w:rsidRPr="00D8141D" w:rsidRDefault="003A1322" w:rsidP="00375404">
      <w:pPr>
        <w:pStyle w:val="HOMEBRBodyText"/>
        <w:keepLines w:val="0"/>
        <w:widowControl w:val="0"/>
        <w:spacing w:after="140"/>
        <w:jc w:val="both"/>
        <w:rPr>
          <w:rFonts w:cs="Calibri"/>
          <w:lang w:val="pt-BR"/>
        </w:rPr>
      </w:pPr>
      <w:r w:rsidRPr="0020727A">
        <w:rPr>
          <w:lang w:val="pt-BR"/>
        </w:rPr>
        <w:t xml:space="preserve">Para todos os fins e efeitos legais, </w:t>
      </w:r>
      <w:r w:rsidR="00D05A75">
        <w:rPr>
          <w:lang w:val="pt-BR"/>
        </w:rPr>
        <w:t>a</w:t>
      </w:r>
      <w:r w:rsidRPr="0020727A">
        <w:rPr>
          <w:lang w:val="pt-BR"/>
        </w:rPr>
        <w:t xml:space="preserve"> Data De Emissão das Debêntures </w:t>
      </w:r>
      <w:r w:rsidR="00A30E36">
        <w:rPr>
          <w:lang w:val="pt-BR"/>
        </w:rPr>
        <w:t>foi</w:t>
      </w:r>
      <w:r w:rsidRPr="0020727A">
        <w:rPr>
          <w:lang w:val="pt-BR"/>
        </w:rPr>
        <w:t xml:space="preserve"> </w:t>
      </w:r>
      <w:r w:rsidRPr="00D8141D">
        <w:rPr>
          <w:rFonts w:cs="Calibri"/>
          <w:lang w:val="pt-BR"/>
        </w:rPr>
        <w:t>15</w:t>
      </w:r>
      <w:r w:rsidRPr="0020727A">
        <w:rPr>
          <w:lang w:val="pt-BR"/>
        </w:rPr>
        <w:t xml:space="preserve"> de </w:t>
      </w:r>
      <w:r w:rsidRPr="00D8141D">
        <w:rPr>
          <w:rFonts w:cs="Calibri"/>
          <w:lang w:val="pt-BR"/>
        </w:rPr>
        <w:t>janeiro</w:t>
      </w:r>
      <w:r w:rsidRPr="0020727A">
        <w:rPr>
          <w:lang w:val="pt-BR"/>
        </w:rPr>
        <w:t xml:space="preserve"> de 2022</w:t>
      </w:r>
      <w:r w:rsidR="002C484B" w:rsidRPr="00D8141D">
        <w:rPr>
          <w:rFonts w:cs="Calibri"/>
          <w:lang w:val="pt-BR"/>
        </w:rPr>
        <w:t>.</w:t>
      </w:r>
      <w:bookmarkEnd w:id="163"/>
    </w:p>
    <w:p w14:paraId="770F7176" w14:textId="77777777" w:rsidR="00E8286C" w:rsidRPr="00566CD3" w:rsidRDefault="003A1322" w:rsidP="00375404">
      <w:pPr>
        <w:pStyle w:val="Ttulo3"/>
        <w:spacing w:after="140"/>
        <w:jc w:val="both"/>
        <w:rPr>
          <w:i/>
        </w:rPr>
      </w:pPr>
      <w:bookmarkStart w:id="164" w:name="_Toc90045107"/>
      <w:bookmarkStart w:id="165" w:name="_Toc95928421"/>
      <w:r w:rsidRPr="00566CD3">
        <w:rPr>
          <w:i/>
        </w:rPr>
        <w:t>Data de Início da Rentabilidade</w:t>
      </w:r>
      <w:bookmarkEnd w:id="164"/>
      <w:bookmarkEnd w:id="165"/>
    </w:p>
    <w:p w14:paraId="2680B64D" w14:textId="77777777" w:rsidR="00684F0F" w:rsidRPr="0020727A" w:rsidRDefault="003A1322" w:rsidP="00375404">
      <w:pPr>
        <w:pStyle w:val="HOMEBRBodyText"/>
        <w:keepLines w:val="0"/>
        <w:widowControl w:val="0"/>
        <w:spacing w:after="140"/>
        <w:jc w:val="both"/>
        <w:rPr>
          <w:lang w:val="pt-BR"/>
        </w:rPr>
      </w:pPr>
      <w:r w:rsidRPr="0020727A">
        <w:rPr>
          <w:lang w:val="pt-BR"/>
        </w:rPr>
        <w:t xml:space="preserve">Para todos os fins e efeitos legais, a data de início da rentabilidade será a </w:t>
      </w:r>
      <w:r w:rsidRPr="00D8141D">
        <w:rPr>
          <w:rFonts w:cs="Calibri"/>
          <w:lang w:val="pt-BR"/>
        </w:rPr>
        <w:t>Primeira</w:t>
      </w:r>
      <w:r w:rsidRPr="0020727A">
        <w:rPr>
          <w:lang w:val="pt-BR"/>
        </w:rPr>
        <w:t xml:space="preserve"> Data de Integralização.</w:t>
      </w:r>
    </w:p>
    <w:p w14:paraId="32DE7A52" w14:textId="77777777" w:rsidR="003A1322" w:rsidRPr="00566CD3" w:rsidRDefault="003A1322" w:rsidP="009E2BE2">
      <w:pPr>
        <w:pStyle w:val="Ttulo3"/>
        <w:spacing w:after="140" w:line="290" w:lineRule="auto"/>
        <w:jc w:val="both"/>
        <w:rPr>
          <w:i/>
        </w:rPr>
      </w:pPr>
      <w:bookmarkStart w:id="166" w:name="_Toc90045108"/>
      <w:bookmarkStart w:id="167" w:name="_Toc95928422"/>
      <w:bookmarkStart w:id="168" w:name="_Toc87002484"/>
      <w:r w:rsidRPr="00566CD3">
        <w:rPr>
          <w:i/>
        </w:rPr>
        <w:t>Forma, Tipo e Comprovação de Titularidade</w:t>
      </w:r>
      <w:bookmarkEnd w:id="166"/>
      <w:bookmarkEnd w:id="167"/>
    </w:p>
    <w:bookmarkEnd w:id="168"/>
    <w:p w14:paraId="1C07672B" w14:textId="77777777" w:rsidR="00E8286C" w:rsidRPr="00D8141D" w:rsidRDefault="003A1322" w:rsidP="009E2BE2">
      <w:pPr>
        <w:pStyle w:val="HOMEBRBodyText"/>
        <w:keepLines w:val="0"/>
        <w:widowControl w:val="0"/>
        <w:spacing w:after="140" w:line="290" w:lineRule="auto"/>
        <w:jc w:val="both"/>
        <w:rPr>
          <w:rFonts w:cs="Calibri"/>
          <w:lang w:val="pt-BR"/>
        </w:rPr>
      </w:pPr>
      <w:r w:rsidRPr="0020727A">
        <w:rPr>
          <w:lang w:val="pt-BR"/>
        </w:rPr>
        <w:t>As Debêntures serão emitidas sob a forma nominativa e escritural,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 extrato em nome do Debenturista, que servirá de comprovante de titularidade de tais Debêntures</w:t>
      </w:r>
      <w:r w:rsidR="0061030F" w:rsidRPr="00D8141D">
        <w:rPr>
          <w:rFonts w:eastAsia="Calibri" w:cs="Calibri"/>
          <w:b/>
          <w:bCs/>
          <w:lang w:val="pt-BR"/>
        </w:rPr>
        <w:t>.</w:t>
      </w:r>
    </w:p>
    <w:p w14:paraId="630DAC1E" w14:textId="77777777" w:rsidR="00E8286C" w:rsidRPr="00566CD3" w:rsidRDefault="003A1322" w:rsidP="009E2BE2">
      <w:pPr>
        <w:pStyle w:val="Ttulo3"/>
        <w:spacing w:after="140" w:line="290" w:lineRule="auto"/>
        <w:jc w:val="both"/>
        <w:rPr>
          <w:i/>
        </w:rPr>
      </w:pPr>
      <w:bookmarkStart w:id="169" w:name="_Toc90045109"/>
      <w:bookmarkStart w:id="170" w:name="_Toc95928423"/>
      <w:r w:rsidRPr="00566CD3">
        <w:rPr>
          <w:i/>
        </w:rPr>
        <w:t>Conversibilidade</w:t>
      </w:r>
      <w:bookmarkEnd w:id="169"/>
      <w:bookmarkEnd w:id="170"/>
    </w:p>
    <w:p w14:paraId="1E90F063" w14:textId="77777777" w:rsidR="00E8286C" w:rsidRPr="00D8141D" w:rsidRDefault="003A1322" w:rsidP="009E2BE2">
      <w:pPr>
        <w:pStyle w:val="HOMEBRBodyText"/>
        <w:keepLines w:val="0"/>
        <w:widowControl w:val="0"/>
        <w:spacing w:after="140" w:line="290" w:lineRule="auto"/>
        <w:jc w:val="both"/>
        <w:rPr>
          <w:rFonts w:cs="Calibri"/>
          <w:lang w:val="pt-BR"/>
        </w:rPr>
      </w:pPr>
      <w:r w:rsidRPr="0020727A">
        <w:rPr>
          <w:lang w:val="pt-BR"/>
        </w:rPr>
        <w:t>As Debêntures serão simples, ou seja, não serão conversíveis em ações de emissão da Emissora.</w:t>
      </w:r>
    </w:p>
    <w:p w14:paraId="3962D89D" w14:textId="77777777" w:rsidR="00E8286C" w:rsidRPr="00566CD3" w:rsidRDefault="003A1322" w:rsidP="009E2BE2">
      <w:pPr>
        <w:pStyle w:val="Ttulo3"/>
        <w:spacing w:after="140" w:line="290" w:lineRule="auto"/>
        <w:jc w:val="both"/>
        <w:rPr>
          <w:i/>
        </w:rPr>
      </w:pPr>
      <w:bookmarkStart w:id="171" w:name="_Toc90045110"/>
      <w:bookmarkStart w:id="172" w:name="_Toc95928424"/>
      <w:r w:rsidRPr="00566CD3">
        <w:rPr>
          <w:i/>
        </w:rPr>
        <w:t>Espécie</w:t>
      </w:r>
      <w:bookmarkEnd w:id="171"/>
      <w:bookmarkEnd w:id="172"/>
    </w:p>
    <w:p w14:paraId="201CBFED" w14:textId="77777777" w:rsidR="00E8286C" w:rsidRPr="00D8141D" w:rsidRDefault="003A1322" w:rsidP="009E2BE2">
      <w:pPr>
        <w:pStyle w:val="HOMEBRBodyText"/>
        <w:keepLines w:val="0"/>
        <w:widowControl w:val="0"/>
        <w:spacing w:after="140" w:line="290" w:lineRule="auto"/>
        <w:jc w:val="both"/>
        <w:rPr>
          <w:rFonts w:cs="Calibri"/>
          <w:lang w:val="pt-BR"/>
        </w:rPr>
      </w:pPr>
      <w:r w:rsidRPr="0020727A">
        <w:rPr>
          <w:lang w:val="pt-BR"/>
        </w:rPr>
        <w:t>As Debêntures serão da espécie quirografária, nos termos do artigo 58 da Lei das Sociedades por Ações, sem preferência</w:t>
      </w:r>
      <w:r w:rsidR="005F54EC" w:rsidRPr="00D8141D">
        <w:rPr>
          <w:rFonts w:cs="Calibri"/>
          <w:lang w:val="pt-BR"/>
        </w:rPr>
        <w:t>.</w:t>
      </w:r>
    </w:p>
    <w:p w14:paraId="09FBA61E" w14:textId="77777777" w:rsidR="00E8286C" w:rsidRPr="00566CD3" w:rsidRDefault="003A1322" w:rsidP="009E2BE2">
      <w:pPr>
        <w:pStyle w:val="Ttulo3"/>
        <w:spacing w:after="140" w:line="290" w:lineRule="auto"/>
        <w:jc w:val="both"/>
        <w:rPr>
          <w:i/>
        </w:rPr>
      </w:pPr>
      <w:bookmarkStart w:id="173" w:name="_Ref90051811"/>
      <w:bookmarkStart w:id="174" w:name="_Ref90051906"/>
      <w:bookmarkStart w:id="175" w:name="_Toc90045111"/>
      <w:bookmarkStart w:id="176" w:name="_Toc95928425"/>
      <w:r w:rsidRPr="00566CD3">
        <w:rPr>
          <w:i/>
        </w:rPr>
        <w:t>Prazo e Data de Vencimento</w:t>
      </w:r>
      <w:bookmarkEnd w:id="173"/>
      <w:bookmarkEnd w:id="174"/>
      <w:bookmarkEnd w:id="175"/>
      <w:bookmarkEnd w:id="176"/>
    </w:p>
    <w:p w14:paraId="16207729" w14:textId="77777777" w:rsidR="00E8286C" w:rsidRPr="00D8141D" w:rsidRDefault="003A1322" w:rsidP="009E2BE2">
      <w:pPr>
        <w:pStyle w:val="HOMEBRBodyText"/>
        <w:keepLines w:val="0"/>
        <w:widowControl w:val="0"/>
        <w:spacing w:after="140" w:line="290" w:lineRule="auto"/>
        <w:jc w:val="both"/>
        <w:rPr>
          <w:rFonts w:cs="Calibri"/>
          <w:lang w:val="pt-BR"/>
        </w:rPr>
      </w:pPr>
      <w:r w:rsidRPr="0020727A">
        <w:rPr>
          <w:lang w:val="pt-BR"/>
        </w:rPr>
        <w:t xml:space="preserve">Observado o disposto na Escritura de Emissão e neste Prospecto, </w:t>
      </w:r>
      <w:r w:rsidRPr="00D8141D">
        <w:rPr>
          <w:rFonts w:cs="Calibri"/>
          <w:lang w:val="pt-BR"/>
        </w:rPr>
        <w:t xml:space="preserve">o prazo das: </w:t>
      </w:r>
      <w:r w:rsidRPr="00D8141D">
        <w:rPr>
          <w:rFonts w:cs="Calibri"/>
          <w:b/>
          <w:bCs/>
          <w:lang w:val="pt-BR"/>
        </w:rPr>
        <w:t>(i)</w:t>
      </w:r>
      <w:r w:rsidRPr="0020727A">
        <w:rPr>
          <w:b/>
          <w:lang w:val="pt-BR"/>
        </w:rPr>
        <w:t xml:space="preserve"> </w:t>
      </w:r>
      <w:r w:rsidRPr="0020727A">
        <w:rPr>
          <w:lang w:val="pt-BR"/>
        </w:rPr>
        <w:t xml:space="preserve">Debêntures </w:t>
      </w:r>
      <w:r w:rsidRPr="00D8141D">
        <w:rPr>
          <w:rFonts w:cs="Calibri"/>
          <w:lang w:val="pt-BR"/>
        </w:rPr>
        <w:t>da Primeira Série será</w:t>
      </w:r>
      <w:r w:rsidRPr="0020727A">
        <w:rPr>
          <w:lang w:val="pt-BR"/>
        </w:rPr>
        <w:t xml:space="preserve"> de 10 (dez) anos contados da Data de Emissão, vencendo-se, portanto, em </w:t>
      </w:r>
      <w:r w:rsidRPr="00D8141D">
        <w:rPr>
          <w:rFonts w:cs="Calibri"/>
          <w:lang w:val="pt-BR"/>
        </w:rPr>
        <w:t>15</w:t>
      </w:r>
      <w:r w:rsidRPr="0020727A">
        <w:rPr>
          <w:lang w:val="pt-BR"/>
        </w:rPr>
        <w:t xml:space="preserve"> de </w:t>
      </w:r>
      <w:r w:rsidRPr="00D8141D">
        <w:rPr>
          <w:rFonts w:cs="Calibri"/>
          <w:lang w:val="pt-BR"/>
        </w:rPr>
        <w:t>janeiro</w:t>
      </w:r>
      <w:r w:rsidRPr="0020727A">
        <w:rPr>
          <w:lang w:val="pt-BR"/>
        </w:rPr>
        <w:t xml:space="preserve"> de 2032 , qual seja a </w:t>
      </w:r>
      <w:r w:rsidRPr="00D8141D">
        <w:rPr>
          <w:rFonts w:cs="Calibri"/>
          <w:lang w:val="pt-BR"/>
        </w:rPr>
        <w:t xml:space="preserve">Data de Vencimento da Primeira Série; e </w:t>
      </w:r>
      <w:r w:rsidRPr="00D8141D">
        <w:rPr>
          <w:rFonts w:cs="Calibri"/>
          <w:b/>
          <w:bCs/>
          <w:lang w:val="pt-BR"/>
        </w:rPr>
        <w:t xml:space="preserve">(ii) </w:t>
      </w:r>
      <w:r w:rsidRPr="00D8141D">
        <w:rPr>
          <w:rFonts w:cs="Calibri"/>
          <w:lang w:val="pt-BR"/>
        </w:rPr>
        <w:t xml:space="preserve">Debêntures da Segunda </w:t>
      </w:r>
      <w:r w:rsidRPr="00D8141D">
        <w:rPr>
          <w:rFonts w:cs="Calibri"/>
          <w:lang w:val="pt-BR"/>
        </w:rPr>
        <w:lastRenderedPageBreak/>
        <w:t>Série será de 15 (quinze) anos contados da Data de Emissão, vencendo-se, portanto, em 15 de janeiro de 2037, qual seja a Data de Vencimento da Segunda Série e, em conjunto com a Data de Vencimento da Primeira Série, Data de Vencimento</w:t>
      </w:r>
      <w:r w:rsidR="005F54EC" w:rsidRPr="00D8141D">
        <w:rPr>
          <w:rFonts w:cs="Calibri"/>
          <w:lang w:val="pt-BR"/>
        </w:rPr>
        <w:t>.</w:t>
      </w:r>
    </w:p>
    <w:p w14:paraId="76882473" w14:textId="77777777" w:rsidR="00E8286C" w:rsidRPr="00566CD3" w:rsidRDefault="003A1322" w:rsidP="009E2BE2">
      <w:pPr>
        <w:pStyle w:val="Ttulo3"/>
        <w:spacing w:after="140" w:line="290" w:lineRule="auto"/>
        <w:jc w:val="both"/>
        <w:rPr>
          <w:i/>
        </w:rPr>
      </w:pPr>
      <w:bookmarkStart w:id="177" w:name="_Toc87002488"/>
      <w:bookmarkStart w:id="178" w:name="_Toc90045112"/>
      <w:bookmarkStart w:id="179" w:name="_Toc95928426"/>
      <w:r w:rsidRPr="00566CD3">
        <w:rPr>
          <w:i/>
        </w:rPr>
        <w:t>Valor Nominal Unitário</w:t>
      </w:r>
      <w:bookmarkEnd w:id="177"/>
      <w:bookmarkEnd w:id="178"/>
      <w:bookmarkEnd w:id="179"/>
    </w:p>
    <w:p w14:paraId="5FEB57B2" w14:textId="77777777" w:rsidR="00E8286C" w:rsidRPr="00D8141D" w:rsidRDefault="003A1322" w:rsidP="009E2BE2">
      <w:pPr>
        <w:pStyle w:val="HOMEBRBodyText"/>
        <w:keepLines w:val="0"/>
        <w:widowControl w:val="0"/>
        <w:spacing w:after="140" w:line="290" w:lineRule="auto"/>
        <w:jc w:val="both"/>
        <w:rPr>
          <w:rFonts w:cs="Calibri"/>
          <w:lang w:val="pt-BR"/>
        </w:rPr>
      </w:pPr>
      <w:r w:rsidRPr="0020727A">
        <w:rPr>
          <w:lang w:val="pt-BR"/>
        </w:rPr>
        <w:t>As Debêntures terão valor nominal unitário de R</w:t>
      </w:r>
      <w:r w:rsidRPr="00D8141D">
        <w:rPr>
          <w:rFonts w:cs="Calibri"/>
          <w:lang w:val="pt-BR"/>
        </w:rPr>
        <w:t>$</w:t>
      </w:r>
      <w:r w:rsidRPr="0020727A">
        <w:rPr>
          <w:lang w:val="pt-BR"/>
        </w:rPr>
        <w:t>1.000,00 (mil reais</w:t>
      </w:r>
      <w:r w:rsidRPr="00D8141D">
        <w:rPr>
          <w:rFonts w:cs="Calibri"/>
          <w:lang w:val="pt-BR"/>
        </w:rPr>
        <w:t>),</w:t>
      </w:r>
      <w:r w:rsidRPr="0020727A">
        <w:rPr>
          <w:lang w:val="pt-BR"/>
        </w:rPr>
        <w:t xml:space="preserve"> na Data de Emissão</w:t>
      </w:r>
      <w:r w:rsidR="005F54EC" w:rsidRPr="00D8141D">
        <w:rPr>
          <w:rFonts w:cs="Calibri"/>
          <w:lang w:val="pt-BR"/>
        </w:rPr>
        <w:t>.</w:t>
      </w:r>
    </w:p>
    <w:p w14:paraId="629034AF" w14:textId="77777777" w:rsidR="00E806E8" w:rsidRPr="00566CD3" w:rsidRDefault="003A1322" w:rsidP="009E2BE2">
      <w:pPr>
        <w:pStyle w:val="Ttulo3"/>
        <w:spacing w:after="140" w:line="290" w:lineRule="auto"/>
        <w:jc w:val="both"/>
        <w:rPr>
          <w:i/>
        </w:rPr>
      </w:pPr>
      <w:bookmarkStart w:id="180" w:name="_Ref90057599"/>
      <w:bookmarkStart w:id="181" w:name="_Ref90061986"/>
      <w:bookmarkStart w:id="182" w:name="_Toc90045113"/>
      <w:bookmarkStart w:id="183" w:name="_Toc95928427"/>
      <w:r w:rsidRPr="00566CD3">
        <w:rPr>
          <w:i/>
        </w:rPr>
        <w:t>Atualização Monetária</w:t>
      </w:r>
      <w:bookmarkEnd w:id="180"/>
      <w:bookmarkEnd w:id="181"/>
      <w:bookmarkEnd w:id="182"/>
      <w:bookmarkEnd w:id="183"/>
    </w:p>
    <w:p w14:paraId="5142026D" w14:textId="77777777" w:rsidR="00F14CD9" w:rsidRPr="00566CD3" w:rsidRDefault="003A1322" w:rsidP="003A1322">
      <w:pPr>
        <w:jc w:val="both"/>
      </w:pPr>
      <w:r w:rsidRPr="00566CD3">
        <w:t>O Valor Nominal Unitário (ou o saldo do Valor Nominal Unitário, conforme aplicável) das Debêntures será atualizado monetariamente pela variação do IPCA, IBGE, desde a Primeira Data de Integralização até a data de seu efetivo pagamento, qual seja a Atualização Monetária, sendo o produto da Atualização Monetária incorporado ao Valor Nominal Unitário (ou ao saldo do Valor Nominal Unitário, conforme aplicável) das Debêntures</w:t>
      </w:r>
      <w:r w:rsidR="00703E44" w:rsidRPr="00566CD3">
        <w:t>, o</w:t>
      </w:r>
      <w:r w:rsidRPr="00566CD3">
        <w:t xml:space="preserve"> Valor Nominal </w:t>
      </w:r>
      <w:r w:rsidR="009D09A0" w:rsidRPr="00566CD3">
        <w:t xml:space="preserve">Unitário </w:t>
      </w:r>
      <w:r w:rsidRPr="00566CD3">
        <w:t xml:space="preserve">Atualizado. A Atualização Monetária será calculada de forma </w:t>
      </w:r>
      <w:r w:rsidRPr="00566CD3">
        <w:rPr>
          <w:i/>
        </w:rPr>
        <w:t>pro rata temporis</w:t>
      </w:r>
      <w:r w:rsidRPr="00566CD3">
        <w:t>, com base em 252 (duzentos e cinquenta e dois) Dias Úteis conforme a fórmula abaixo</w:t>
      </w:r>
      <w:r w:rsidR="00703E44" w:rsidRPr="00566CD3">
        <w:t>:</w:t>
      </w:r>
    </w:p>
    <w:p w14:paraId="6C63FC2B" w14:textId="77777777" w:rsidR="00703E44" w:rsidRPr="0020727A" w:rsidRDefault="00703E44" w:rsidP="00F14CD9">
      <w:pPr>
        <w:jc w:val="center"/>
      </w:pPr>
      <w:r w:rsidRPr="0020727A">
        <w:object w:dxaOrig="1359" w:dyaOrig="260" w14:anchorId="0FEFC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3.5pt" o:ole="" fillcolor="window">
            <v:imagedata r:id="rId24" o:title=""/>
          </v:shape>
          <o:OLEObject Type="Embed" ProgID="Equation.3" ShapeID="_x0000_i1025" DrawAspect="Content" ObjectID="_1709326825" r:id="rId25"/>
        </w:object>
      </w:r>
    </w:p>
    <w:p w14:paraId="52CDDF07" w14:textId="77777777" w:rsidR="005C1AA2" w:rsidRPr="00566CD3" w:rsidRDefault="005C1AA2" w:rsidP="005C1AA2">
      <w:pPr>
        <w:pStyle w:val="Body2"/>
        <w:ind w:left="1134"/>
        <w:jc w:val="both"/>
      </w:pPr>
      <w:r w:rsidRPr="00566CD3">
        <w:t>onde:</w:t>
      </w:r>
    </w:p>
    <w:p w14:paraId="3EF1EE7A" w14:textId="77777777" w:rsidR="005C1AA2" w:rsidRPr="00566CD3" w:rsidRDefault="005C1AA2" w:rsidP="005C1AA2">
      <w:pPr>
        <w:pStyle w:val="Body2"/>
        <w:ind w:left="1134"/>
        <w:jc w:val="both"/>
      </w:pPr>
      <w:r w:rsidRPr="00566CD3">
        <w:t>VNa = Valor Nominal Unitário Atualizado das Debêntures calculado com 8 (oito) casas decimais, sem arredondamento;</w:t>
      </w:r>
    </w:p>
    <w:p w14:paraId="62569D7A" w14:textId="77777777" w:rsidR="005C1AA2" w:rsidRPr="00566CD3" w:rsidRDefault="005C1AA2" w:rsidP="005C1AA2">
      <w:pPr>
        <w:pStyle w:val="Body2"/>
        <w:ind w:left="1134"/>
        <w:jc w:val="both"/>
      </w:pPr>
      <w:r w:rsidRPr="00566CD3">
        <w:t>VNe = Valor Nominal Unitário (ou saldo do Valor Nominal Unitário, conforme o caso) das Debêntures informado/calculado com 8 (oito) casas decimais, sem arredondamento;</w:t>
      </w:r>
    </w:p>
    <w:p w14:paraId="2FE44563" w14:textId="77777777" w:rsidR="005C1AA2" w:rsidRPr="00566CD3" w:rsidRDefault="005C1AA2" w:rsidP="005C1AA2">
      <w:pPr>
        <w:pStyle w:val="Body2"/>
        <w:ind w:left="1134"/>
        <w:jc w:val="both"/>
      </w:pPr>
      <w:r w:rsidRPr="00566CD3">
        <w:t>C = fator acumulado das variações mensais do IPCA, calculado com 8 (oito) casas decimais, sem arredondamento, apurado da seguinte forma:</w:t>
      </w:r>
    </w:p>
    <w:p w14:paraId="6346A84D" w14:textId="77777777" w:rsidR="00703E44" w:rsidRPr="0020727A" w:rsidRDefault="005C1AA2" w:rsidP="00703E44">
      <w:pPr>
        <w:jc w:val="center"/>
      </w:pPr>
      <w:r w:rsidRPr="0020727A">
        <w:object w:dxaOrig="2079" w:dyaOrig="1120" w14:anchorId="7C6A1711">
          <v:shape id="_x0000_i1026" type="#_x0000_t75" style="width:96pt;height:49.5pt" o:ole="" fillcolor="window">
            <v:imagedata r:id="rId26" o:title=""/>
          </v:shape>
          <o:OLEObject Type="Embed" ProgID="Equation.3" ShapeID="_x0000_i1026" DrawAspect="Content" ObjectID="_1709326826" r:id="rId27"/>
        </w:object>
      </w:r>
    </w:p>
    <w:p w14:paraId="28B37ACD" w14:textId="77777777" w:rsidR="005C1AA2" w:rsidRPr="00566CD3" w:rsidRDefault="005C1AA2" w:rsidP="005C1AA2">
      <w:pPr>
        <w:pStyle w:val="Body2"/>
        <w:ind w:left="1134"/>
        <w:jc w:val="both"/>
      </w:pPr>
      <w:r w:rsidRPr="00566CD3">
        <w:t>onde:</w:t>
      </w:r>
    </w:p>
    <w:p w14:paraId="087AC25F" w14:textId="77777777" w:rsidR="005C1AA2" w:rsidRPr="00566CD3" w:rsidRDefault="005C1AA2" w:rsidP="005C1AA2">
      <w:pPr>
        <w:pStyle w:val="Body2"/>
        <w:ind w:left="1134"/>
        <w:jc w:val="both"/>
      </w:pPr>
      <w:r w:rsidRPr="00566CD3">
        <w:t>n = número total de números-índices do IPCA considerados na atualização monetária das Debêntures, sendo “n” um número inteiro;</w:t>
      </w:r>
    </w:p>
    <w:p w14:paraId="687F7D51" w14:textId="77777777" w:rsidR="005C1AA2" w:rsidRPr="00566CD3" w:rsidRDefault="005C1AA2" w:rsidP="005C1AA2">
      <w:pPr>
        <w:pStyle w:val="Body2"/>
        <w:ind w:left="1134"/>
        <w:jc w:val="both"/>
      </w:pPr>
      <w:r w:rsidRPr="00566CD3">
        <w:t>NI</w:t>
      </w:r>
      <w:r w:rsidRPr="00566CD3">
        <w:rPr>
          <w:vertAlign w:val="subscript"/>
        </w:rPr>
        <w:t>k</w:t>
      </w:r>
      <w:r w:rsidRPr="00566CD3">
        <w:t xml:space="preserve"> = valor do número-índice do IPCA do mês anterior ao mês de atualização, caso a atualização seja em data anterior ou na própria data de aniversário das Debêntures. Após a data de aniversário, “NI</w:t>
      </w:r>
      <w:r w:rsidRPr="00566CD3">
        <w:rPr>
          <w:vertAlign w:val="subscript"/>
        </w:rPr>
        <w:t>k</w:t>
      </w:r>
      <w:r w:rsidRPr="00566CD3">
        <w:t>” corresponderá ao valor do número-índice do IPCA do mês de atualização;</w:t>
      </w:r>
    </w:p>
    <w:p w14:paraId="7DF77F36" w14:textId="77777777" w:rsidR="005C1AA2" w:rsidRPr="00566CD3" w:rsidRDefault="005C1AA2" w:rsidP="005C1AA2">
      <w:pPr>
        <w:pStyle w:val="Body2"/>
        <w:ind w:left="1134"/>
        <w:jc w:val="both"/>
      </w:pPr>
      <w:r w:rsidRPr="00566CD3">
        <w:t>NI</w:t>
      </w:r>
      <w:r w:rsidRPr="00566CD3">
        <w:rPr>
          <w:vertAlign w:val="subscript"/>
        </w:rPr>
        <w:t>k-1</w:t>
      </w:r>
      <w:r w:rsidRPr="00566CD3">
        <w:t xml:space="preserve"> = valor do número-índice do IPCA do mês anterior ao mês “k”;</w:t>
      </w:r>
    </w:p>
    <w:p w14:paraId="1AD84550" w14:textId="77777777" w:rsidR="005C1AA2" w:rsidRPr="00566CD3" w:rsidRDefault="005C1AA2" w:rsidP="005C1AA2">
      <w:pPr>
        <w:pStyle w:val="Body2"/>
        <w:ind w:left="1134"/>
        <w:jc w:val="both"/>
      </w:pPr>
      <w:r w:rsidRPr="00566CD3">
        <w:lastRenderedPageBreak/>
        <w:t>dup = número de Dias Úteis entre a primeira Data de Integralização ou a data de aniversário imediatamente anterior, conforme o caso, e a data de cálculo, limitado ao número total de Dias Úteis de vigência do número-índice do IPCA, sendo “dup” um número inteiro; e</w:t>
      </w:r>
    </w:p>
    <w:p w14:paraId="75E7C9ED" w14:textId="77777777" w:rsidR="005C1AA2" w:rsidRPr="00566CD3" w:rsidRDefault="005C1AA2" w:rsidP="005C1AA2">
      <w:pPr>
        <w:pStyle w:val="Body2"/>
        <w:ind w:left="1134"/>
        <w:jc w:val="both"/>
      </w:pPr>
      <w:r w:rsidRPr="00566CD3">
        <w:t>dut = número de Dias Úteis entre a data de aniversário imediatamente anterior e a data de aniversário imediatamente subsequente, sendo “dut” um número inteiro.</w:t>
      </w:r>
    </w:p>
    <w:p w14:paraId="583A8E52" w14:textId="77777777" w:rsidR="005C1AA2" w:rsidRPr="00566CD3" w:rsidRDefault="005C1AA2" w:rsidP="005C1AA2">
      <w:pPr>
        <w:pStyle w:val="Body2"/>
        <w:ind w:left="1134"/>
        <w:jc w:val="both"/>
      </w:pPr>
      <w:r w:rsidRPr="00566CD3">
        <w:t xml:space="preserve">A aplicação do IPCA incidirá no menor período permitido pela legislação em vigor, sem necessidade de ajuste a Escritura de Emissão ou qualquer outra formalidade. </w:t>
      </w:r>
    </w:p>
    <w:p w14:paraId="5972B821" w14:textId="77777777" w:rsidR="005C1AA2" w:rsidRPr="00566CD3" w:rsidRDefault="005C1AA2" w:rsidP="005C1AA2">
      <w:pPr>
        <w:ind w:left="1134"/>
        <w:jc w:val="both"/>
      </w:pPr>
      <w:r w:rsidRPr="00566CD3">
        <w:t>O IPCA deverá ser utilizado considerando idêntico número de casas decimais divulgado pelo IBGE</w:t>
      </w:r>
      <w:r w:rsidR="00D23A08" w:rsidRPr="00566CD3">
        <w:t>:</w:t>
      </w:r>
    </w:p>
    <w:p w14:paraId="210EA9C0" w14:textId="77777777" w:rsidR="00D23A08" w:rsidRPr="00566CD3" w:rsidRDefault="00D23A08" w:rsidP="00566CD3">
      <w:pPr>
        <w:pStyle w:val="GradeMdia1-nfase21"/>
        <w:numPr>
          <w:ilvl w:val="0"/>
          <w:numId w:val="45"/>
        </w:numPr>
        <w:spacing w:after="140"/>
        <w:ind w:left="1701" w:firstLine="0"/>
        <w:jc w:val="both"/>
      </w:pPr>
      <w:r w:rsidRPr="00566CD3">
        <w:t>Considera-se a “Data de Aniversário” todo dia 15 de cada mês;</w:t>
      </w:r>
    </w:p>
    <w:p w14:paraId="4A92E378" w14:textId="77777777" w:rsidR="00D23A08" w:rsidRPr="00566CD3" w:rsidRDefault="00D23A08" w:rsidP="00566CD3">
      <w:pPr>
        <w:pStyle w:val="GradeMdia1-nfase21"/>
        <w:numPr>
          <w:ilvl w:val="0"/>
          <w:numId w:val="45"/>
        </w:numPr>
        <w:spacing w:after="140"/>
        <w:ind w:left="1701" w:firstLine="0"/>
        <w:jc w:val="both"/>
      </w:pPr>
      <w:r w:rsidRPr="00566CD3">
        <w:t>Considera-se como mês de atualização, o período mensal compreendido entre duas datas de aniversários consecutivas das Debêntures;</w:t>
      </w:r>
    </w:p>
    <w:p w14:paraId="002D5FB2" w14:textId="77777777" w:rsidR="00D23A08" w:rsidRPr="00566CD3" w:rsidRDefault="00D23A08" w:rsidP="00566CD3">
      <w:pPr>
        <w:pStyle w:val="GradeMdia1-nfase21"/>
        <w:numPr>
          <w:ilvl w:val="0"/>
          <w:numId w:val="45"/>
        </w:numPr>
        <w:spacing w:after="140" w:line="276" w:lineRule="auto"/>
        <w:ind w:left="1701" w:firstLine="0"/>
        <w:jc w:val="both"/>
      </w:pPr>
      <w:r w:rsidRPr="00566CD3">
        <w:t xml:space="preserve">O fator resultante da expressão </w:t>
      </w:r>
      <w:r w:rsidRPr="0020727A">
        <w:object w:dxaOrig="1060" w:dyaOrig="859" w14:anchorId="0D03DB18">
          <v:shape id="_x0000_i1027" type="#_x0000_t75" style="width:41.25pt;height:36pt" o:ole="">
            <v:imagedata r:id="rId28" o:title=""/>
          </v:shape>
          <o:OLEObject Type="Embed" ProgID="Equation.3" ShapeID="_x0000_i1027" DrawAspect="Content" ObjectID="_1709326827" r:id="rId29"/>
        </w:object>
      </w:r>
      <w:r w:rsidRPr="00566CD3">
        <w:t xml:space="preserve"> são considerados com 8 (oito) casas decimais, sem arredondamento;</w:t>
      </w:r>
    </w:p>
    <w:p w14:paraId="67BCCEC2" w14:textId="77777777" w:rsidR="00D23A08" w:rsidRPr="00566CD3" w:rsidRDefault="00D23A08" w:rsidP="00566CD3">
      <w:pPr>
        <w:pStyle w:val="GradeMdia1-nfase21"/>
        <w:numPr>
          <w:ilvl w:val="0"/>
          <w:numId w:val="45"/>
        </w:numPr>
        <w:spacing w:after="140" w:line="276" w:lineRule="auto"/>
        <w:ind w:left="1701" w:firstLine="0"/>
        <w:jc w:val="both"/>
      </w:pPr>
      <w:r w:rsidRPr="00566CD3">
        <w:t>O produtório é executado a partir do fator mais recente, acrescentando-se, em seguida, os mais remotos. Os resultados intermediários são calculados com 16 (dezesseis) casas decimais, sem arredondamento;</w:t>
      </w:r>
    </w:p>
    <w:p w14:paraId="5154D0ED" w14:textId="77777777" w:rsidR="00D23A08" w:rsidRPr="00566CD3" w:rsidRDefault="00D23A08" w:rsidP="00566CD3">
      <w:pPr>
        <w:pStyle w:val="GradeMdia1-nfase21"/>
        <w:numPr>
          <w:ilvl w:val="0"/>
          <w:numId w:val="45"/>
        </w:numPr>
        <w:spacing w:after="140" w:line="276" w:lineRule="auto"/>
        <w:ind w:left="1701" w:firstLine="0"/>
        <w:jc w:val="both"/>
      </w:pPr>
      <w:r w:rsidRPr="00566CD3">
        <w:t>Os valores dos finais de semana ou feriados serão iguais ao valor do Dia Útil subsequente, apropriando o “pro rata” do último Dia Útil anterior.</w:t>
      </w:r>
    </w:p>
    <w:p w14:paraId="3DE00444" w14:textId="77777777" w:rsidR="008C44CA" w:rsidRPr="00566CD3" w:rsidRDefault="008C44CA" w:rsidP="00F61717">
      <w:pPr>
        <w:pStyle w:val="Ttulo1"/>
        <w:keepNext w:val="0"/>
        <w:pageBreakBefore w:val="0"/>
        <w:widowControl w:val="0"/>
        <w:spacing w:after="140" w:line="290" w:lineRule="auto"/>
        <w:jc w:val="left"/>
        <w:rPr>
          <w:b w:val="0"/>
          <w:caps w:val="0"/>
          <w:u w:val="single"/>
        </w:rPr>
      </w:pPr>
      <w:bookmarkStart w:id="184" w:name="_Ref90056994"/>
      <w:bookmarkStart w:id="185" w:name="_Toc95900752"/>
      <w:bookmarkStart w:id="186" w:name="_Toc95928428"/>
      <w:r w:rsidRPr="00566CD3">
        <w:rPr>
          <w:b w:val="0"/>
          <w:caps w:val="0"/>
          <w:u w:val="single"/>
        </w:rPr>
        <w:t>Indisponibilidade do IPCA</w:t>
      </w:r>
      <w:bookmarkEnd w:id="184"/>
      <w:bookmarkEnd w:id="185"/>
      <w:bookmarkEnd w:id="186"/>
    </w:p>
    <w:p w14:paraId="56107B52" w14:textId="77777777" w:rsidR="00D23A08" w:rsidRPr="00566CD3" w:rsidRDefault="00D23A08" w:rsidP="00D23A08">
      <w:pPr>
        <w:spacing w:after="140" w:line="290" w:lineRule="auto"/>
        <w:jc w:val="both"/>
      </w:pPr>
      <w:r w:rsidRPr="00566CD3">
        <w:t>No caso de indisponibilidade temporária do IPCA quando do pagamento de qualquer obrigação pecuniária prevista na Escritura de Emissão para as Debêntures, será utilizada, em sua substituição, a mesma variação produzida pelo último IPCA divulgado até a data do cálculo, não sendo devidas quaisquer compensações financeiras, tanto por parte da Emissora quanto pelos Debenturistas, quando da divulgação posterior do IPCA.</w:t>
      </w:r>
    </w:p>
    <w:p w14:paraId="5157D1BA" w14:textId="77777777" w:rsidR="00D23A08" w:rsidRPr="00566CD3" w:rsidRDefault="00D23A08" w:rsidP="00D23A08">
      <w:pPr>
        <w:spacing w:after="140" w:line="290" w:lineRule="auto"/>
        <w:jc w:val="both"/>
      </w:pPr>
      <w:r w:rsidRPr="00566CD3">
        <w:t xml:space="preserve">No Período de Ausência do IPCA por prazo superior a 30 (trinta) dias contados da data esperada para sua apuração e/ou divulgação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na Escritura de Emissão, para os Debenturistas definirem, de comum acordo com a Emissora, observada a regulamentação aplicável, a nova Taxa Substitutiva a ser aplicada, a qual deverá refletir </w:t>
      </w:r>
      <w:r w:rsidRPr="00566CD3">
        <w:lastRenderedPageBreak/>
        <w:t>parâmetros utilizados em operações similares existentes à época. Até a deliberação desse parâmetro será utilizada, para o cálculo do valor de quaisquer obrigações pecuniárias previstas na Escritura de Emissão, a mesma variação produzida pelo último IPCA divulgado até a data do cálculo, não sendo devidas quaisquer compensações financeiras, multas ou penalidades, tanto por parte da Emissora quanto pelos Debenturistas, quando da divulgação posterior do IPCA.</w:t>
      </w:r>
    </w:p>
    <w:p w14:paraId="3115BDB7" w14:textId="77777777" w:rsidR="00D23A08" w:rsidRPr="00566CD3" w:rsidRDefault="00D23A08" w:rsidP="00D23A08">
      <w:pPr>
        <w:spacing w:after="140" w:line="290" w:lineRule="auto"/>
        <w:jc w:val="both"/>
      </w:pPr>
      <w:r w:rsidRPr="00566CD3">
        <w:t>Caso o IPCA venha a ser divulgado antes da realização da Assembleia Geral de Debenturistas, a referida Assembleia Geral de Debenturistas não será mais realizada, e o IPCA a partir de sua divulgação, voltará a ser utilizado para o cálculo do Valor Nominal Unitário Atualizado das Debêntures desde o dia de sua indisponibilidade.</w:t>
      </w:r>
    </w:p>
    <w:p w14:paraId="2A1BD399" w14:textId="77777777" w:rsidR="00D23A08" w:rsidRPr="00566CD3" w:rsidRDefault="00D23A08" w:rsidP="00D23A08">
      <w:pPr>
        <w:spacing w:after="140" w:line="290" w:lineRule="auto"/>
        <w:jc w:val="both"/>
      </w:pPr>
      <w:r w:rsidRPr="00566CD3">
        <w:t xml:space="preserve">Caso não haja acordo sobre a Taxa Substitutiva entre a Emissora e os Debenturistas representando, no mínimo, </w:t>
      </w:r>
      <w:r w:rsidRPr="00566CD3">
        <w:rPr>
          <w:rStyle w:val="DeltaViewInsertion"/>
          <w:color w:val="auto"/>
          <w:u w:val="none"/>
        </w:rPr>
        <w:t xml:space="preserve">50% (cinquenta por cento) mais uma </w:t>
      </w:r>
      <w:r w:rsidRPr="00566CD3">
        <w:t xml:space="preserve">das Debêntures em Circulação em primeira convocação e maioria simples dos presentes em segunda convocação das Debêntures, ainda que por falta de quórum de deliberação ou de instalação, em segunda convocação, a Emissora deverá resgatar antecipadamente a totalidade das Debêntures, caso seja legalmente permitido à Emissora realizar o resgate antecipado das Debêntures, nos termos da Lei 12.431, da Resolução CMN 4.751 e das demais disposições legais e regulamentares aplicáveis, sem multa ou prêmio de qualquer natureza, no prazo de 30 (trinta) dias contados da data da realização da respectiva Assembleia Geral de Debenturistas ou da data em que deveria ter sido realizada a respectiva Assembleia Geral de Debenturista, pelo seu Valor Nominal Unitário Atualizado, acrescido da Remuneração das Debêntures devida calculada </w:t>
      </w:r>
      <w:r w:rsidRPr="00566CD3">
        <w:rPr>
          <w:i/>
        </w:rPr>
        <w:t>pro rata temporis</w:t>
      </w:r>
      <w:r w:rsidRPr="00566CD3">
        <w:t xml:space="preserve"> desde a primeira Data de Integralização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será utilizada a mesma variação produzida pelo último IPCA divulgado até a data do cálculo</w:t>
      </w:r>
    </w:p>
    <w:p w14:paraId="08915E51" w14:textId="77777777" w:rsidR="008170A7" w:rsidRPr="00566CD3" w:rsidRDefault="00231BD2">
      <w:pPr>
        <w:pStyle w:val="Ttulo3"/>
        <w:spacing w:after="140" w:line="290" w:lineRule="auto"/>
        <w:jc w:val="both"/>
        <w:rPr>
          <w:i/>
        </w:rPr>
      </w:pPr>
      <w:bookmarkStart w:id="187" w:name="_Ref90216785"/>
      <w:bookmarkStart w:id="188" w:name="_Toc95928429"/>
      <w:bookmarkStart w:id="189" w:name="_Toc90045114"/>
      <w:bookmarkStart w:id="190" w:name="_Toc87002490"/>
      <w:r w:rsidRPr="00566CD3">
        <w:rPr>
          <w:i/>
        </w:rPr>
        <w:t>Remuneração das Debêntures</w:t>
      </w:r>
      <w:bookmarkEnd w:id="187"/>
      <w:bookmarkEnd w:id="188"/>
    </w:p>
    <w:p w14:paraId="4BDBF2B6" w14:textId="77777777" w:rsidR="00231BD2" w:rsidRPr="00566CD3" w:rsidRDefault="00DB205D" w:rsidP="009E2BE2">
      <w:pPr>
        <w:pStyle w:val="Ttulo3"/>
        <w:spacing w:after="140" w:line="290" w:lineRule="auto"/>
        <w:jc w:val="both"/>
        <w:rPr>
          <w:i/>
        </w:rPr>
      </w:pPr>
      <w:bookmarkStart w:id="191" w:name="_Toc95928430"/>
      <w:r w:rsidRPr="00566CD3">
        <w:rPr>
          <w:i/>
        </w:rPr>
        <w:t>Remuneração das Debêntures</w:t>
      </w:r>
      <w:r w:rsidR="00231BD2" w:rsidRPr="00566CD3">
        <w:rPr>
          <w:i/>
        </w:rPr>
        <w:t xml:space="preserve"> da Primeira Série</w:t>
      </w:r>
      <w:bookmarkEnd w:id="189"/>
      <w:bookmarkEnd w:id="191"/>
    </w:p>
    <w:p w14:paraId="4FFB0D2D" w14:textId="77777777" w:rsidR="006C0A8E" w:rsidRPr="00566CD3" w:rsidRDefault="006C0A8E" w:rsidP="006C0A8E">
      <w:pPr>
        <w:jc w:val="both"/>
      </w:pPr>
      <w:r w:rsidRPr="00566CD3">
        <w:t xml:space="preserve">Sobre o Valor Nominal </w:t>
      </w:r>
      <w:r w:rsidR="009D09A0" w:rsidRPr="00566CD3">
        <w:t xml:space="preserve">Unitário </w:t>
      </w:r>
      <w:r w:rsidRPr="00566CD3">
        <w:t>Atualizado das Debêntures da Primeira Série</w:t>
      </w:r>
      <w:r w:rsidR="00873E04" w:rsidRPr="00566CD3">
        <w:t>,</w:t>
      </w:r>
      <w:r w:rsidRPr="00566CD3">
        <w:t xml:space="preserve"> incidirão juros remuneratórios correspondentes a </w:t>
      </w:r>
      <w:r w:rsidR="00CC35CD" w:rsidRPr="00566CD3">
        <w:t>5,9741</w:t>
      </w:r>
      <w:r w:rsidRPr="00566CD3">
        <w:t xml:space="preserve">% (cinco inteiros e </w:t>
      </w:r>
      <w:r w:rsidR="00CC35CD" w:rsidRPr="00566CD3">
        <w:t xml:space="preserve">nove mil setecentos e quarenta </w:t>
      </w:r>
      <w:r w:rsidRPr="00566CD3">
        <w:t xml:space="preserve">e </w:t>
      </w:r>
      <w:r w:rsidR="00CC35CD" w:rsidRPr="00566CD3">
        <w:t>um décimos de milésimos por cento)</w:t>
      </w:r>
      <w:r w:rsidR="003D6C0D" w:rsidRPr="00566CD3">
        <w:t xml:space="preserve"> ao ano, base 252 Dias Úteis</w:t>
      </w:r>
      <w:r w:rsidR="00F62F95" w:rsidRPr="00566CD3">
        <w:t>.</w:t>
      </w:r>
    </w:p>
    <w:p w14:paraId="6D35681D" w14:textId="77777777" w:rsidR="00F62F95" w:rsidRPr="00566CD3" w:rsidRDefault="00F62F95" w:rsidP="00FF1ED9">
      <w:pPr>
        <w:pStyle w:val="Ttulo3"/>
        <w:spacing w:before="240" w:after="140" w:line="290" w:lineRule="auto"/>
        <w:jc w:val="both"/>
        <w:rPr>
          <w:i/>
        </w:rPr>
      </w:pPr>
      <w:bookmarkStart w:id="192" w:name="_Toc90045115"/>
      <w:bookmarkStart w:id="193" w:name="_Toc95928431"/>
      <w:r w:rsidRPr="00566CD3">
        <w:rPr>
          <w:i/>
        </w:rPr>
        <w:t>Remuneração das Debêntures da Segunda Série</w:t>
      </w:r>
      <w:bookmarkEnd w:id="192"/>
      <w:bookmarkEnd w:id="193"/>
    </w:p>
    <w:p w14:paraId="34E80889" w14:textId="77777777" w:rsidR="00F62F95" w:rsidRPr="00566CD3" w:rsidRDefault="00F62F95" w:rsidP="00375404">
      <w:pPr>
        <w:jc w:val="both"/>
      </w:pPr>
      <w:r w:rsidRPr="00566CD3">
        <w:t xml:space="preserve">Sobre o Valor Nominal </w:t>
      </w:r>
      <w:r w:rsidR="009D09A0" w:rsidRPr="00566CD3">
        <w:t xml:space="preserve">Unitário </w:t>
      </w:r>
      <w:r w:rsidRPr="00566CD3">
        <w:t>Atualizado das Debêntures da Segunda Série</w:t>
      </w:r>
      <w:r w:rsidR="00873E04" w:rsidRPr="00566CD3">
        <w:t>,</w:t>
      </w:r>
      <w:r w:rsidRPr="00566CD3">
        <w:t xml:space="preserve"> incidirão juros remuneratórios correspondentes a </w:t>
      </w:r>
      <w:r w:rsidR="00CC35CD" w:rsidRPr="00566CD3">
        <w:t>6,1076% (seis inteiros e mil e setenta e seis décimos de milésimos por cento)</w:t>
      </w:r>
      <w:r w:rsidR="003D6C0D" w:rsidRPr="00566CD3">
        <w:t xml:space="preserve"> ao ano, base 252 Dias Úteis</w:t>
      </w:r>
      <w:r w:rsidRPr="00566CD3">
        <w:t>.</w:t>
      </w:r>
    </w:p>
    <w:p w14:paraId="449C4E1B" w14:textId="77777777" w:rsidR="00F62F95" w:rsidRPr="00566CD3" w:rsidRDefault="00A30E36" w:rsidP="00375404">
      <w:pPr>
        <w:jc w:val="both"/>
      </w:pPr>
      <w:r w:rsidRPr="00566CD3">
        <w:t>A</w:t>
      </w:r>
      <w:r w:rsidR="00F62F95" w:rsidRPr="00566CD3">
        <w:t>s respectiv</w:t>
      </w:r>
      <w:r w:rsidRPr="00566CD3">
        <w:t>a</w:t>
      </w:r>
      <w:r w:rsidR="00F62F95" w:rsidRPr="00566CD3">
        <w:t xml:space="preserve">s </w:t>
      </w:r>
      <w:r w:rsidRPr="00566CD3">
        <w:t>Remunerações</w:t>
      </w:r>
      <w:r w:rsidR="00F62F95" w:rsidRPr="00566CD3">
        <w:t xml:space="preserve"> serão calculados em regime de capitalização composta por forma </w:t>
      </w:r>
      <w:r w:rsidR="00F62F95" w:rsidRPr="00566CD3">
        <w:rPr>
          <w:i/>
        </w:rPr>
        <w:t>pro rata temporis</w:t>
      </w:r>
      <w:r w:rsidR="00F62F95" w:rsidRPr="00566CD3">
        <w:t xml:space="preserve"> por Dias Úteis decorridos desde a Primeira Data de Integralização ou a respectiva </w:t>
      </w:r>
      <w:r w:rsidR="00F62F95" w:rsidRPr="00566CD3">
        <w:lastRenderedPageBreak/>
        <w:t>Data de Pagamento de Juros Remuneratórios imediatamente anterior, conforme o caso, até a data de seu efetivo pagamento.</w:t>
      </w:r>
    </w:p>
    <w:p w14:paraId="3B6D2F96" w14:textId="66F12486" w:rsidR="00F62F95" w:rsidRPr="00566CD3" w:rsidRDefault="00F62F95" w:rsidP="00375404">
      <w:pPr>
        <w:jc w:val="both"/>
      </w:pPr>
      <w:r w:rsidRPr="00566CD3">
        <w:t xml:space="preserve">O cálculo </w:t>
      </w:r>
      <w:r w:rsidR="00A30E36" w:rsidRPr="00566CD3">
        <w:t>das Remunerações</w:t>
      </w:r>
      <w:r w:rsidRPr="00566CD3">
        <w:t xml:space="preserve"> obedecerá à seguinte fórmula:</w:t>
      </w:r>
    </w:p>
    <w:p w14:paraId="66C755CC" w14:textId="77777777" w:rsidR="00F62F95" w:rsidRPr="00566CD3" w:rsidRDefault="00F62F95" w:rsidP="00375404">
      <w:pPr>
        <w:pStyle w:val="Body3"/>
        <w:jc w:val="center"/>
        <w:rPr>
          <w:color w:val="000000"/>
        </w:rPr>
      </w:pPr>
      <w:r w:rsidRPr="00566CD3">
        <w:t>J = VNa x (FatorJuros - 1)</w:t>
      </w:r>
    </w:p>
    <w:p w14:paraId="083357D1" w14:textId="77777777" w:rsidR="00F62F95" w:rsidRPr="00566CD3" w:rsidRDefault="00F62F95" w:rsidP="00375404">
      <w:pPr>
        <w:ind w:left="1985"/>
        <w:jc w:val="both"/>
      </w:pPr>
      <w:r w:rsidRPr="00566CD3">
        <w:t>onde:</w:t>
      </w:r>
    </w:p>
    <w:p w14:paraId="34BCA533" w14:textId="77777777" w:rsidR="00F62F95" w:rsidRPr="00566CD3" w:rsidRDefault="00F62F95" w:rsidP="00375404">
      <w:pPr>
        <w:pStyle w:val="Body3"/>
        <w:ind w:left="1985"/>
      </w:pPr>
      <w:r w:rsidRPr="00566CD3">
        <w:t xml:space="preserve">J = valor unitário </w:t>
      </w:r>
      <w:r w:rsidR="00A30E36" w:rsidRPr="00566CD3">
        <w:t>das Remunerações</w:t>
      </w:r>
      <w:r w:rsidRPr="00566CD3">
        <w:t xml:space="preserve"> devidos ao final do Período de Capitalização (conforme definido abaixo), calculado com 8 (oito) casas decimais, sem arredondamento;</w:t>
      </w:r>
    </w:p>
    <w:p w14:paraId="441A58D0" w14:textId="77777777" w:rsidR="00F62F95" w:rsidRPr="00566CD3" w:rsidRDefault="00F62F95" w:rsidP="00375404">
      <w:pPr>
        <w:pStyle w:val="Body3"/>
        <w:ind w:left="1985"/>
      </w:pPr>
      <w:r w:rsidRPr="00566CD3">
        <w:t>VNa = Valor Nominal Unitário Atualizado das Debêntures, informado/calculado com 8 (oito) casas decimais, sem arredondamento;</w:t>
      </w:r>
    </w:p>
    <w:p w14:paraId="41CE01BF" w14:textId="77777777" w:rsidR="00F62F95" w:rsidRPr="00566CD3" w:rsidRDefault="00F62F95" w:rsidP="00375404">
      <w:pPr>
        <w:pStyle w:val="Body3"/>
        <w:ind w:left="1985"/>
      </w:pPr>
      <w:r w:rsidRPr="00566CD3">
        <w:t>FatorJuros = fator de juros fixo, calculado com 9 (nove) casas decimais, com arredondamento, apurado da seguinte forma:</w:t>
      </w:r>
    </w:p>
    <w:p w14:paraId="1725E297" w14:textId="77777777" w:rsidR="00F62F95" w:rsidRPr="00D8141D" w:rsidRDefault="00364245" w:rsidP="00375404">
      <w:pPr>
        <w:pStyle w:val="Body3"/>
        <w:jc w:val="center"/>
        <w:rPr>
          <w:rFonts w:cs="Calibri"/>
        </w:rPr>
      </w:pPr>
      <w:r w:rsidRPr="00D8141D">
        <w:rPr>
          <w:rFonts w:cs="Calibri"/>
          <w:noProof/>
        </w:rPr>
        <w:drawing>
          <wp:inline distT="0" distB="0" distL="0" distR="0" wp14:anchorId="67F8DB31" wp14:editId="50FDDED6">
            <wp:extent cx="1477010" cy="393700"/>
            <wp:effectExtent l="0" t="0" r="0" b="0"/>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7010" cy="393700"/>
                    </a:xfrm>
                    <a:prstGeom prst="rect">
                      <a:avLst/>
                    </a:prstGeom>
                    <a:noFill/>
                    <a:ln>
                      <a:noFill/>
                    </a:ln>
                  </pic:spPr>
                </pic:pic>
              </a:graphicData>
            </a:graphic>
          </wp:inline>
        </w:drawing>
      </w:r>
    </w:p>
    <w:p w14:paraId="23728B68" w14:textId="77777777" w:rsidR="00F62F95" w:rsidRPr="00566CD3" w:rsidRDefault="00F62F95" w:rsidP="00375404">
      <w:pPr>
        <w:ind w:left="1985"/>
        <w:jc w:val="both"/>
      </w:pPr>
      <w:r w:rsidRPr="00566CD3">
        <w:t>Onde:</w:t>
      </w:r>
    </w:p>
    <w:p w14:paraId="7C5AD25E" w14:textId="77777777" w:rsidR="00F62F95" w:rsidRPr="00566CD3" w:rsidRDefault="00F62F95" w:rsidP="00375404">
      <w:pPr>
        <w:pStyle w:val="Body3"/>
        <w:spacing w:line="276" w:lineRule="auto"/>
        <w:ind w:left="1985"/>
      </w:pPr>
      <w:r w:rsidRPr="00566CD3">
        <w:t xml:space="preserve">taxa = </w:t>
      </w:r>
      <w:r w:rsidR="00A30E36" w:rsidRPr="00566CD3">
        <w:t>5,9741 para as Debêntures da Primeira Série e 6,1076 para as Debêntures da Segunda Série</w:t>
      </w:r>
      <w:r w:rsidRPr="00566CD3">
        <w:t>;</w:t>
      </w:r>
    </w:p>
    <w:p w14:paraId="43456C31" w14:textId="77777777" w:rsidR="00F62F95" w:rsidRPr="00566CD3" w:rsidRDefault="00F62F95" w:rsidP="00375404">
      <w:pPr>
        <w:spacing w:line="276" w:lineRule="auto"/>
        <w:ind w:left="1985"/>
        <w:jc w:val="both"/>
      </w:pPr>
      <w:r w:rsidRPr="00566CD3">
        <w:t>DP = número de Dias Úteis entre a Primeira Data de Integralização ou a Data de Pagamento de Juros Remuneratórios imediatamente anterior, conforme o caso e a data de atual, sendo “DP” um número inteiro.</w:t>
      </w:r>
    </w:p>
    <w:p w14:paraId="59545A02" w14:textId="77777777" w:rsidR="00F4571A" w:rsidRPr="00566CD3" w:rsidRDefault="00F4571A" w:rsidP="00F4571A">
      <w:pPr>
        <w:jc w:val="both"/>
      </w:pPr>
      <w:r w:rsidRPr="00566CD3">
        <w:t>O Período De Capitalização da Remuneração é, para o primeiro Período de Capitalização, o intervalo de tempo que se inicia na Primeira Data de Integralização, inclusive, ou na Data de Pagamento de Juros Remuneratórios imediatamente anterior, inclusive, no caso dos demais Períodos de Capitalização, e termina na próxima Data de Pagamento de Juros Remuneratórios (exclusive). Cada Período de Capitalização sucede o anterior sem solução de continuidade, até a Data de Vencimento.</w:t>
      </w:r>
    </w:p>
    <w:p w14:paraId="140DE023" w14:textId="77777777" w:rsidR="00E8286C" w:rsidRPr="00566CD3" w:rsidRDefault="00F4571A" w:rsidP="00FF1ED9">
      <w:pPr>
        <w:pStyle w:val="Ttulo3"/>
        <w:spacing w:before="240" w:after="140" w:line="290" w:lineRule="auto"/>
        <w:jc w:val="both"/>
        <w:rPr>
          <w:i/>
        </w:rPr>
      </w:pPr>
      <w:bookmarkStart w:id="194" w:name="_Ref90230162"/>
      <w:bookmarkStart w:id="195" w:name="_Toc90045116"/>
      <w:bookmarkStart w:id="196" w:name="_Toc95928432"/>
      <w:bookmarkEnd w:id="190"/>
      <w:r w:rsidRPr="00566CD3">
        <w:rPr>
          <w:i/>
        </w:rPr>
        <w:t>Pagamento da Remuneração da Primeira Série</w:t>
      </w:r>
      <w:bookmarkEnd w:id="194"/>
      <w:bookmarkEnd w:id="195"/>
      <w:bookmarkEnd w:id="196"/>
    </w:p>
    <w:p w14:paraId="735C5748" w14:textId="77777777" w:rsidR="00F4571A" w:rsidRPr="00566CD3" w:rsidRDefault="00F4571A" w:rsidP="00F4571A">
      <w:pPr>
        <w:jc w:val="both"/>
      </w:pPr>
      <w:r w:rsidRPr="00566CD3">
        <w:t>Sem prejuízo dos pagamentos em decorrência de vencimento antecipado das obrigações decorrentes das Debêntures, nos termos previstos na Escritura de Emissão, os Juros Remuneratórios da Primeira Série serão pagos pela Emissora aos Debenturistas semestralmente a partir da Data de Emissão, sendo, portanto, os pagamentos devidos no dia 15 dos meses julho e janeiro de cada ano, e caso referida data não seja um Dia Útil, o primeiro Dia Útil subsequente. O primeiro pagamento ocorrerá no dia 15 de julho de 2022 e o último na Data de Vencimento da Primeira Série (cada uma dessas datas, uma Data de Pagamento de Juros Remuneratórios da Primeira Série).</w:t>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F4571A" w:rsidRPr="0082022E" w14:paraId="09AB2894" w14:textId="77777777" w:rsidTr="00D8141D">
        <w:trPr>
          <w:trHeight w:val="406"/>
          <w:tblHeader/>
        </w:trPr>
        <w:tc>
          <w:tcPr>
            <w:tcW w:w="1270" w:type="dxa"/>
            <w:shd w:val="clear" w:color="auto" w:fill="D9D9D9"/>
            <w:vAlign w:val="center"/>
          </w:tcPr>
          <w:p w14:paraId="24426310" w14:textId="77777777" w:rsidR="00F4571A" w:rsidRPr="00D8141D" w:rsidRDefault="00F4571A" w:rsidP="00771C6A">
            <w:pPr>
              <w:pStyle w:val="p0"/>
              <w:suppressAutoHyphens/>
              <w:spacing w:before="60" w:after="60" w:line="240" w:lineRule="auto"/>
              <w:jc w:val="center"/>
              <w:rPr>
                <w:rFonts w:ascii="Calibri" w:hAnsi="Calibri" w:cs="Calibri"/>
                <w:b/>
                <w:bCs/>
                <w:color w:val="000000"/>
                <w:sz w:val="16"/>
                <w:szCs w:val="16"/>
              </w:rPr>
            </w:pPr>
            <w:r w:rsidRPr="00D8141D">
              <w:rPr>
                <w:rFonts w:ascii="Calibri" w:hAnsi="Calibri" w:cs="Calibri"/>
                <w:b/>
                <w:bCs/>
                <w:color w:val="000000"/>
                <w:sz w:val="16"/>
                <w:szCs w:val="16"/>
              </w:rPr>
              <w:lastRenderedPageBreak/>
              <w:t>Parcelas</w:t>
            </w:r>
          </w:p>
        </w:tc>
        <w:tc>
          <w:tcPr>
            <w:tcW w:w="5109" w:type="dxa"/>
            <w:shd w:val="clear" w:color="auto" w:fill="D9D9D9"/>
            <w:vAlign w:val="center"/>
          </w:tcPr>
          <w:p w14:paraId="21DF2C17" w14:textId="77777777" w:rsidR="00F4571A" w:rsidRPr="00566CD3" w:rsidRDefault="00F4571A" w:rsidP="00771C6A">
            <w:pPr>
              <w:pStyle w:val="p0"/>
              <w:suppressAutoHyphens/>
              <w:spacing w:before="60" w:after="60" w:line="240" w:lineRule="auto"/>
              <w:jc w:val="center"/>
              <w:rPr>
                <w:rFonts w:ascii="Calibri" w:hAnsi="Calibri"/>
                <w:b/>
                <w:color w:val="000000"/>
                <w:sz w:val="16"/>
              </w:rPr>
            </w:pPr>
            <w:r w:rsidRPr="00566CD3">
              <w:rPr>
                <w:rFonts w:ascii="Calibri" w:hAnsi="Calibri"/>
                <w:b/>
                <w:color w:val="000000"/>
                <w:sz w:val="16"/>
              </w:rPr>
              <w:t>Data de Pagamento da Remuneração</w:t>
            </w:r>
          </w:p>
        </w:tc>
      </w:tr>
      <w:tr w:rsidR="00F4571A" w:rsidRPr="00D8141D" w14:paraId="40567F02" w14:textId="77777777" w:rsidTr="00771C6A">
        <w:trPr>
          <w:trHeight w:val="126"/>
        </w:trPr>
        <w:tc>
          <w:tcPr>
            <w:tcW w:w="1270" w:type="dxa"/>
          </w:tcPr>
          <w:p w14:paraId="06406E6A"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w:t>
            </w:r>
          </w:p>
        </w:tc>
        <w:tc>
          <w:tcPr>
            <w:tcW w:w="5109" w:type="dxa"/>
            <w:vAlign w:val="center"/>
          </w:tcPr>
          <w:p w14:paraId="70D89845"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15/07/2022</w:t>
            </w:r>
          </w:p>
        </w:tc>
      </w:tr>
      <w:tr w:rsidR="00F4571A" w:rsidRPr="00D8141D" w14:paraId="1A87C7BB" w14:textId="77777777" w:rsidTr="00771C6A">
        <w:trPr>
          <w:trHeight w:val="126"/>
        </w:trPr>
        <w:tc>
          <w:tcPr>
            <w:tcW w:w="1270" w:type="dxa"/>
          </w:tcPr>
          <w:p w14:paraId="515357F3"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w:t>
            </w:r>
          </w:p>
        </w:tc>
        <w:tc>
          <w:tcPr>
            <w:tcW w:w="5109" w:type="dxa"/>
            <w:vAlign w:val="center"/>
          </w:tcPr>
          <w:p w14:paraId="0561F885"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/01/2023</w:t>
            </w:r>
          </w:p>
        </w:tc>
      </w:tr>
      <w:tr w:rsidR="00F4571A" w:rsidRPr="00D8141D" w14:paraId="6FBDBA47" w14:textId="77777777" w:rsidTr="00771C6A">
        <w:trPr>
          <w:trHeight w:val="131"/>
        </w:trPr>
        <w:tc>
          <w:tcPr>
            <w:tcW w:w="1270" w:type="dxa"/>
          </w:tcPr>
          <w:p w14:paraId="66061A5C"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3</w:t>
            </w:r>
          </w:p>
        </w:tc>
        <w:tc>
          <w:tcPr>
            <w:tcW w:w="5109" w:type="dxa"/>
            <w:vAlign w:val="center"/>
          </w:tcPr>
          <w:p w14:paraId="132E3BED"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/07/2023</w:t>
            </w:r>
          </w:p>
        </w:tc>
      </w:tr>
      <w:tr w:rsidR="00F4571A" w:rsidRPr="00D8141D" w14:paraId="419699AB" w14:textId="77777777" w:rsidTr="00771C6A">
        <w:trPr>
          <w:trHeight w:val="131"/>
        </w:trPr>
        <w:tc>
          <w:tcPr>
            <w:tcW w:w="1270" w:type="dxa"/>
          </w:tcPr>
          <w:p w14:paraId="5CA0250F"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4</w:t>
            </w:r>
          </w:p>
        </w:tc>
        <w:tc>
          <w:tcPr>
            <w:tcW w:w="5109" w:type="dxa"/>
            <w:vAlign w:val="center"/>
          </w:tcPr>
          <w:p w14:paraId="06BAA69D"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15/01/2024</w:t>
            </w:r>
          </w:p>
        </w:tc>
      </w:tr>
      <w:tr w:rsidR="00F4571A" w:rsidRPr="00D8141D" w14:paraId="5400FC97" w14:textId="77777777" w:rsidTr="00771C6A">
        <w:trPr>
          <w:trHeight w:val="131"/>
        </w:trPr>
        <w:tc>
          <w:tcPr>
            <w:tcW w:w="1270" w:type="dxa"/>
          </w:tcPr>
          <w:p w14:paraId="49921DA5"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5</w:t>
            </w:r>
          </w:p>
        </w:tc>
        <w:tc>
          <w:tcPr>
            <w:tcW w:w="5109" w:type="dxa"/>
            <w:vAlign w:val="center"/>
          </w:tcPr>
          <w:p w14:paraId="05882BB2"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15/07/2024</w:t>
            </w:r>
          </w:p>
        </w:tc>
      </w:tr>
      <w:tr w:rsidR="00F4571A" w:rsidRPr="00D8141D" w14:paraId="4C0FB069" w14:textId="77777777" w:rsidTr="00771C6A">
        <w:trPr>
          <w:trHeight w:val="131"/>
        </w:trPr>
        <w:tc>
          <w:tcPr>
            <w:tcW w:w="1270" w:type="dxa"/>
          </w:tcPr>
          <w:p w14:paraId="44E71E26"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6</w:t>
            </w:r>
          </w:p>
        </w:tc>
        <w:tc>
          <w:tcPr>
            <w:tcW w:w="5109" w:type="dxa"/>
            <w:vAlign w:val="center"/>
          </w:tcPr>
          <w:p w14:paraId="717C63DB"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15/01/2025</w:t>
            </w:r>
          </w:p>
        </w:tc>
      </w:tr>
      <w:tr w:rsidR="00F4571A" w:rsidRPr="00D8141D" w14:paraId="70B8814A" w14:textId="77777777" w:rsidTr="00771C6A">
        <w:trPr>
          <w:trHeight w:val="131"/>
        </w:trPr>
        <w:tc>
          <w:tcPr>
            <w:tcW w:w="1270" w:type="dxa"/>
          </w:tcPr>
          <w:p w14:paraId="10EF7CB2"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7</w:t>
            </w:r>
          </w:p>
        </w:tc>
        <w:tc>
          <w:tcPr>
            <w:tcW w:w="5109" w:type="dxa"/>
            <w:vAlign w:val="center"/>
          </w:tcPr>
          <w:p w14:paraId="4E8F7641"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15/07/2025</w:t>
            </w:r>
          </w:p>
        </w:tc>
      </w:tr>
      <w:tr w:rsidR="00F4571A" w:rsidRPr="00D8141D" w14:paraId="6D3FA6FA" w14:textId="77777777" w:rsidTr="00771C6A">
        <w:trPr>
          <w:trHeight w:val="131"/>
        </w:trPr>
        <w:tc>
          <w:tcPr>
            <w:tcW w:w="1270" w:type="dxa"/>
          </w:tcPr>
          <w:p w14:paraId="7144E060"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8</w:t>
            </w:r>
          </w:p>
        </w:tc>
        <w:tc>
          <w:tcPr>
            <w:tcW w:w="5109" w:type="dxa"/>
            <w:vAlign w:val="center"/>
          </w:tcPr>
          <w:p w14:paraId="7A60C3AC"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15/01/2026</w:t>
            </w:r>
          </w:p>
        </w:tc>
      </w:tr>
      <w:tr w:rsidR="00F4571A" w:rsidRPr="00D8141D" w14:paraId="6AECF2F1" w14:textId="77777777" w:rsidTr="00771C6A">
        <w:trPr>
          <w:trHeight w:val="131"/>
        </w:trPr>
        <w:tc>
          <w:tcPr>
            <w:tcW w:w="1270" w:type="dxa"/>
          </w:tcPr>
          <w:p w14:paraId="3DF5AAA6"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9</w:t>
            </w:r>
          </w:p>
        </w:tc>
        <w:tc>
          <w:tcPr>
            <w:tcW w:w="5109" w:type="dxa"/>
            <w:vAlign w:val="center"/>
          </w:tcPr>
          <w:p w14:paraId="14A07674"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15/07/2026</w:t>
            </w:r>
          </w:p>
        </w:tc>
      </w:tr>
      <w:tr w:rsidR="00F4571A" w:rsidRPr="00D8141D" w14:paraId="20AF7BBC" w14:textId="77777777" w:rsidTr="00771C6A">
        <w:trPr>
          <w:trHeight w:val="131"/>
        </w:trPr>
        <w:tc>
          <w:tcPr>
            <w:tcW w:w="1270" w:type="dxa"/>
          </w:tcPr>
          <w:p w14:paraId="1F30E73D"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10</w:t>
            </w:r>
          </w:p>
        </w:tc>
        <w:tc>
          <w:tcPr>
            <w:tcW w:w="5109" w:type="dxa"/>
            <w:vAlign w:val="center"/>
          </w:tcPr>
          <w:p w14:paraId="3223C0FD"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15/01/2027</w:t>
            </w:r>
          </w:p>
        </w:tc>
      </w:tr>
      <w:tr w:rsidR="00F4571A" w:rsidRPr="00D8141D" w14:paraId="4EE348A7"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072A9C43"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08B97C54"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15/07/2027</w:t>
            </w:r>
          </w:p>
        </w:tc>
      </w:tr>
      <w:tr w:rsidR="00F4571A" w:rsidRPr="00D8141D" w14:paraId="79169578"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006719F8"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0E5BF6C5"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/01/2028</w:t>
            </w:r>
          </w:p>
        </w:tc>
      </w:tr>
      <w:tr w:rsidR="00F4571A" w:rsidRPr="00D8141D" w14:paraId="2FABBB23"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727103C0"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74A9C306"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/07/2028</w:t>
            </w:r>
          </w:p>
        </w:tc>
      </w:tr>
      <w:tr w:rsidR="00F4571A" w:rsidRPr="00D8141D" w14:paraId="2B978253"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A36EE3A"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585E0FF8"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15/01/2029</w:t>
            </w:r>
          </w:p>
        </w:tc>
      </w:tr>
      <w:tr w:rsidR="00F4571A" w:rsidRPr="00D8141D" w14:paraId="3559E52A"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E6F6CD6"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43AF40E8"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/07/2029</w:t>
            </w:r>
          </w:p>
        </w:tc>
      </w:tr>
      <w:tr w:rsidR="00F4571A" w:rsidRPr="00D8141D" w14:paraId="54093D44"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54B950C7"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645CB7EF"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15/01/2030</w:t>
            </w:r>
          </w:p>
        </w:tc>
      </w:tr>
      <w:tr w:rsidR="00F4571A" w:rsidRPr="00D8141D" w14:paraId="31CC77CB"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018033B2"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2E4BECE9"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15/07/2030</w:t>
            </w:r>
          </w:p>
        </w:tc>
      </w:tr>
      <w:tr w:rsidR="00F4571A" w:rsidRPr="00D8141D" w14:paraId="6A64C4B7"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0C1C813A"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3C963B11"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15/01/2031</w:t>
            </w:r>
          </w:p>
        </w:tc>
      </w:tr>
      <w:tr w:rsidR="00F4571A" w:rsidRPr="00D8141D" w14:paraId="2E632BA2"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36DB9837"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216B59DD"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15/07/2031</w:t>
            </w:r>
          </w:p>
        </w:tc>
      </w:tr>
      <w:tr w:rsidR="00F4571A" w:rsidRPr="0082022E" w14:paraId="217EB297"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2D8DB01B"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tcPr>
          <w:p w14:paraId="2FA9D5E0" w14:textId="77777777" w:rsidR="00F4571A" w:rsidRPr="00566CD3" w:rsidRDefault="00F4571A" w:rsidP="00771C6A">
            <w:pPr>
              <w:pStyle w:val="p0"/>
              <w:suppressAutoHyphens/>
              <w:spacing w:before="60" w:after="60" w:line="240" w:lineRule="auto"/>
              <w:jc w:val="center"/>
              <w:rPr>
                <w:rFonts w:ascii="Calibri" w:hAnsi="Calibri"/>
                <w:sz w:val="16"/>
              </w:rPr>
            </w:pPr>
            <w:r w:rsidRPr="00566CD3">
              <w:rPr>
                <w:rFonts w:ascii="Calibri" w:hAnsi="Calibri"/>
                <w:sz w:val="16"/>
              </w:rPr>
              <w:t>Data de Vencimento da Primeira Série</w:t>
            </w:r>
          </w:p>
        </w:tc>
      </w:tr>
    </w:tbl>
    <w:p w14:paraId="149617E2" w14:textId="77777777" w:rsidR="00F4571A" w:rsidRPr="00566CD3" w:rsidRDefault="00F4571A" w:rsidP="00F4571A">
      <w:pPr>
        <w:jc w:val="both"/>
      </w:pPr>
    </w:p>
    <w:p w14:paraId="5D1F0873" w14:textId="77777777" w:rsidR="00E8286C" w:rsidRPr="00566CD3" w:rsidRDefault="00F4571A" w:rsidP="009E2BE2">
      <w:pPr>
        <w:pStyle w:val="Ttulo3"/>
        <w:spacing w:after="140" w:line="290" w:lineRule="auto"/>
        <w:jc w:val="both"/>
        <w:rPr>
          <w:i/>
        </w:rPr>
      </w:pPr>
      <w:bookmarkStart w:id="197" w:name="_Ref90230179"/>
      <w:bookmarkStart w:id="198" w:name="_Toc90045117"/>
      <w:bookmarkStart w:id="199" w:name="_Toc95928433"/>
      <w:r w:rsidRPr="00566CD3">
        <w:rPr>
          <w:i/>
        </w:rPr>
        <w:t>Pagamento da Remuneração da Segunda Série</w:t>
      </w:r>
      <w:bookmarkEnd w:id="197"/>
      <w:bookmarkEnd w:id="198"/>
      <w:bookmarkEnd w:id="199"/>
    </w:p>
    <w:p w14:paraId="0A940B55" w14:textId="77777777" w:rsidR="00E8286C" w:rsidRPr="00D8141D" w:rsidRDefault="00F4571A" w:rsidP="009E2BE2">
      <w:pPr>
        <w:pStyle w:val="HOMEBRBodyText"/>
        <w:keepLines w:val="0"/>
        <w:widowControl w:val="0"/>
        <w:spacing w:after="140" w:line="290" w:lineRule="auto"/>
        <w:jc w:val="both"/>
        <w:rPr>
          <w:rFonts w:cs="Calibri"/>
          <w:lang w:val="pt-BR"/>
        </w:rPr>
      </w:pPr>
      <w:r w:rsidRPr="0020727A">
        <w:rPr>
          <w:lang w:val="pt-BR"/>
        </w:rPr>
        <w:t xml:space="preserve">Sem prejuízo dos pagamentos em decorrência de vencimento antecipado das obrigações decorrentes das Debêntures, nos termos previstos na Escritura de Emissão, </w:t>
      </w:r>
      <w:r w:rsidRPr="00D8141D">
        <w:rPr>
          <w:rFonts w:cs="Calibri"/>
          <w:lang w:val="pt-BR"/>
        </w:rPr>
        <w:t>os Juros Remuneratórios da Segunda Série serão pagos pela Emissora aos Debenturistas semestralmente a partir da Data de Emissão, sendo, portanto, os pagamentos devidos no dia 15 dos meses julho e janeiro de cada ano, e caso referida data não seja um Dia Útil, o primeiro Dia Útil subsequente. O primeiro pagamento ocorrerá em 15 de julho de 2022 e o último pagamento ocorrerá na Data de Vencimento da Segunda Série (cada uma dessas datas, uma Data de Pagamento de Juros Remuneratórios da Segunda Série e, em conjunto com cada uma das Datas de Pagamento de Juros Remuneratórios da Primeira Série, referidos como Data de Pagamento de Juros Remuneratórios)</w:t>
      </w:r>
      <w:r w:rsidR="005F54EC" w:rsidRPr="00D8141D">
        <w:rPr>
          <w:rFonts w:cs="Calibri"/>
          <w:lang w:val="pt-BR"/>
        </w:rPr>
        <w:t>.</w:t>
      </w:r>
    </w:p>
    <w:p w14:paraId="6C837067" w14:textId="58EE1FA9" w:rsidR="00D339B7" w:rsidRDefault="00D339B7">
      <w:pPr>
        <w:spacing w:after="0" w:line="240" w:lineRule="auto"/>
      </w:pPr>
      <w:r>
        <w:br w:type="page"/>
      </w:r>
    </w:p>
    <w:tbl>
      <w:tblPr>
        <w:tblW w:w="637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5109"/>
      </w:tblGrid>
      <w:tr w:rsidR="00F4571A" w:rsidRPr="0082022E" w14:paraId="5DEAE337" w14:textId="77777777" w:rsidTr="00D8141D">
        <w:trPr>
          <w:trHeight w:val="406"/>
          <w:tblHeader/>
        </w:trPr>
        <w:tc>
          <w:tcPr>
            <w:tcW w:w="1270" w:type="dxa"/>
            <w:shd w:val="clear" w:color="auto" w:fill="D9D9D9"/>
            <w:vAlign w:val="center"/>
          </w:tcPr>
          <w:p w14:paraId="097C05EC" w14:textId="77777777" w:rsidR="00F4571A" w:rsidRPr="00D8141D" w:rsidRDefault="00F4571A" w:rsidP="00771C6A">
            <w:pPr>
              <w:pStyle w:val="p0"/>
              <w:suppressAutoHyphens/>
              <w:spacing w:before="60" w:after="60" w:line="240" w:lineRule="auto"/>
              <w:jc w:val="center"/>
              <w:rPr>
                <w:rFonts w:ascii="Calibri" w:hAnsi="Calibri" w:cs="Calibri"/>
                <w:b/>
                <w:bCs/>
                <w:color w:val="000000"/>
                <w:sz w:val="16"/>
                <w:szCs w:val="16"/>
              </w:rPr>
            </w:pPr>
            <w:r w:rsidRPr="00D8141D">
              <w:rPr>
                <w:rFonts w:ascii="Calibri" w:hAnsi="Calibri" w:cs="Calibri"/>
                <w:b/>
                <w:bCs/>
                <w:color w:val="000000"/>
                <w:sz w:val="16"/>
                <w:szCs w:val="16"/>
              </w:rPr>
              <w:lastRenderedPageBreak/>
              <w:t>Parcelas</w:t>
            </w:r>
          </w:p>
        </w:tc>
        <w:tc>
          <w:tcPr>
            <w:tcW w:w="5109" w:type="dxa"/>
            <w:shd w:val="clear" w:color="auto" w:fill="D9D9D9"/>
            <w:vAlign w:val="center"/>
          </w:tcPr>
          <w:p w14:paraId="75FBF4CA" w14:textId="77777777" w:rsidR="00F4571A" w:rsidRPr="00566CD3" w:rsidRDefault="00F4571A" w:rsidP="00771C6A">
            <w:pPr>
              <w:pStyle w:val="p0"/>
              <w:suppressAutoHyphens/>
              <w:spacing w:before="60" w:after="60" w:line="240" w:lineRule="auto"/>
              <w:jc w:val="center"/>
              <w:rPr>
                <w:rFonts w:ascii="Calibri" w:hAnsi="Calibri"/>
                <w:b/>
                <w:color w:val="000000"/>
                <w:sz w:val="16"/>
              </w:rPr>
            </w:pPr>
            <w:r w:rsidRPr="00566CD3">
              <w:rPr>
                <w:rFonts w:ascii="Calibri" w:hAnsi="Calibri"/>
                <w:b/>
                <w:color w:val="000000"/>
                <w:sz w:val="16"/>
              </w:rPr>
              <w:t>Data de Pagamento da Remuneração</w:t>
            </w:r>
          </w:p>
        </w:tc>
      </w:tr>
      <w:tr w:rsidR="00F4571A" w:rsidRPr="00D8141D" w14:paraId="05192E14" w14:textId="77777777" w:rsidTr="00771C6A">
        <w:trPr>
          <w:trHeight w:val="126"/>
        </w:trPr>
        <w:tc>
          <w:tcPr>
            <w:tcW w:w="1270" w:type="dxa"/>
          </w:tcPr>
          <w:p w14:paraId="171B9C4F"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w:t>
            </w:r>
          </w:p>
        </w:tc>
        <w:tc>
          <w:tcPr>
            <w:tcW w:w="5109" w:type="dxa"/>
            <w:vAlign w:val="center"/>
          </w:tcPr>
          <w:p w14:paraId="194848AF"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15/07/2022</w:t>
            </w:r>
          </w:p>
        </w:tc>
      </w:tr>
      <w:tr w:rsidR="00F4571A" w:rsidRPr="00D8141D" w14:paraId="4B647094" w14:textId="77777777" w:rsidTr="00771C6A">
        <w:trPr>
          <w:trHeight w:val="126"/>
        </w:trPr>
        <w:tc>
          <w:tcPr>
            <w:tcW w:w="1270" w:type="dxa"/>
          </w:tcPr>
          <w:p w14:paraId="32097A33"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w:t>
            </w:r>
          </w:p>
        </w:tc>
        <w:tc>
          <w:tcPr>
            <w:tcW w:w="5109" w:type="dxa"/>
            <w:vAlign w:val="center"/>
          </w:tcPr>
          <w:p w14:paraId="30A1D490"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/01/2023</w:t>
            </w:r>
          </w:p>
        </w:tc>
      </w:tr>
      <w:tr w:rsidR="00F4571A" w:rsidRPr="00D8141D" w14:paraId="6D345A1A" w14:textId="77777777" w:rsidTr="00771C6A">
        <w:trPr>
          <w:trHeight w:val="131"/>
        </w:trPr>
        <w:tc>
          <w:tcPr>
            <w:tcW w:w="1270" w:type="dxa"/>
          </w:tcPr>
          <w:p w14:paraId="673FB68E"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3</w:t>
            </w:r>
          </w:p>
        </w:tc>
        <w:tc>
          <w:tcPr>
            <w:tcW w:w="5109" w:type="dxa"/>
            <w:vAlign w:val="center"/>
          </w:tcPr>
          <w:p w14:paraId="124B48CB"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/07/2023</w:t>
            </w:r>
          </w:p>
        </w:tc>
      </w:tr>
      <w:tr w:rsidR="00F4571A" w:rsidRPr="00D8141D" w14:paraId="6EF6DA8D" w14:textId="77777777" w:rsidTr="00771C6A">
        <w:trPr>
          <w:trHeight w:val="131"/>
        </w:trPr>
        <w:tc>
          <w:tcPr>
            <w:tcW w:w="1270" w:type="dxa"/>
          </w:tcPr>
          <w:p w14:paraId="0C7186CB"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4</w:t>
            </w:r>
          </w:p>
        </w:tc>
        <w:tc>
          <w:tcPr>
            <w:tcW w:w="5109" w:type="dxa"/>
            <w:vAlign w:val="center"/>
          </w:tcPr>
          <w:p w14:paraId="7A4CCA39"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15/01/2024</w:t>
            </w:r>
          </w:p>
        </w:tc>
      </w:tr>
      <w:tr w:rsidR="00F4571A" w:rsidRPr="00D8141D" w14:paraId="4EA7D620" w14:textId="77777777" w:rsidTr="00771C6A">
        <w:trPr>
          <w:trHeight w:val="131"/>
        </w:trPr>
        <w:tc>
          <w:tcPr>
            <w:tcW w:w="1270" w:type="dxa"/>
          </w:tcPr>
          <w:p w14:paraId="0F2B3828"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5</w:t>
            </w:r>
          </w:p>
        </w:tc>
        <w:tc>
          <w:tcPr>
            <w:tcW w:w="5109" w:type="dxa"/>
            <w:vAlign w:val="center"/>
          </w:tcPr>
          <w:p w14:paraId="0815FD6C"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15/07/2024</w:t>
            </w:r>
          </w:p>
        </w:tc>
      </w:tr>
      <w:tr w:rsidR="00F4571A" w:rsidRPr="00D8141D" w14:paraId="300BF257" w14:textId="77777777" w:rsidTr="00771C6A">
        <w:trPr>
          <w:trHeight w:val="131"/>
        </w:trPr>
        <w:tc>
          <w:tcPr>
            <w:tcW w:w="1270" w:type="dxa"/>
          </w:tcPr>
          <w:p w14:paraId="17CE64D1"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6</w:t>
            </w:r>
          </w:p>
        </w:tc>
        <w:tc>
          <w:tcPr>
            <w:tcW w:w="5109" w:type="dxa"/>
            <w:vAlign w:val="center"/>
          </w:tcPr>
          <w:p w14:paraId="63FE5B93"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15/01/2025</w:t>
            </w:r>
          </w:p>
        </w:tc>
      </w:tr>
      <w:tr w:rsidR="00F4571A" w:rsidRPr="00D8141D" w14:paraId="618C227D" w14:textId="77777777" w:rsidTr="00771C6A">
        <w:trPr>
          <w:trHeight w:val="131"/>
        </w:trPr>
        <w:tc>
          <w:tcPr>
            <w:tcW w:w="1270" w:type="dxa"/>
          </w:tcPr>
          <w:p w14:paraId="555CC893"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7</w:t>
            </w:r>
          </w:p>
        </w:tc>
        <w:tc>
          <w:tcPr>
            <w:tcW w:w="5109" w:type="dxa"/>
            <w:vAlign w:val="center"/>
          </w:tcPr>
          <w:p w14:paraId="6387887E"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15/07/2025</w:t>
            </w:r>
          </w:p>
        </w:tc>
      </w:tr>
      <w:tr w:rsidR="00F4571A" w:rsidRPr="00D8141D" w14:paraId="3EAAE2A0" w14:textId="77777777" w:rsidTr="00771C6A">
        <w:trPr>
          <w:trHeight w:val="131"/>
        </w:trPr>
        <w:tc>
          <w:tcPr>
            <w:tcW w:w="1270" w:type="dxa"/>
          </w:tcPr>
          <w:p w14:paraId="5813F1A5"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8</w:t>
            </w:r>
          </w:p>
        </w:tc>
        <w:tc>
          <w:tcPr>
            <w:tcW w:w="5109" w:type="dxa"/>
            <w:vAlign w:val="center"/>
          </w:tcPr>
          <w:p w14:paraId="102A37C9"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15/01/2026</w:t>
            </w:r>
          </w:p>
        </w:tc>
      </w:tr>
      <w:tr w:rsidR="00F4571A" w:rsidRPr="00D8141D" w14:paraId="75CBD042" w14:textId="77777777" w:rsidTr="00771C6A">
        <w:trPr>
          <w:trHeight w:val="131"/>
        </w:trPr>
        <w:tc>
          <w:tcPr>
            <w:tcW w:w="1270" w:type="dxa"/>
          </w:tcPr>
          <w:p w14:paraId="3CC4EE57"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9</w:t>
            </w:r>
          </w:p>
        </w:tc>
        <w:tc>
          <w:tcPr>
            <w:tcW w:w="5109" w:type="dxa"/>
            <w:vAlign w:val="center"/>
          </w:tcPr>
          <w:p w14:paraId="69F84DC1"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15/07/2026</w:t>
            </w:r>
          </w:p>
        </w:tc>
      </w:tr>
      <w:tr w:rsidR="00F4571A" w:rsidRPr="00D8141D" w14:paraId="1D51D514" w14:textId="77777777" w:rsidTr="00771C6A">
        <w:trPr>
          <w:trHeight w:val="131"/>
        </w:trPr>
        <w:tc>
          <w:tcPr>
            <w:tcW w:w="1270" w:type="dxa"/>
          </w:tcPr>
          <w:p w14:paraId="27016A71"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10</w:t>
            </w:r>
          </w:p>
        </w:tc>
        <w:tc>
          <w:tcPr>
            <w:tcW w:w="5109" w:type="dxa"/>
            <w:vAlign w:val="center"/>
          </w:tcPr>
          <w:p w14:paraId="7C5D2B44" w14:textId="77777777" w:rsidR="00F4571A" w:rsidRPr="00D8141D" w:rsidRDefault="00F4571A" w:rsidP="00771C6A">
            <w:pPr>
              <w:pStyle w:val="p0"/>
              <w:suppressAutoHyphens/>
              <w:spacing w:before="60" w:after="60" w:line="240" w:lineRule="auto"/>
              <w:jc w:val="center"/>
              <w:rPr>
                <w:rFonts w:ascii="Calibri" w:hAnsi="Calibri" w:cs="Calibri"/>
                <w:color w:val="000000"/>
                <w:sz w:val="16"/>
                <w:szCs w:val="16"/>
              </w:rPr>
            </w:pPr>
            <w:r w:rsidRPr="0020727A">
              <w:rPr>
                <w:rFonts w:ascii="Calibri" w:hAnsi="Calibri" w:cs="Calibri"/>
                <w:color w:val="000000"/>
                <w:sz w:val="16"/>
                <w:szCs w:val="16"/>
              </w:rPr>
              <w:t>15/01/2027</w:t>
            </w:r>
          </w:p>
        </w:tc>
      </w:tr>
      <w:tr w:rsidR="00F4571A" w:rsidRPr="00D8141D" w14:paraId="72FD291F"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7682007"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11</w:t>
            </w:r>
          </w:p>
        </w:tc>
        <w:tc>
          <w:tcPr>
            <w:tcW w:w="5109" w:type="dxa"/>
            <w:tcBorders>
              <w:top w:val="single" w:sz="4" w:space="0" w:color="auto"/>
              <w:left w:val="single" w:sz="4" w:space="0" w:color="auto"/>
              <w:bottom w:val="single" w:sz="4" w:space="0" w:color="auto"/>
              <w:right w:val="single" w:sz="4" w:space="0" w:color="auto"/>
            </w:tcBorders>
            <w:vAlign w:val="center"/>
          </w:tcPr>
          <w:p w14:paraId="20A19C7D"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15/07/2027</w:t>
            </w:r>
          </w:p>
        </w:tc>
      </w:tr>
      <w:tr w:rsidR="00F4571A" w:rsidRPr="00D8141D" w14:paraId="11DCA0A3"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751F6F90"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12</w:t>
            </w:r>
          </w:p>
        </w:tc>
        <w:tc>
          <w:tcPr>
            <w:tcW w:w="5109" w:type="dxa"/>
            <w:tcBorders>
              <w:top w:val="single" w:sz="4" w:space="0" w:color="auto"/>
              <w:left w:val="single" w:sz="4" w:space="0" w:color="auto"/>
              <w:bottom w:val="single" w:sz="4" w:space="0" w:color="auto"/>
              <w:right w:val="single" w:sz="4" w:space="0" w:color="auto"/>
            </w:tcBorders>
            <w:vAlign w:val="center"/>
          </w:tcPr>
          <w:p w14:paraId="5207D754"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/01/2028</w:t>
            </w:r>
          </w:p>
        </w:tc>
      </w:tr>
      <w:tr w:rsidR="00F4571A" w:rsidRPr="00D8141D" w14:paraId="450505F7"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580B4F00"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13</w:t>
            </w:r>
          </w:p>
        </w:tc>
        <w:tc>
          <w:tcPr>
            <w:tcW w:w="5109" w:type="dxa"/>
            <w:tcBorders>
              <w:top w:val="single" w:sz="4" w:space="0" w:color="auto"/>
              <w:left w:val="single" w:sz="4" w:space="0" w:color="auto"/>
              <w:bottom w:val="single" w:sz="4" w:space="0" w:color="auto"/>
              <w:right w:val="single" w:sz="4" w:space="0" w:color="auto"/>
            </w:tcBorders>
            <w:vAlign w:val="center"/>
          </w:tcPr>
          <w:p w14:paraId="44E29F45"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/07/2028</w:t>
            </w:r>
          </w:p>
        </w:tc>
      </w:tr>
      <w:tr w:rsidR="00F4571A" w:rsidRPr="00D8141D" w14:paraId="10E2C027"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CC29DC8"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14</w:t>
            </w:r>
          </w:p>
        </w:tc>
        <w:tc>
          <w:tcPr>
            <w:tcW w:w="5109" w:type="dxa"/>
            <w:tcBorders>
              <w:top w:val="single" w:sz="4" w:space="0" w:color="auto"/>
              <w:left w:val="single" w:sz="4" w:space="0" w:color="auto"/>
              <w:bottom w:val="single" w:sz="4" w:space="0" w:color="auto"/>
              <w:right w:val="single" w:sz="4" w:space="0" w:color="auto"/>
            </w:tcBorders>
            <w:vAlign w:val="center"/>
          </w:tcPr>
          <w:p w14:paraId="012C05AF"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15/01/2029</w:t>
            </w:r>
          </w:p>
        </w:tc>
      </w:tr>
      <w:tr w:rsidR="00F4571A" w:rsidRPr="00D8141D" w14:paraId="6DDE1BB7"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5F246C6"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15</w:t>
            </w:r>
          </w:p>
        </w:tc>
        <w:tc>
          <w:tcPr>
            <w:tcW w:w="5109" w:type="dxa"/>
            <w:tcBorders>
              <w:top w:val="single" w:sz="4" w:space="0" w:color="auto"/>
              <w:left w:val="single" w:sz="4" w:space="0" w:color="auto"/>
              <w:bottom w:val="single" w:sz="4" w:space="0" w:color="auto"/>
              <w:right w:val="single" w:sz="4" w:space="0" w:color="auto"/>
            </w:tcBorders>
            <w:vAlign w:val="center"/>
          </w:tcPr>
          <w:p w14:paraId="1A91FE86"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/07/2029</w:t>
            </w:r>
          </w:p>
        </w:tc>
      </w:tr>
      <w:tr w:rsidR="00F4571A" w:rsidRPr="00D8141D" w14:paraId="56825707"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7CDA2ECB"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16</w:t>
            </w:r>
          </w:p>
        </w:tc>
        <w:tc>
          <w:tcPr>
            <w:tcW w:w="5109" w:type="dxa"/>
            <w:tcBorders>
              <w:top w:val="single" w:sz="4" w:space="0" w:color="auto"/>
              <w:left w:val="single" w:sz="4" w:space="0" w:color="auto"/>
              <w:bottom w:val="single" w:sz="4" w:space="0" w:color="auto"/>
              <w:right w:val="single" w:sz="4" w:space="0" w:color="auto"/>
            </w:tcBorders>
            <w:vAlign w:val="center"/>
          </w:tcPr>
          <w:p w14:paraId="59421090"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15/01/2030</w:t>
            </w:r>
          </w:p>
        </w:tc>
      </w:tr>
      <w:tr w:rsidR="00F4571A" w:rsidRPr="00D8141D" w14:paraId="1C63EDAF"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15184E7"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17</w:t>
            </w:r>
          </w:p>
        </w:tc>
        <w:tc>
          <w:tcPr>
            <w:tcW w:w="5109" w:type="dxa"/>
            <w:tcBorders>
              <w:top w:val="single" w:sz="4" w:space="0" w:color="auto"/>
              <w:left w:val="single" w:sz="4" w:space="0" w:color="auto"/>
              <w:bottom w:val="single" w:sz="4" w:space="0" w:color="auto"/>
              <w:right w:val="single" w:sz="4" w:space="0" w:color="auto"/>
            </w:tcBorders>
            <w:vAlign w:val="center"/>
          </w:tcPr>
          <w:p w14:paraId="0F647833"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15/07/2030</w:t>
            </w:r>
          </w:p>
        </w:tc>
      </w:tr>
      <w:tr w:rsidR="00F4571A" w:rsidRPr="00D8141D" w14:paraId="6E36FD55"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40A20C0B"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18</w:t>
            </w:r>
          </w:p>
        </w:tc>
        <w:tc>
          <w:tcPr>
            <w:tcW w:w="5109" w:type="dxa"/>
            <w:tcBorders>
              <w:top w:val="single" w:sz="4" w:space="0" w:color="auto"/>
              <w:left w:val="single" w:sz="4" w:space="0" w:color="auto"/>
              <w:bottom w:val="single" w:sz="4" w:space="0" w:color="auto"/>
              <w:right w:val="single" w:sz="4" w:space="0" w:color="auto"/>
            </w:tcBorders>
            <w:vAlign w:val="center"/>
          </w:tcPr>
          <w:p w14:paraId="23B4E80D"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15/01/2031</w:t>
            </w:r>
          </w:p>
        </w:tc>
      </w:tr>
      <w:tr w:rsidR="00F4571A" w:rsidRPr="00D8141D" w14:paraId="3998038E"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4EA19213"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19</w:t>
            </w:r>
          </w:p>
        </w:tc>
        <w:tc>
          <w:tcPr>
            <w:tcW w:w="5109" w:type="dxa"/>
            <w:tcBorders>
              <w:top w:val="single" w:sz="4" w:space="0" w:color="auto"/>
              <w:left w:val="single" w:sz="4" w:space="0" w:color="auto"/>
              <w:bottom w:val="single" w:sz="4" w:space="0" w:color="auto"/>
              <w:right w:val="single" w:sz="4" w:space="0" w:color="auto"/>
            </w:tcBorders>
            <w:vAlign w:val="center"/>
          </w:tcPr>
          <w:p w14:paraId="276DC7D5"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15/07/2031</w:t>
            </w:r>
          </w:p>
        </w:tc>
      </w:tr>
      <w:tr w:rsidR="00F4571A" w:rsidRPr="00D8141D" w14:paraId="13985A6E"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17CD3BE0"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20</w:t>
            </w:r>
          </w:p>
        </w:tc>
        <w:tc>
          <w:tcPr>
            <w:tcW w:w="5109" w:type="dxa"/>
            <w:tcBorders>
              <w:top w:val="single" w:sz="4" w:space="0" w:color="auto"/>
              <w:left w:val="single" w:sz="4" w:space="0" w:color="auto"/>
              <w:bottom w:val="single" w:sz="4" w:space="0" w:color="auto"/>
              <w:right w:val="single" w:sz="4" w:space="0" w:color="auto"/>
            </w:tcBorders>
            <w:vAlign w:val="center"/>
          </w:tcPr>
          <w:p w14:paraId="377EB952"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15/01/2032</w:t>
            </w:r>
          </w:p>
        </w:tc>
      </w:tr>
      <w:tr w:rsidR="00F4571A" w:rsidRPr="00D8141D" w14:paraId="253F439D"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56D1E70E"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21</w:t>
            </w:r>
          </w:p>
        </w:tc>
        <w:tc>
          <w:tcPr>
            <w:tcW w:w="5109" w:type="dxa"/>
            <w:tcBorders>
              <w:top w:val="single" w:sz="4" w:space="0" w:color="auto"/>
              <w:left w:val="single" w:sz="4" w:space="0" w:color="auto"/>
              <w:bottom w:val="single" w:sz="4" w:space="0" w:color="auto"/>
              <w:right w:val="single" w:sz="4" w:space="0" w:color="auto"/>
            </w:tcBorders>
            <w:vAlign w:val="center"/>
          </w:tcPr>
          <w:p w14:paraId="4D99EDA9"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15/07/2032</w:t>
            </w:r>
          </w:p>
        </w:tc>
      </w:tr>
      <w:tr w:rsidR="00F4571A" w:rsidRPr="00D8141D" w14:paraId="3F4D83AD"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0711A200"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22</w:t>
            </w:r>
          </w:p>
        </w:tc>
        <w:tc>
          <w:tcPr>
            <w:tcW w:w="5109" w:type="dxa"/>
            <w:tcBorders>
              <w:top w:val="single" w:sz="4" w:space="0" w:color="auto"/>
              <w:left w:val="single" w:sz="4" w:space="0" w:color="auto"/>
              <w:bottom w:val="single" w:sz="4" w:space="0" w:color="auto"/>
              <w:right w:val="single" w:sz="4" w:space="0" w:color="auto"/>
            </w:tcBorders>
            <w:vAlign w:val="center"/>
          </w:tcPr>
          <w:p w14:paraId="4A8083CF"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/01/2033</w:t>
            </w:r>
          </w:p>
        </w:tc>
      </w:tr>
      <w:tr w:rsidR="00F4571A" w:rsidRPr="00D8141D" w14:paraId="31675EB3"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1BC157C5"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23</w:t>
            </w:r>
          </w:p>
        </w:tc>
        <w:tc>
          <w:tcPr>
            <w:tcW w:w="5109" w:type="dxa"/>
            <w:tcBorders>
              <w:top w:val="single" w:sz="4" w:space="0" w:color="auto"/>
              <w:left w:val="single" w:sz="4" w:space="0" w:color="auto"/>
              <w:bottom w:val="single" w:sz="4" w:space="0" w:color="auto"/>
              <w:right w:val="single" w:sz="4" w:space="0" w:color="auto"/>
            </w:tcBorders>
            <w:vAlign w:val="center"/>
          </w:tcPr>
          <w:p w14:paraId="6350E4D3"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15/07/2033</w:t>
            </w:r>
          </w:p>
        </w:tc>
      </w:tr>
      <w:tr w:rsidR="00F4571A" w:rsidRPr="00D8141D" w14:paraId="163E4B56"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5A8D004"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24</w:t>
            </w:r>
          </w:p>
        </w:tc>
        <w:tc>
          <w:tcPr>
            <w:tcW w:w="5109" w:type="dxa"/>
            <w:tcBorders>
              <w:top w:val="single" w:sz="4" w:space="0" w:color="auto"/>
              <w:left w:val="single" w:sz="4" w:space="0" w:color="auto"/>
              <w:bottom w:val="single" w:sz="4" w:space="0" w:color="auto"/>
              <w:right w:val="single" w:sz="4" w:space="0" w:color="auto"/>
            </w:tcBorders>
            <w:vAlign w:val="center"/>
          </w:tcPr>
          <w:p w14:paraId="1841253D"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/01/2034</w:t>
            </w:r>
          </w:p>
        </w:tc>
      </w:tr>
      <w:tr w:rsidR="00F4571A" w:rsidRPr="00D8141D" w14:paraId="67384628"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EDCE23A"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25</w:t>
            </w:r>
          </w:p>
        </w:tc>
        <w:tc>
          <w:tcPr>
            <w:tcW w:w="5109" w:type="dxa"/>
            <w:tcBorders>
              <w:top w:val="single" w:sz="4" w:space="0" w:color="auto"/>
              <w:left w:val="single" w:sz="4" w:space="0" w:color="auto"/>
              <w:bottom w:val="single" w:sz="4" w:space="0" w:color="auto"/>
              <w:right w:val="single" w:sz="4" w:space="0" w:color="auto"/>
            </w:tcBorders>
            <w:vAlign w:val="center"/>
          </w:tcPr>
          <w:p w14:paraId="2ADFCFEB"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/07/2034</w:t>
            </w:r>
          </w:p>
        </w:tc>
      </w:tr>
      <w:tr w:rsidR="00F4571A" w:rsidRPr="00D8141D" w14:paraId="65D2E600"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74E859EC"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26</w:t>
            </w:r>
          </w:p>
        </w:tc>
        <w:tc>
          <w:tcPr>
            <w:tcW w:w="5109" w:type="dxa"/>
            <w:tcBorders>
              <w:top w:val="single" w:sz="4" w:space="0" w:color="auto"/>
              <w:left w:val="single" w:sz="4" w:space="0" w:color="auto"/>
              <w:bottom w:val="single" w:sz="4" w:space="0" w:color="auto"/>
              <w:right w:val="single" w:sz="4" w:space="0" w:color="auto"/>
            </w:tcBorders>
            <w:vAlign w:val="center"/>
          </w:tcPr>
          <w:p w14:paraId="10CEBA6F"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15/01/2035</w:t>
            </w:r>
          </w:p>
        </w:tc>
      </w:tr>
      <w:tr w:rsidR="00F4571A" w:rsidRPr="00D8141D" w14:paraId="733365BC"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6CE783F"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27</w:t>
            </w:r>
          </w:p>
        </w:tc>
        <w:tc>
          <w:tcPr>
            <w:tcW w:w="5109" w:type="dxa"/>
            <w:tcBorders>
              <w:top w:val="single" w:sz="4" w:space="0" w:color="auto"/>
              <w:left w:val="single" w:sz="4" w:space="0" w:color="auto"/>
              <w:bottom w:val="single" w:sz="4" w:space="0" w:color="auto"/>
              <w:right w:val="single" w:sz="4" w:space="0" w:color="auto"/>
            </w:tcBorders>
            <w:vAlign w:val="center"/>
          </w:tcPr>
          <w:p w14:paraId="19E7F875"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w:t>
            </w:r>
            <w:r w:rsidR="00AF59A3" w:rsidRPr="0020727A">
              <w:rPr>
                <w:rFonts w:ascii="Calibri" w:hAnsi="Calibri" w:cs="Calibri"/>
                <w:color w:val="000000"/>
                <w:sz w:val="16"/>
                <w:szCs w:val="16"/>
              </w:rPr>
              <w:t>5</w:t>
            </w:r>
            <w:r w:rsidRPr="0020727A">
              <w:rPr>
                <w:rFonts w:ascii="Calibri" w:hAnsi="Calibri" w:cs="Calibri"/>
                <w:color w:val="000000"/>
                <w:sz w:val="16"/>
                <w:szCs w:val="16"/>
              </w:rPr>
              <w:t>/07/2035</w:t>
            </w:r>
          </w:p>
        </w:tc>
      </w:tr>
      <w:tr w:rsidR="00F4571A" w:rsidRPr="00D8141D" w14:paraId="3954176E"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15D2D735"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28</w:t>
            </w:r>
          </w:p>
        </w:tc>
        <w:tc>
          <w:tcPr>
            <w:tcW w:w="5109" w:type="dxa"/>
            <w:tcBorders>
              <w:top w:val="single" w:sz="4" w:space="0" w:color="auto"/>
              <w:left w:val="single" w:sz="4" w:space="0" w:color="auto"/>
              <w:bottom w:val="single" w:sz="4" w:space="0" w:color="auto"/>
              <w:right w:val="single" w:sz="4" w:space="0" w:color="auto"/>
            </w:tcBorders>
            <w:vAlign w:val="center"/>
          </w:tcPr>
          <w:p w14:paraId="5496D41C"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15/01/2036</w:t>
            </w:r>
          </w:p>
        </w:tc>
      </w:tr>
      <w:tr w:rsidR="00F4571A" w:rsidRPr="00D8141D" w14:paraId="3E4FE7BC"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6A13A7F5"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29</w:t>
            </w:r>
          </w:p>
        </w:tc>
        <w:tc>
          <w:tcPr>
            <w:tcW w:w="5109" w:type="dxa"/>
            <w:tcBorders>
              <w:top w:val="single" w:sz="4" w:space="0" w:color="auto"/>
              <w:left w:val="single" w:sz="4" w:space="0" w:color="auto"/>
              <w:bottom w:val="single" w:sz="4" w:space="0" w:color="auto"/>
              <w:right w:val="single" w:sz="4" w:space="0" w:color="auto"/>
            </w:tcBorders>
            <w:vAlign w:val="center"/>
          </w:tcPr>
          <w:p w14:paraId="0F1F4969" w14:textId="77777777" w:rsidR="00F4571A" w:rsidRPr="00D8141D" w:rsidRDefault="00F4571A" w:rsidP="00771C6A">
            <w:pPr>
              <w:pStyle w:val="p0"/>
              <w:suppressAutoHyphens/>
              <w:spacing w:before="60" w:after="60" w:line="240" w:lineRule="auto"/>
              <w:jc w:val="center"/>
              <w:rPr>
                <w:rFonts w:ascii="Calibri" w:hAnsi="Calibri" w:cs="Calibri"/>
                <w:sz w:val="16"/>
                <w:szCs w:val="16"/>
              </w:rPr>
            </w:pPr>
            <w:r w:rsidRPr="0020727A">
              <w:rPr>
                <w:rFonts w:ascii="Calibri" w:hAnsi="Calibri" w:cs="Calibri"/>
                <w:color w:val="000000"/>
                <w:sz w:val="16"/>
                <w:szCs w:val="16"/>
              </w:rPr>
              <w:t>15/07/2036</w:t>
            </w:r>
          </w:p>
        </w:tc>
      </w:tr>
      <w:tr w:rsidR="00F4571A" w:rsidRPr="0082022E" w14:paraId="60A057D4" w14:textId="77777777" w:rsidTr="00771C6A">
        <w:trPr>
          <w:trHeight w:val="131"/>
        </w:trPr>
        <w:tc>
          <w:tcPr>
            <w:tcW w:w="1270" w:type="dxa"/>
            <w:tcBorders>
              <w:top w:val="single" w:sz="4" w:space="0" w:color="auto"/>
              <w:left w:val="single" w:sz="4" w:space="0" w:color="auto"/>
              <w:bottom w:val="single" w:sz="4" w:space="0" w:color="auto"/>
              <w:right w:val="single" w:sz="4" w:space="0" w:color="auto"/>
            </w:tcBorders>
          </w:tcPr>
          <w:p w14:paraId="1A79DFAE" w14:textId="77777777" w:rsidR="00F4571A" w:rsidRPr="00D8141D" w:rsidRDefault="00F4571A" w:rsidP="00771C6A">
            <w:pPr>
              <w:pStyle w:val="p0"/>
              <w:suppressAutoHyphens/>
              <w:spacing w:before="60" w:after="60" w:line="240" w:lineRule="auto"/>
              <w:jc w:val="center"/>
              <w:rPr>
                <w:rFonts w:ascii="Calibri" w:hAnsi="Calibri" w:cs="Calibri"/>
                <w:b/>
                <w:color w:val="000000"/>
                <w:sz w:val="16"/>
                <w:szCs w:val="16"/>
              </w:rPr>
            </w:pPr>
            <w:r w:rsidRPr="00D8141D">
              <w:rPr>
                <w:rFonts w:ascii="Calibri" w:hAnsi="Calibri" w:cs="Calibri"/>
                <w:b/>
                <w:color w:val="000000"/>
                <w:sz w:val="16"/>
                <w:szCs w:val="16"/>
              </w:rPr>
              <w:t>30</w:t>
            </w:r>
          </w:p>
        </w:tc>
        <w:tc>
          <w:tcPr>
            <w:tcW w:w="5109" w:type="dxa"/>
            <w:tcBorders>
              <w:top w:val="single" w:sz="4" w:space="0" w:color="auto"/>
              <w:left w:val="single" w:sz="4" w:space="0" w:color="auto"/>
              <w:bottom w:val="single" w:sz="4" w:space="0" w:color="auto"/>
              <w:right w:val="single" w:sz="4" w:space="0" w:color="auto"/>
            </w:tcBorders>
          </w:tcPr>
          <w:p w14:paraId="5086DB85" w14:textId="77777777" w:rsidR="00F4571A" w:rsidRPr="00566CD3" w:rsidRDefault="00F4571A" w:rsidP="00771C6A">
            <w:pPr>
              <w:pStyle w:val="p0"/>
              <w:suppressAutoHyphens/>
              <w:spacing w:before="60" w:after="60" w:line="240" w:lineRule="auto"/>
              <w:jc w:val="center"/>
              <w:rPr>
                <w:rFonts w:ascii="Calibri" w:hAnsi="Calibri"/>
                <w:sz w:val="16"/>
              </w:rPr>
            </w:pPr>
            <w:r w:rsidRPr="00566CD3">
              <w:rPr>
                <w:rFonts w:ascii="Calibri" w:hAnsi="Calibri"/>
                <w:sz w:val="16"/>
              </w:rPr>
              <w:t>Data de Vencimento da Segunda Série</w:t>
            </w:r>
          </w:p>
        </w:tc>
      </w:tr>
    </w:tbl>
    <w:p w14:paraId="02564A0B" w14:textId="77777777" w:rsidR="00F4571A" w:rsidRPr="00D8141D" w:rsidRDefault="00F4571A" w:rsidP="009E2BE2">
      <w:pPr>
        <w:pStyle w:val="HOMEBRBodyText"/>
        <w:keepLines w:val="0"/>
        <w:widowControl w:val="0"/>
        <w:spacing w:after="140" w:line="290" w:lineRule="auto"/>
        <w:jc w:val="both"/>
        <w:rPr>
          <w:rFonts w:cs="Calibri"/>
          <w:lang w:val="pt-BR"/>
        </w:rPr>
      </w:pPr>
    </w:p>
    <w:p w14:paraId="43633C4C" w14:textId="77777777" w:rsidR="00E806E8" w:rsidRPr="00566CD3" w:rsidRDefault="00F4571A" w:rsidP="009E2BE2">
      <w:pPr>
        <w:pStyle w:val="Ttulo3"/>
        <w:spacing w:after="140" w:line="290" w:lineRule="auto"/>
        <w:jc w:val="both"/>
        <w:rPr>
          <w:i/>
        </w:rPr>
      </w:pPr>
      <w:bookmarkStart w:id="200" w:name="_Toc90045118"/>
      <w:bookmarkStart w:id="201" w:name="_Toc95928434"/>
      <w:bookmarkStart w:id="202" w:name="_Ref427685207"/>
      <w:r w:rsidRPr="00566CD3">
        <w:rPr>
          <w:i/>
        </w:rPr>
        <w:t>Amortização do Valor Nominal Atualizado das Debêntures da Primeira Série</w:t>
      </w:r>
      <w:bookmarkEnd w:id="200"/>
      <w:bookmarkEnd w:id="201"/>
    </w:p>
    <w:p w14:paraId="510D0135" w14:textId="77777777" w:rsidR="00E806E8" w:rsidRPr="00566CD3" w:rsidRDefault="00F4571A" w:rsidP="00E806E8">
      <w:pPr>
        <w:jc w:val="both"/>
      </w:pPr>
      <w:r w:rsidRPr="00566CD3">
        <w:t xml:space="preserve">Ressalvadas as hipóteses de pagamento em decorrência das Debêntures da Primeira Série e, se permitido pelas regras expedidas pelo CMN e pela legislação e regulamentação aplicáveis e Oferta de Resgate Antecipado Facultativo, o Valor Nominal </w:t>
      </w:r>
      <w:r w:rsidR="009D09A0" w:rsidRPr="00566CD3">
        <w:t xml:space="preserve">Unitário </w:t>
      </w:r>
      <w:r w:rsidRPr="00566CD3">
        <w:t>Atualizado das Debêntures da Primeira Série será amortizado integralmente na Data de Vencimento da Primeira Série.</w:t>
      </w:r>
    </w:p>
    <w:p w14:paraId="7AF437AD" w14:textId="77777777" w:rsidR="00E8286C" w:rsidRPr="00566CD3" w:rsidRDefault="00E8286C" w:rsidP="009E2BE2">
      <w:pPr>
        <w:pStyle w:val="Ttulo3"/>
        <w:spacing w:after="140" w:line="290" w:lineRule="auto"/>
        <w:jc w:val="both"/>
        <w:rPr>
          <w:i/>
        </w:rPr>
      </w:pPr>
      <w:bookmarkStart w:id="203" w:name="_Toc87002493"/>
      <w:bookmarkStart w:id="204" w:name="_Ref90216042"/>
      <w:bookmarkStart w:id="205" w:name="_Toc90045119"/>
      <w:bookmarkStart w:id="206" w:name="_Toc95928435"/>
      <w:r w:rsidRPr="00566CD3">
        <w:rPr>
          <w:i/>
        </w:rPr>
        <w:lastRenderedPageBreak/>
        <w:t xml:space="preserve">Amortização </w:t>
      </w:r>
      <w:bookmarkEnd w:id="202"/>
      <w:r w:rsidR="00E806E8" w:rsidRPr="00566CD3">
        <w:rPr>
          <w:i/>
        </w:rPr>
        <w:t>do Valor Nominal Atualizado das Debêntures da Segunda Série</w:t>
      </w:r>
      <w:bookmarkEnd w:id="203"/>
      <w:bookmarkEnd w:id="204"/>
      <w:bookmarkEnd w:id="205"/>
      <w:bookmarkEnd w:id="206"/>
    </w:p>
    <w:p w14:paraId="0608D77F" w14:textId="77777777" w:rsidR="00CC6811" w:rsidRPr="00566CD3" w:rsidRDefault="00F4571A" w:rsidP="00E806E8">
      <w:pPr>
        <w:pStyle w:val="Body"/>
        <w:jc w:val="both"/>
      </w:pPr>
      <w:r w:rsidRPr="00566CD3">
        <w:t xml:space="preserve">Ressalvadas as hipóteses de pagamento em decorrência das Debêntures da Segunda Série e, se permitido pelas regras expedidas pelo CMN e pela legislação e regulamentação aplicáveis e Oferta de Resgate Antecipado Facultativo, o Valor Nominal </w:t>
      </w:r>
      <w:r w:rsidR="009D09A0" w:rsidRPr="00566CD3">
        <w:t>Unitário</w:t>
      </w:r>
      <w:r w:rsidRPr="00566CD3">
        <w:t xml:space="preserve"> Atualizado das Debêntures da Segunda Série será amortizado em 3 (três) parcelas anuais e consecutivas, a partir do 13º (décimo terceiro) ano contado da Data de Emissão, sendo a primeira parcela devida em 15 de janeiro de 2035</w:t>
      </w:r>
      <w:r w:rsidR="00AF59A3" w:rsidRPr="00566CD3">
        <w:t>, a segunda em 15 de janeiro de 2036</w:t>
      </w:r>
      <w:r w:rsidRPr="00566CD3">
        <w:t xml:space="preserve"> e a última na Data de Vencimento da Segunda Série, conforme a tabela abaixo</w:t>
      </w:r>
      <w:r w:rsidR="00E806E8" w:rsidRPr="00566CD3">
        <w:t>:</w:t>
      </w:r>
    </w:p>
    <w:tbl>
      <w:tblPr>
        <w:tblW w:w="4642" w:type="pct"/>
        <w:tblInd w:w="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72"/>
        <w:gridCol w:w="3426"/>
        <w:gridCol w:w="3136"/>
      </w:tblGrid>
      <w:tr w:rsidR="00F4571A" w:rsidRPr="0082022E" w14:paraId="30D5B02B" w14:textId="77777777" w:rsidTr="00771C6A">
        <w:trPr>
          <w:tblHeader/>
        </w:trPr>
        <w:tc>
          <w:tcPr>
            <w:tcW w:w="966" w:type="pct"/>
            <w:shd w:val="clear" w:color="000000" w:fill="E7E6E6"/>
            <w:vAlign w:val="center"/>
          </w:tcPr>
          <w:p w14:paraId="1C3FC921" w14:textId="77777777" w:rsidR="00F4571A" w:rsidRPr="00D8141D" w:rsidRDefault="00F4571A" w:rsidP="00771C6A">
            <w:pPr>
              <w:spacing w:before="60" w:after="60" w:line="290" w:lineRule="auto"/>
              <w:jc w:val="center"/>
              <w:rPr>
                <w:b/>
                <w:sz w:val="16"/>
                <w:szCs w:val="16"/>
              </w:rPr>
            </w:pPr>
            <w:r w:rsidRPr="00D8141D">
              <w:rPr>
                <w:rFonts w:cs="Calibri"/>
                <w:b/>
                <w:color w:val="000000"/>
                <w:sz w:val="16"/>
                <w:szCs w:val="16"/>
              </w:rPr>
              <w:t>Parcela</w:t>
            </w:r>
          </w:p>
        </w:tc>
        <w:tc>
          <w:tcPr>
            <w:tcW w:w="2106" w:type="pct"/>
            <w:shd w:val="clear" w:color="000000" w:fill="E7E6E6"/>
            <w:vAlign w:val="center"/>
          </w:tcPr>
          <w:p w14:paraId="5613ADFC" w14:textId="77777777" w:rsidR="00F4571A" w:rsidRPr="00566CD3" w:rsidRDefault="00F4571A" w:rsidP="00771C6A">
            <w:pPr>
              <w:spacing w:before="60" w:after="60" w:line="290" w:lineRule="auto"/>
              <w:jc w:val="center"/>
              <w:rPr>
                <w:b/>
                <w:sz w:val="16"/>
              </w:rPr>
            </w:pPr>
            <w:r w:rsidRPr="00566CD3">
              <w:rPr>
                <w:b/>
                <w:color w:val="000000"/>
                <w:sz w:val="16"/>
              </w:rPr>
              <w:t>Data de Amortização das Debêntures da Segunda Série</w:t>
            </w:r>
          </w:p>
        </w:tc>
        <w:tc>
          <w:tcPr>
            <w:tcW w:w="1928" w:type="pct"/>
            <w:shd w:val="clear" w:color="000000" w:fill="E7E6E6"/>
            <w:vAlign w:val="center"/>
          </w:tcPr>
          <w:p w14:paraId="4C0682D3" w14:textId="77777777" w:rsidR="00F4571A" w:rsidRPr="00566CD3" w:rsidRDefault="00F4571A" w:rsidP="00771C6A">
            <w:pPr>
              <w:spacing w:before="60" w:after="60" w:line="290" w:lineRule="auto"/>
              <w:jc w:val="center"/>
              <w:rPr>
                <w:b/>
                <w:sz w:val="16"/>
              </w:rPr>
            </w:pPr>
            <w:r w:rsidRPr="00566CD3">
              <w:rPr>
                <w:b/>
                <w:color w:val="000000"/>
                <w:sz w:val="16"/>
              </w:rPr>
              <w:t xml:space="preserve">% do Valor Nominal </w:t>
            </w:r>
            <w:r w:rsidR="009D09A0" w:rsidRPr="00566CD3">
              <w:rPr>
                <w:b/>
                <w:color w:val="000000"/>
                <w:sz w:val="16"/>
              </w:rPr>
              <w:t>Unitário</w:t>
            </w:r>
            <w:r w:rsidRPr="00566CD3">
              <w:rPr>
                <w:b/>
                <w:color w:val="000000"/>
                <w:sz w:val="16"/>
              </w:rPr>
              <w:t xml:space="preserve"> Atualizado da Segunda Série a ser amortizado*</w:t>
            </w:r>
          </w:p>
        </w:tc>
      </w:tr>
      <w:tr w:rsidR="00F4571A" w:rsidRPr="00D8141D" w14:paraId="0AE1A521" w14:textId="77777777" w:rsidTr="00771C6A">
        <w:tc>
          <w:tcPr>
            <w:tcW w:w="966" w:type="pct"/>
          </w:tcPr>
          <w:p w14:paraId="10D44175" w14:textId="77777777" w:rsidR="00F4571A" w:rsidRPr="00D8141D" w:rsidRDefault="00F4571A" w:rsidP="00771C6A">
            <w:pPr>
              <w:spacing w:before="60" w:after="60" w:line="290" w:lineRule="auto"/>
              <w:jc w:val="center"/>
              <w:rPr>
                <w:sz w:val="16"/>
                <w:szCs w:val="16"/>
              </w:rPr>
            </w:pPr>
            <w:r w:rsidRPr="00D8141D">
              <w:rPr>
                <w:color w:val="000000"/>
                <w:sz w:val="16"/>
                <w:szCs w:val="16"/>
              </w:rPr>
              <w:t>1</w:t>
            </w:r>
          </w:p>
        </w:tc>
        <w:tc>
          <w:tcPr>
            <w:tcW w:w="2106" w:type="pct"/>
            <w:vAlign w:val="center"/>
          </w:tcPr>
          <w:p w14:paraId="39DFE532" w14:textId="77777777" w:rsidR="00F4571A" w:rsidRPr="00D8141D" w:rsidRDefault="00F4571A" w:rsidP="00771C6A">
            <w:pPr>
              <w:spacing w:before="60" w:after="60" w:line="290" w:lineRule="auto"/>
              <w:jc w:val="center"/>
              <w:rPr>
                <w:sz w:val="16"/>
                <w:szCs w:val="16"/>
              </w:rPr>
            </w:pPr>
            <w:r w:rsidRPr="00D8141D">
              <w:rPr>
                <w:rFonts w:cs="Calibri"/>
                <w:sz w:val="16"/>
                <w:szCs w:val="16"/>
              </w:rPr>
              <w:t>15</w:t>
            </w:r>
            <w:r w:rsidRPr="00D8141D">
              <w:rPr>
                <w:sz w:val="16"/>
                <w:szCs w:val="16"/>
              </w:rPr>
              <w:t xml:space="preserve"> de </w:t>
            </w:r>
            <w:r w:rsidRPr="00D8141D">
              <w:rPr>
                <w:rFonts w:cs="Calibri"/>
                <w:sz w:val="16"/>
                <w:szCs w:val="16"/>
              </w:rPr>
              <w:t>janeiro</w:t>
            </w:r>
            <w:r w:rsidRPr="00D8141D">
              <w:rPr>
                <w:sz w:val="16"/>
                <w:szCs w:val="16"/>
              </w:rPr>
              <w:t xml:space="preserve"> de </w:t>
            </w:r>
            <w:r w:rsidRPr="00D8141D">
              <w:rPr>
                <w:rFonts w:cs="Calibri"/>
                <w:sz w:val="16"/>
                <w:szCs w:val="16"/>
              </w:rPr>
              <w:t>2035</w:t>
            </w:r>
          </w:p>
        </w:tc>
        <w:tc>
          <w:tcPr>
            <w:tcW w:w="1928" w:type="pct"/>
          </w:tcPr>
          <w:p w14:paraId="5D6871C6" w14:textId="77777777" w:rsidR="00F4571A" w:rsidRPr="00D8141D" w:rsidRDefault="00F4571A" w:rsidP="00771C6A">
            <w:pPr>
              <w:spacing w:before="60" w:after="60" w:line="290" w:lineRule="auto"/>
              <w:jc w:val="center"/>
              <w:rPr>
                <w:rFonts w:cs="Calibri"/>
                <w:sz w:val="16"/>
                <w:szCs w:val="16"/>
              </w:rPr>
            </w:pPr>
            <w:r w:rsidRPr="00D8141D">
              <w:rPr>
                <w:rFonts w:cs="Calibri"/>
                <w:sz w:val="16"/>
                <w:szCs w:val="16"/>
              </w:rPr>
              <w:t>33,3333%</w:t>
            </w:r>
          </w:p>
        </w:tc>
      </w:tr>
      <w:tr w:rsidR="00F4571A" w:rsidRPr="00D8141D" w14:paraId="4F9881EF" w14:textId="77777777" w:rsidTr="00771C6A">
        <w:tc>
          <w:tcPr>
            <w:tcW w:w="966" w:type="pct"/>
          </w:tcPr>
          <w:p w14:paraId="0D88A18F" w14:textId="77777777" w:rsidR="00F4571A" w:rsidRPr="00D8141D" w:rsidRDefault="00F4571A" w:rsidP="00771C6A">
            <w:pPr>
              <w:spacing w:before="60" w:after="60" w:line="290" w:lineRule="auto"/>
              <w:jc w:val="center"/>
              <w:rPr>
                <w:sz w:val="16"/>
                <w:szCs w:val="16"/>
              </w:rPr>
            </w:pPr>
            <w:r w:rsidRPr="00D8141D">
              <w:rPr>
                <w:color w:val="000000"/>
                <w:sz w:val="16"/>
                <w:szCs w:val="16"/>
              </w:rPr>
              <w:t>2</w:t>
            </w:r>
          </w:p>
        </w:tc>
        <w:tc>
          <w:tcPr>
            <w:tcW w:w="2106" w:type="pct"/>
            <w:vAlign w:val="center"/>
          </w:tcPr>
          <w:p w14:paraId="4DAA91C3" w14:textId="77777777" w:rsidR="00F4571A" w:rsidRPr="00D8141D" w:rsidRDefault="00F4571A" w:rsidP="00771C6A">
            <w:pPr>
              <w:spacing w:before="60" w:after="60" w:line="290" w:lineRule="auto"/>
              <w:jc w:val="center"/>
              <w:rPr>
                <w:sz w:val="16"/>
                <w:szCs w:val="16"/>
              </w:rPr>
            </w:pPr>
            <w:r w:rsidRPr="00D8141D">
              <w:rPr>
                <w:rFonts w:cs="Calibri"/>
                <w:sz w:val="16"/>
                <w:szCs w:val="16"/>
              </w:rPr>
              <w:t>15</w:t>
            </w:r>
            <w:r w:rsidRPr="00D8141D">
              <w:rPr>
                <w:sz w:val="16"/>
                <w:szCs w:val="16"/>
              </w:rPr>
              <w:t xml:space="preserve"> de </w:t>
            </w:r>
            <w:r w:rsidRPr="00D8141D">
              <w:rPr>
                <w:rFonts w:cs="Calibri"/>
                <w:sz w:val="16"/>
                <w:szCs w:val="16"/>
              </w:rPr>
              <w:t>janeiro</w:t>
            </w:r>
            <w:r w:rsidRPr="00D8141D">
              <w:rPr>
                <w:sz w:val="16"/>
                <w:szCs w:val="16"/>
              </w:rPr>
              <w:t xml:space="preserve"> de </w:t>
            </w:r>
            <w:r w:rsidRPr="00D8141D">
              <w:rPr>
                <w:rFonts w:cs="Calibri"/>
                <w:sz w:val="16"/>
                <w:szCs w:val="16"/>
              </w:rPr>
              <w:t>2036</w:t>
            </w:r>
          </w:p>
        </w:tc>
        <w:tc>
          <w:tcPr>
            <w:tcW w:w="1928" w:type="pct"/>
          </w:tcPr>
          <w:p w14:paraId="23A6C321" w14:textId="77777777" w:rsidR="00F4571A" w:rsidRPr="00D8141D" w:rsidRDefault="00F4571A" w:rsidP="00771C6A">
            <w:pPr>
              <w:spacing w:before="60" w:after="60" w:line="290" w:lineRule="auto"/>
              <w:jc w:val="center"/>
              <w:rPr>
                <w:rFonts w:cs="Calibri"/>
                <w:sz w:val="16"/>
                <w:szCs w:val="16"/>
              </w:rPr>
            </w:pPr>
            <w:r w:rsidRPr="00D8141D">
              <w:rPr>
                <w:rFonts w:cs="Calibri"/>
                <w:sz w:val="16"/>
                <w:szCs w:val="16"/>
              </w:rPr>
              <w:t>50,0000%</w:t>
            </w:r>
          </w:p>
        </w:tc>
      </w:tr>
      <w:tr w:rsidR="00F4571A" w:rsidRPr="00D8141D" w14:paraId="4C2336C9" w14:textId="77777777" w:rsidTr="00771C6A">
        <w:tc>
          <w:tcPr>
            <w:tcW w:w="966" w:type="pct"/>
          </w:tcPr>
          <w:p w14:paraId="28BD8977" w14:textId="77777777" w:rsidR="00F4571A" w:rsidRPr="00D8141D" w:rsidRDefault="00F4571A" w:rsidP="00771C6A">
            <w:pPr>
              <w:spacing w:before="60" w:after="60" w:line="290" w:lineRule="auto"/>
              <w:jc w:val="center"/>
              <w:rPr>
                <w:sz w:val="16"/>
                <w:szCs w:val="16"/>
              </w:rPr>
            </w:pPr>
            <w:r w:rsidRPr="00D8141D">
              <w:rPr>
                <w:rFonts w:cs="Calibri"/>
                <w:color w:val="000000"/>
                <w:sz w:val="16"/>
                <w:szCs w:val="16"/>
              </w:rPr>
              <w:t>3</w:t>
            </w:r>
          </w:p>
        </w:tc>
        <w:tc>
          <w:tcPr>
            <w:tcW w:w="2106" w:type="pct"/>
            <w:vAlign w:val="center"/>
          </w:tcPr>
          <w:p w14:paraId="0A4F5354" w14:textId="77777777" w:rsidR="00F4571A" w:rsidRPr="00566CD3" w:rsidRDefault="00F4571A" w:rsidP="00771C6A">
            <w:pPr>
              <w:spacing w:before="60" w:after="60" w:line="290" w:lineRule="auto"/>
              <w:jc w:val="center"/>
              <w:rPr>
                <w:sz w:val="16"/>
              </w:rPr>
            </w:pPr>
            <w:r w:rsidRPr="00566CD3">
              <w:rPr>
                <w:sz w:val="16"/>
              </w:rPr>
              <w:t>Data de Vencimento da Segunda Série</w:t>
            </w:r>
          </w:p>
        </w:tc>
        <w:tc>
          <w:tcPr>
            <w:tcW w:w="1928" w:type="pct"/>
          </w:tcPr>
          <w:p w14:paraId="203C80BB" w14:textId="77777777" w:rsidR="00F4571A" w:rsidRPr="00D8141D" w:rsidRDefault="00AF59A3" w:rsidP="00771C6A">
            <w:pPr>
              <w:spacing w:before="60" w:after="60" w:line="290" w:lineRule="auto"/>
              <w:jc w:val="center"/>
              <w:rPr>
                <w:rFonts w:cs="Calibri"/>
                <w:sz w:val="16"/>
                <w:szCs w:val="16"/>
              </w:rPr>
            </w:pPr>
            <w:r w:rsidRPr="00D8141D">
              <w:rPr>
                <w:rFonts w:cs="Calibri"/>
                <w:sz w:val="16"/>
                <w:szCs w:val="16"/>
              </w:rPr>
              <w:t>100</w:t>
            </w:r>
            <w:r w:rsidR="00F4571A" w:rsidRPr="00D8141D">
              <w:rPr>
                <w:rFonts w:cs="Calibri"/>
                <w:sz w:val="16"/>
                <w:szCs w:val="16"/>
              </w:rPr>
              <w:t>,0000%</w:t>
            </w:r>
          </w:p>
        </w:tc>
      </w:tr>
    </w:tbl>
    <w:p w14:paraId="7DF9A757" w14:textId="77777777" w:rsidR="00F4571A" w:rsidRPr="00566CD3" w:rsidRDefault="00F4571A" w:rsidP="00F4571A">
      <w:pPr>
        <w:pStyle w:val="Body2"/>
        <w:ind w:left="1701" w:hanging="454"/>
      </w:pPr>
      <w:r w:rsidRPr="00566CD3">
        <w:t>*</w:t>
      </w:r>
      <w:r w:rsidRPr="00566CD3">
        <w:tab/>
        <w:t xml:space="preserve">Percentuais utilizados para o cálculo da parcela do Valor Nominal </w:t>
      </w:r>
      <w:r w:rsidR="009D09A0" w:rsidRPr="00566CD3">
        <w:t xml:space="preserve">Unitário </w:t>
      </w:r>
      <w:r w:rsidRPr="00566CD3">
        <w:t xml:space="preserve">Atualizado da Segunda Série a ser amortizada. </w:t>
      </w:r>
    </w:p>
    <w:p w14:paraId="6D95AB24" w14:textId="77777777" w:rsidR="00E8286C" w:rsidRPr="00566CD3" w:rsidRDefault="00F4571A" w:rsidP="009E2BE2">
      <w:pPr>
        <w:pStyle w:val="Ttulo3"/>
        <w:spacing w:after="140" w:line="290" w:lineRule="auto"/>
        <w:jc w:val="both"/>
        <w:rPr>
          <w:i/>
        </w:rPr>
      </w:pPr>
      <w:bookmarkStart w:id="207" w:name="_Toc90045120"/>
      <w:bookmarkStart w:id="208" w:name="_Toc95928436"/>
      <w:bookmarkStart w:id="209" w:name="_Ref480911663"/>
      <w:r w:rsidRPr="00566CD3">
        <w:rPr>
          <w:i/>
        </w:rPr>
        <w:t>Local de Pagamento</w:t>
      </w:r>
      <w:bookmarkEnd w:id="207"/>
      <w:bookmarkEnd w:id="208"/>
      <w:r w:rsidR="0038575B" w:rsidRPr="00566CD3">
        <w:rPr>
          <w:i/>
        </w:rPr>
        <w:t xml:space="preserve"> </w:t>
      </w:r>
      <w:bookmarkEnd w:id="209"/>
    </w:p>
    <w:p w14:paraId="21D36BB5" w14:textId="77777777" w:rsidR="00591130" w:rsidRPr="0020727A" w:rsidRDefault="00F4571A" w:rsidP="00591130">
      <w:pPr>
        <w:pStyle w:val="HOMEBRBodyText"/>
        <w:keepLines w:val="0"/>
        <w:widowControl w:val="0"/>
        <w:spacing w:after="140" w:line="290" w:lineRule="auto"/>
        <w:jc w:val="both"/>
        <w:rPr>
          <w:lang w:val="pt-BR"/>
        </w:rPr>
      </w:pPr>
      <w:r w:rsidRPr="0020727A">
        <w:rPr>
          <w:lang w:val="pt-BR"/>
        </w:rPr>
        <w:t>Os pagamentos a que fizerem jus as Debêntures serão efetuados pela Emissora no respectivo vencimento utilizando-se, conforme o caso: (a) os procedimentos adotados pela B3 para as Debêntures custodiadas eletronicamente nela; (b) os procedimentos adotados pelo Escriturador, para as Debêntures que não estejam custodiadas eletronicamente na B3</w:t>
      </w:r>
      <w:r w:rsidRPr="00D8141D">
        <w:rPr>
          <w:rFonts w:cs="Calibri"/>
          <w:lang w:val="pt-BR"/>
        </w:rPr>
        <w:t xml:space="preserve">; e/ou (c) na sede da Emissora, para os pagamentos que não possam ser realizados por meio do </w:t>
      </w:r>
      <w:r w:rsidR="009D09A0" w:rsidRPr="00D8141D">
        <w:rPr>
          <w:rFonts w:cs="Calibri"/>
        </w:rPr>
        <w:t>Agente de Liquidação</w:t>
      </w:r>
      <w:r w:rsidRPr="00D8141D">
        <w:rPr>
          <w:rFonts w:cs="Calibri"/>
          <w:lang w:val="pt-BR"/>
        </w:rPr>
        <w:t xml:space="preserve"> ou da B3.</w:t>
      </w:r>
    </w:p>
    <w:p w14:paraId="46D7BA52" w14:textId="77777777" w:rsidR="009D09A0" w:rsidRPr="0020727A" w:rsidRDefault="009D09A0" w:rsidP="00591130">
      <w:pPr>
        <w:pStyle w:val="HOMEBRBodyText"/>
        <w:keepLines w:val="0"/>
        <w:widowControl w:val="0"/>
        <w:spacing w:after="140" w:line="290" w:lineRule="auto"/>
        <w:jc w:val="both"/>
        <w:rPr>
          <w:lang w:val="pt-BR"/>
        </w:rPr>
      </w:pPr>
      <w:r w:rsidRPr="009D09A0">
        <w:rPr>
          <w:lang w:val="pt-BR"/>
        </w:rPr>
        <w:t>Farão jus ao recebimento de qualquer valor devido aos Debenturistas nos termos desta Escritura de Emissão aqueles que sejam Debenturistas ao final do Dia Útil imediatamente anterior à respectiva data do pagamento</w:t>
      </w:r>
      <w:r>
        <w:rPr>
          <w:lang w:val="pt-BR"/>
        </w:rPr>
        <w:t>.</w:t>
      </w:r>
    </w:p>
    <w:p w14:paraId="5D13C523" w14:textId="77777777" w:rsidR="00E8286C" w:rsidRPr="00566CD3" w:rsidRDefault="00D2550B" w:rsidP="009E2BE2">
      <w:pPr>
        <w:pStyle w:val="Ttulo3"/>
        <w:spacing w:after="140" w:line="290" w:lineRule="auto"/>
        <w:jc w:val="both"/>
        <w:rPr>
          <w:i/>
        </w:rPr>
      </w:pPr>
      <w:bookmarkStart w:id="210" w:name="_Toc90045121"/>
      <w:bookmarkStart w:id="211" w:name="_Toc95928437"/>
      <w:r w:rsidRPr="00566CD3">
        <w:rPr>
          <w:i/>
        </w:rPr>
        <w:t>Caracterização como Debêntures Verdes</w:t>
      </w:r>
      <w:bookmarkEnd w:id="210"/>
      <w:bookmarkEnd w:id="211"/>
    </w:p>
    <w:p w14:paraId="5A7EB863" w14:textId="77777777" w:rsidR="00D50536" w:rsidRPr="0020727A" w:rsidRDefault="00D2550B" w:rsidP="009E2BE2">
      <w:pPr>
        <w:pStyle w:val="HOMEBRBodyText"/>
        <w:keepLines w:val="0"/>
        <w:widowControl w:val="0"/>
        <w:spacing w:after="140" w:line="290" w:lineRule="auto"/>
        <w:jc w:val="both"/>
        <w:rPr>
          <w:lang w:val="pt-BR"/>
        </w:rPr>
      </w:pPr>
      <w:bookmarkStart w:id="212" w:name="_Ref420335344"/>
      <w:r w:rsidRPr="0020727A">
        <w:rPr>
          <w:lang w:val="pt-BR"/>
        </w:rPr>
        <w:t xml:space="preserve">As Debêntures serão caracterizadas como Debêntures Verdes, nos termos do Decreto nº 8.874/16, conforme alterado pelo Decreto nº 10.387, com base em: (i) Parecer Independente, emitido por consultoria especializada, atestando que as Debêntures cumprem com as regras emitidas pela ICMA e constantes do </w:t>
      </w:r>
      <w:r w:rsidRPr="0020727A">
        <w:rPr>
          <w:i/>
          <w:lang w:val="pt-BR"/>
        </w:rPr>
        <w:t xml:space="preserve">Green Bond Principles (GBP) </w:t>
      </w:r>
      <w:r w:rsidRPr="0020727A">
        <w:rPr>
          <w:lang w:val="pt-BR"/>
        </w:rPr>
        <w:t xml:space="preserve">de 2021, conforme atualizado, para caracterização da emissão na categoria de </w:t>
      </w:r>
      <w:r w:rsidRPr="00D8141D">
        <w:rPr>
          <w:rFonts w:cs="Calibri"/>
          <w:lang w:val="pt-BR"/>
        </w:rPr>
        <w:t>“</w:t>
      </w:r>
      <w:r w:rsidR="00AF59A3" w:rsidRPr="00D8141D">
        <w:rPr>
          <w:rFonts w:cs="Calibri"/>
          <w:u w:val="single"/>
          <w:lang w:val="pt-BR"/>
        </w:rPr>
        <w:t>energia renovável</w:t>
      </w:r>
      <w:r w:rsidRPr="00D8141D">
        <w:rPr>
          <w:rFonts w:cs="Calibri"/>
          <w:lang w:val="pt-BR"/>
        </w:rPr>
        <w:t>”;</w:t>
      </w:r>
      <w:r w:rsidRPr="0020727A">
        <w:rPr>
          <w:lang w:val="pt-BR"/>
        </w:rPr>
        <w:t xml:space="preserve"> e (ii) Marcação ESG nos sistemas da B3 como título verde, observados os procedimentos adotados pela B3. A Companhia poderá, mas não estará obrigada, a buscar outras certificações para as Debêntures em adição ao Parecer Independente e a Marcação ESG, a Certificação.</w:t>
      </w:r>
    </w:p>
    <w:p w14:paraId="4A74A4A7" w14:textId="77777777" w:rsidR="00D2550B" w:rsidRPr="0020727A" w:rsidRDefault="00D2550B" w:rsidP="009E2BE2">
      <w:pPr>
        <w:pStyle w:val="HOMEBRBodyText"/>
        <w:keepLines w:val="0"/>
        <w:widowControl w:val="0"/>
        <w:spacing w:after="140" w:line="290" w:lineRule="auto"/>
        <w:jc w:val="both"/>
        <w:rPr>
          <w:lang w:val="pt-BR"/>
        </w:rPr>
      </w:pPr>
      <w:r w:rsidRPr="0020727A">
        <w:rPr>
          <w:lang w:val="pt-BR"/>
        </w:rPr>
        <w:lastRenderedPageBreak/>
        <w:t xml:space="preserve">O Parecer Independente elaborado pela consultoria especializada será disponibilizado na íntegra na página da rede mundial de computadores da Emissora (https://www.saomartinho.com.br/), bem como será enviada uma cópia eletrônica (pdf) para o Agente Fiduciário, em conjunto com os demais documentos da Oferta até a </w:t>
      </w:r>
      <w:r w:rsidRPr="00D8141D">
        <w:rPr>
          <w:rFonts w:cs="Calibri"/>
          <w:lang w:val="pt-BR"/>
        </w:rPr>
        <w:t>Primeira</w:t>
      </w:r>
      <w:r w:rsidRPr="0020727A">
        <w:rPr>
          <w:lang w:val="pt-BR"/>
        </w:rPr>
        <w:t xml:space="preserve"> Data de Integralização.</w:t>
      </w:r>
    </w:p>
    <w:p w14:paraId="77DD69B7" w14:textId="77777777" w:rsidR="00D2550B" w:rsidRPr="0020727A" w:rsidRDefault="00D2550B" w:rsidP="009E2BE2">
      <w:pPr>
        <w:pStyle w:val="HOMEBRBodyText"/>
        <w:keepLines w:val="0"/>
        <w:widowControl w:val="0"/>
        <w:spacing w:after="140" w:line="290" w:lineRule="auto"/>
        <w:jc w:val="both"/>
        <w:rPr>
          <w:lang w:val="pt-BR"/>
        </w:rPr>
      </w:pPr>
      <w:r w:rsidRPr="0020727A">
        <w:rPr>
          <w:lang w:val="pt-BR"/>
        </w:rPr>
        <w:t xml:space="preserve">Adicionalmente, a Emissora realizará reporte anual, </w:t>
      </w:r>
      <w:r w:rsidR="00520AE1" w:rsidRPr="0020727A">
        <w:rPr>
          <w:lang w:val="pt-BR"/>
        </w:rPr>
        <w:t>sendo que o primeiro será realizado em até 24 (vinte e quatro) meses da data de publicação do Parecer Independente</w:t>
      </w:r>
      <w:r w:rsidRPr="0020727A">
        <w:rPr>
          <w:lang w:val="pt-BR"/>
        </w:rPr>
        <w:t>, a respeito da alocação dos recursos nos Projetos de Investimento e dos impactos ambientais associados à presente Emissão, de forma a manter a classificação das Debêntures Verdes, o qual deverá ser publicado para conhecimento dos Debenturistas</w:t>
      </w:r>
      <w:r w:rsidR="002D350B" w:rsidRPr="0020727A">
        <w:rPr>
          <w:lang w:val="pt-BR"/>
        </w:rPr>
        <w:t xml:space="preserve"> seguido o disposto na Escritura de Emissão</w:t>
      </w:r>
      <w:r w:rsidRPr="0020727A">
        <w:rPr>
          <w:lang w:val="pt-BR"/>
        </w:rPr>
        <w:t xml:space="preserve"> (“</w:t>
      </w:r>
      <w:r w:rsidRPr="0020727A">
        <w:rPr>
          <w:u w:val="single"/>
          <w:lang w:val="pt-BR"/>
        </w:rPr>
        <w:t>Reporte Anual de Título Verde</w:t>
      </w:r>
      <w:r w:rsidRPr="0020727A">
        <w:rPr>
          <w:lang w:val="pt-BR"/>
        </w:rPr>
        <w:t xml:space="preserve">”). A obrigação aqui prevista permanecerá vigente até: (i) a data em que ocorrer a comprovação da aplicação da totalidade dos recursos obtidos com as Debêntures Verdes nos Projetos de Investimento, a qual será atestada por meio da publicação do último Reporte Anual de Título Verde em sua página na rede mundial de computadores, conforme previsto na </w:t>
      </w:r>
      <w:r w:rsidR="002D350B" w:rsidRPr="0020727A">
        <w:rPr>
          <w:lang w:val="pt-BR"/>
        </w:rPr>
        <w:t>Escritura de Emissão</w:t>
      </w:r>
      <w:r w:rsidRPr="0020727A">
        <w:rPr>
          <w:lang w:val="pt-BR"/>
        </w:rPr>
        <w:t>; ou (ii) a Data de Vencimento das Debêntures, das duas a que ocorrer primeiro</w:t>
      </w:r>
      <w:r w:rsidR="002D350B" w:rsidRPr="0020727A">
        <w:rPr>
          <w:lang w:val="pt-BR"/>
        </w:rPr>
        <w:t>.</w:t>
      </w:r>
    </w:p>
    <w:p w14:paraId="042D8386" w14:textId="77777777" w:rsidR="002D350B" w:rsidRPr="00D8141D" w:rsidRDefault="002D350B" w:rsidP="009E2BE2">
      <w:pPr>
        <w:pStyle w:val="HOMEBRBodyText"/>
        <w:keepLines w:val="0"/>
        <w:widowControl w:val="0"/>
        <w:spacing w:after="140" w:line="290" w:lineRule="auto"/>
        <w:jc w:val="both"/>
        <w:rPr>
          <w:rFonts w:cs="Calibri"/>
          <w:bCs/>
          <w:iCs/>
          <w:lang w:val="pt-BR"/>
        </w:rPr>
      </w:pPr>
      <w:r w:rsidRPr="0020727A">
        <w:rPr>
          <w:lang w:val="pt-BR"/>
        </w:rPr>
        <w:t>Não obstante a caracterização das Debêntures como “debêntures verdes”, nos termos do presente item, e para fins de esclarecimento aos Debenturistas, o enquadramento e incentivo fiscal da Emissão para fins da Lei 12.431 não guarda relação com aprovações de projetos prioritários com base no Decreto 10.387, de 5 de junho de 2020, conforme alterado, que dispõe sobre o incentivo ao financiamento de projetos de infraestrutura, desenvolvimento econômico e pesquisa, que tenham como destinação dos recursos projetos benéficos à sociedade e ao meio ambiente. Portanto, a perda da caracterização como “debênture verde”, caso haja o seu desenquadramento, não irá gerar a perda da isenção das Debêntures decorrentes da Lei 12.431.</w:t>
      </w:r>
    </w:p>
    <w:p w14:paraId="611B70D6" w14:textId="77777777" w:rsidR="00C07A6B" w:rsidRPr="00566CD3" w:rsidRDefault="002D350B" w:rsidP="00C07A6B">
      <w:pPr>
        <w:pStyle w:val="Ttulo3"/>
        <w:spacing w:after="140" w:line="290" w:lineRule="auto"/>
        <w:jc w:val="both"/>
        <w:rPr>
          <w:i/>
        </w:rPr>
      </w:pPr>
      <w:bookmarkStart w:id="213" w:name="_Toc90045122"/>
      <w:bookmarkStart w:id="214" w:name="_Toc95928438"/>
      <w:bookmarkEnd w:id="212"/>
      <w:r w:rsidRPr="00566CD3">
        <w:rPr>
          <w:i/>
        </w:rPr>
        <w:t>Prorrogação dos Prazos</w:t>
      </w:r>
      <w:bookmarkEnd w:id="213"/>
      <w:bookmarkEnd w:id="214"/>
    </w:p>
    <w:p w14:paraId="74C4B4AE" w14:textId="77777777" w:rsidR="00492873" w:rsidRPr="00566CD3" w:rsidRDefault="002D350B" w:rsidP="009E2BE2">
      <w:pPr>
        <w:pStyle w:val="Level3"/>
        <w:tabs>
          <w:tab w:val="clear" w:pos="1361"/>
        </w:tabs>
        <w:spacing w:after="140" w:line="290" w:lineRule="auto"/>
        <w:ind w:left="0" w:firstLine="0"/>
        <w:jc w:val="both"/>
      </w:pPr>
      <w:r w:rsidRPr="00566CD3">
        <w:t>Considerar-se-ão prorrogados os prazos referentes ao pagamento de qualquer obrigação prevista na Escritura de Emissão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w:t>
      </w:r>
      <w:r w:rsidRPr="00566CD3">
        <w:rPr>
          <w:color w:val="000000"/>
        </w:rPr>
        <w:t>.</w:t>
      </w:r>
    </w:p>
    <w:p w14:paraId="3954697A" w14:textId="77777777" w:rsidR="00E8286C" w:rsidRPr="00566CD3" w:rsidRDefault="002D350B" w:rsidP="009E2BE2">
      <w:pPr>
        <w:pStyle w:val="Ttulo3"/>
        <w:spacing w:after="140" w:line="290" w:lineRule="auto"/>
        <w:jc w:val="both"/>
        <w:rPr>
          <w:i/>
        </w:rPr>
      </w:pPr>
      <w:bookmarkStart w:id="215" w:name="_Toc90045123"/>
      <w:bookmarkStart w:id="216" w:name="_Toc95928439"/>
      <w:r w:rsidRPr="00566CD3">
        <w:rPr>
          <w:i/>
        </w:rPr>
        <w:t>Encargos Moratórios</w:t>
      </w:r>
      <w:bookmarkEnd w:id="215"/>
      <w:bookmarkEnd w:id="216"/>
    </w:p>
    <w:p w14:paraId="765F474E" w14:textId="77777777" w:rsidR="00565EE8" w:rsidRPr="00D8141D" w:rsidRDefault="002D350B" w:rsidP="009E2BE2">
      <w:pPr>
        <w:pStyle w:val="HOMEBRBodyText"/>
        <w:keepLines w:val="0"/>
        <w:widowControl w:val="0"/>
        <w:spacing w:after="140" w:line="290" w:lineRule="auto"/>
        <w:jc w:val="both"/>
        <w:rPr>
          <w:rFonts w:cs="Calibri"/>
          <w:lang w:val="pt-BR"/>
        </w:rPr>
      </w:pPr>
      <w:r w:rsidRPr="0020727A">
        <w:rPr>
          <w:lang w:val="pt-BR"/>
        </w:rPr>
        <w:t xml:space="preserve">Sem prejuízo da Remuneração das Debêntures, ocorrendo a impontualidade no pagamento pela Emissora de qualquer valor devido aos Debenturistas, os débitos em atraso ficarão sujeitos a, independentemente de aviso, notificação ou interpelação judicial ou extrajudicial: </w:t>
      </w:r>
      <w:r w:rsidRPr="0020727A">
        <w:rPr>
          <w:b/>
          <w:lang w:val="pt-BR"/>
        </w:rPr>
        <w:t>(i)</w:t>
      </w:r>
      <w:r w:rsidRPr="0020727A">
        <w:rPr>
          <w:lang w:val="pt-BR"/>
        </w:rPr>
        <w:t xml:space="preserve"> multa convencional, irredutível e de natureza não compensatória de 2% (dois por cento); e </w:t>
      </w:r>
      <w:r w:rsidRPr="0020727A">
        <w:rPr>
          <w:b/>
          <w:lang w:val="pt-BR"/>
        </w:rPr>
        <w:t>(ii)</w:t>
      </w:r>
      <w:r w:rsidRPr="0020727A">
        <w:rPr>
          <w:lang w:val="pt-BR"/>
        </w:rPr>
        <w:t> juros moratórios à razão de 1% (um por cento) ao mês, desde a data da inadimplência até a data do efetivo pagamento; ambos calculados sobre o montante devido e não pago</w:t>
      </w:r>
      <w:r w:rsidR="00D2418C" w:rsidRPr="00D8141D">
        <w:rPr>
          <w:rFonts w:cs="Calibri"/>
          <w:lang w:val="pt-BR"/>
        </w:rPr>
        <w:t>.</w:t>
      </w:r>
    </w:p>
    <w:p w14:paraId="403F814F" w14:textId="77777777" w:rsidR="00624942" w:rsidRPr="00566CD3" w:rsidRDefault="002D350B" w:rsidP="00624942">
      <w:pPr>
        <w:pStyle w:val="Ttulo3"/>
        <w:spacing w:after="140" w:line="290" w:lineRule="auto"/>
        <w:jc w:val="both"/>
        <w:rPr>
          <w:i/>
        </w:rPr>
      </w:pPr>
      <w:bookmarkStart w:id="217" w:name="_Toc90045124"/>
      <w:bookmarkStart w:id="218" w:name="_Toc95928440"/>
      <w:bookmarkStart w:id="219" w:name="aquisição_facultativa_primeira"/>
      <w:r w:rsidRPr="00566CD3">
        <w:rPr>
          <w:i/>
        </w:rPr>
        <w:lastRenderedPageBreak/>
        <w:t xml:space="preserve">Decadência dos Direitos aos </w:t>
      </w:r>
      <w:r w:rsidR="00851875" w:rsidRPr="00566CD3">
        <w:rPr>
          <w:i/>
        </w:rPr>
        <w:t>Acréscimos</w:t>
      </w:r>
      <w:bookmarkEnd w:id="217"/>
      <w:bookmarkEnd w:id="218"/>
    </w:p>
    <w:p w14:paraId="5F5084D8" w14:textId="77777777" w:rsidR="00624942" w:rsidRPr="00566CD3" w:rsidRDefault="002D350B" w:rsidP="00624942">
      <w:pPr>
        <w:jc w:val="both"/>
      </w:pPr>
      <w:r w:rsidRPr="00566CD3">
        <w:t>Sem prejuízo do disposto na “Prorrogação dos Prazos” acima, o não comparecimento do Debenturista para receber o valor correspondente a quaisquer obrigações pecuniárias da Emissora, nas datas previstas na Escritura de Emissão e neste Prospecto, ou em comunicado publicado pela Emissora nos Jornais de Publicação, não lhe dará o direito ao recebimento de Remuneração das Debêntures e/ou Encargos Moratórios no período relativo ao atraso no recebimento, sendo-lhe, todavia, assegurados os direitos adquiridos até a data do respectivo vencimento ou pagamento</w:t>
      </w:r>
      <w:r w:rsidR="00624942" w:rsidRPr="00566CD3">
        <w:t xml:space="preserve">. </w:t>
      </w:r>
    </w:p>
    <w:p w14:paraId="2F0547CF" w14:textId="77777777" w:rsidR="00565EE8" w:rsidRPr="00566CD3" w:rsidRDefault="002D350B" w:rsidP="00FF1ED9">
      <w:pPr>
        <w:pStyle w:val="Ttulo3"/>
        <w:spacing w:before="240" w:after="140" w:line="290" w:lineRule="auto"/>
        <w:jc w:val="both"/>
        <w:rPr>
          <w:i/>
        </w:rPr>
      </w:pPr>
      <w:bookmarkStart w:id="220" w:name="_Toc90045125"/>
      <w:bookmarkStart w:id="221" w:name="_Toc95928441"/>
      <w:bookmarkEnd w:id="219"/>
      <w:r w:rsidRPr="00566CD3">
        <w:rPr>
          <w:i/>
        </w:rPr>
        <w:t>Repactuação Programada</w:t>
      </w:r>
      <w:bookmarkEnd w:id="220"/>
      <w:bookmarkEnd w:id="221"/>
    </w:p>
    <w:p w14:paraId="78A094E8" w14:textId="77777777" w:rsidR="00565EE8" w:rsidRPr="00D8141D" w:rsidRDefault="002D350B" w:rsidP="009E2BE2">
      <w:pPr>
        <w:pStyle w:val="HOMEBRBodyText"/>
        <w:keepLines w:val="0"/>
        <w:widowControl w:val="0"/>
        <w:spacing w:after="140" w:line="290" w:lineRule="auto"/>
        <w:jc w:val="both"/>
        <w:rPr>
          <w:rFonts w:cs="Calibri"/>
          <w:lang w:val="pt-BR"/>
        </w:rPr>
      </w:pPr>
      <w:r w:rsidRPr="0020727A">
        <w:rPr>
          <w:lang w:val="pt-BR"/>
        </w:rPr>
        <w:t>As Debêntures não serão objeto de repactuação programada.</w:t>
      </w:r>
    </w:p>
    <w:p w14:paraId="437D77C6" w14:textId="77777777" w:rsidR="00565EE8" w:rsidRPr="00566CD3" w:rsidRDefault="002D350B" w:rsidP="009E2BE2">
      <w:pPr>
        <w:pStyle w:val="Ttulo3"/>
        <w:spacing w:after="140" w:line="290" w:lineRule="auto"/>
        <w:jc w:val="both"/>
        <w:rPr>
          <w:i/>
        </w:rPr>
      </w:pPr>
      <w:bookmarkStart w:id="222" w:name="_Toc90045126"/>
      <w:bookmarkStart w:id="223" w:name="_Toc95928442"/>
      <w:r w:rsidRPr="00566CD3">
        <w:rPr>
          <w:i/>
        </w:rPr>
        <w:t>Publicidade</w:t>
      </w:r>
      <w:bookmarkEnd w:id="222"/>
      <w:bookmarkEnd w:id="223"/>
    </w:p>
    <w:p w14:paraId="3F68CB8F" w14:textId="77777777" w:rsidR="00E8286C" w:rsidRPr="00D8141D" w:rsidRDefault="002D350B" w:rsidP="009E2BE2">
      <w:pPr>
        <w:pStyle w:val="HOMEBRBodyText"/>
        <w:keepLines w:val="0"/>
        <w:widowControl w:val="0"/>
        <w:spacing w:after="140" w:line="290" w:lineRule="auto"/>
        <w:jc w:val="both"/>
        <w:rPr>
          <w:rFonts w:cs="Calibri"/>
          <w:lang w:val="pt-BR"/>
        </w:rPr>
      </w:pPr>
      <w:r w:rsidRPr="0020727A">
        <w:rPr>
          <w:lang w:val="pt-BR"/>
        </w:rPr>
        <w:t xml:space="preserve">Todos os atos e decisões a serem tomados decorrentes desta Emissão que, de qualquer forma, vierem a envolver interesses dos Debenturistas, deverão ser obrigatoriamente comunicados na forma de avisos </w:t>
      </w:r>
      <w:r w:rsidRPr="00D8141D">
        <w:rPr>
          <w:rFonts w:cs="Calibri"/>
          <w:lang w:val="pt-BR"/>
        </w:rPr>
        <w:t xml:space="preserve">ou anúncios </w:t>
      </w:r>
      <w:r w:rsidRPr="0020727A">
        <w:rPr>
          <w:lang w:val="pt-BR"/>
        </w:rPr>
        <w:t xml:space="preserve">nos Jornais de Publicação nos </w:t>
      </w:r>
      <w:r w:rsidRPr="00D8141D">
        <w:rPr>
          <w:rFonts w:cs="Calibri"/>
          <w:lang w:val="pt-BR"/>
        </w:rPr>
        <w:t>termos da regulamentação vigente,</w:t>
      </w:r>
      <w:r w:rsidRPr="0020727A">
        <w:rPr>
          <w:lang w:val="pt-BR"/>
        </w:rPr>
        <w:t xml:space="preserve"> bem como </w:t>
      </w:r>
      <w:r w:rsidRPr="00D8141D">
        <w:rPr>
          <w:rFonts w:cs="Calibri"/>
          <w:lang w:val="pt-BR"/>
        </w:rPr>
        <w:t xml:space="preserve">divulgados </w:t>
      </w:r>
      <w:r w:rsidRPr="0020727A">
        <w:rPr>
          <w:lang w:val="pt-BR"/>
        </w:rPr>
        <w:t>na página da Emissora (https://ri.saomartinho.com.br</w:t>
      </w:r>
      <w:r w:rsidRPr="00D8141D">
        <w:rPr>
          <w:rFonts w:cs="Calibri"/>
          <w:lang w:val="pt-BR"/>
        </w:rPr>
        <w:t xml:space="preserve">/), como Aviso aos Debenturistas sempre imediatamente após a ciência do ato a ser divulgado, devendo </w:t>
      </w:r>
      <w:r w:rsidRPr="0020727A">
        <w:rPr>
          <w:lang w:val="pt-BR"/>
        </w:rPr>
        <w:t xml:space="preserve">os prazos </w:t>
      </w:r>
      <w:r w:rsidRPr="00D8141D">
        <w:rPr>
          <w:rFonts w:cs="Calibri"/>
          <w:lang w:val="pt-BR"/>
        </w:rPr>
        <w:t>para manifestação dos Debenturistas</w:t>
      </w:r>
      <w:r w:rsidRPr="0020727A">
        <w:rPr>
          <w:lang w:val="pt-BR"/>
        </w:rPr>
        <w:t xml:space="preserve">, caso </w:t>
      </w:r>
      <w:r w:rsidRPr="00D8141D">
        <w:rPr>
          <w:rFonts w:cs="Calibri"/>
          <w:lang w:val="pt-BR"/>
        </w:rPr>
        <w:t>seja necessário, obedecerem ao disposto na legislação em vigor, na Escritura</w:t>
      </w:r>
      <w:r w:rsidRPr="0020727A">
        <w:rPr>
          <w:lang w:val="pt-BR"/>
        </w:rPr>
        <w:t xml:space="preserve"> de Emissão</w:t>
      </w:r>
      <w:r w:rsidRPr="00D8141D">
        <w:rPr>
          <w:rFonts w:cs="Calibri"/>
          <w:lang w:val="pt-BR"/>
        </w:rPr>
        <w:t xml:space="preserve"> ou, a falta de disposição expressa, ser de, no mínimo, 10 (dez) dias contados da data da </w:t>
      </w:r>
      <w:r w:rsidRPr="0020727A">
        <w:rPr>
          <w:lang w:val="pt-BR"/>
        </w:rPr>
        <w:t xml:space="preserve">divulgação </w:t>
      </w:r>
      <w:r w:rsidRPr="00D8141D">
        <w:rPr>
          <w:rFonts w:cs="Calibri"/>
          <w:lang w:val="pt-BR"/>
        </w:rPr>
        <w:t>do Aviso aos Debenturistas em questão, sendo certo que, caso a Emissora altere seu jornal de publicação após a Data de Emissão, deverá enviar notificação ao Agente Fiduciário informando o novo veículo para divulgação de suas informações</w:t>
      </w:r>
      <w:r w:rsidR="009772A7" w:rsidRPr="00D8141D">
        <w:rPr>
          <w:rFonts w:cs="Calibri"/>
          <w:lang w:val="pt-BR"/>
        </w:rPr>
        <w:t>.</w:t>
      </w:r>
    </w:p>
    <w:p w14:paraId="3256049E" w14:textId="77777777" w:rsidR="007B1BB8" w:rsidRPr="00566CD3" w:rsidRDefault="002D350B" w:rsidP="009E2BE2">
      <w:pPr>
        <w:pStyle w:val="Ttulo3"/>
        <w:spacing w:after="140" w:line="290" w:lineRule="auto"/>
        <w:jc w:val="both"/>
        <w:rPr>
          <w:i/>
        </w:rPr>
      </w:pPr>
      <w:bookmarkStart w:id="224" w:name="_Toc87002501"/>
      <w:bookmarkStart w:id="225" w:name="_Ref90216170"/>
      <w:bookmarkStart w:id="226" w:name="_Ref90216184"/>
      <w:bookmarkStart w:id="227" w:name="_Toc90045127"/>
      <w:bookmarkStart w:id="228" w:name="_Toc95928443"/>
      <w:bookmarkStart w:id="229" w:name="_Hlk90201412"/>
      <w:r w:rsidRPr="00566CD3">
        <w:rPr>
          <w:i/>
        </w:rPr>
        <w:t>Imunidade Tributária dos Debenturistas</w:t>
      </w:r>
      <w:bookmarkEnd w:id="224"/>
      <w:bookmarkEnd w:id="225"/>
      <w:bookmarkEnd w:id="226"/>
      <w:bookmarkEnd w:id="227"/>
      <w:bookmarkEnd w:id="228"/>
    </w:p>
    <w:p w14:paraId="28FBE8CF" w14:textId="77777777" w:rsidR="007B1BB8" w:rsidRPr="00566CD3" w:rsidRDefault="002D350B" w:rsidP="009E2BE2">
      <w:pPr>
        <w:pStyle w:val="Body"/>
        <w:jc w:val="both"/>
      </w:pPr>
      <w:bookmarkStart w:id="230" w:name="_Ref531793962"/>
      <w:bookmarkEnd w:id="229"/>
      <w:r w:rsidRPr="00566CD3">
        <w:t xml:space="preserve">As Debêntures gozam do tratamento tributário previsto no artigo 2º da Lei 12.431, e, consequentemente, também gozam do tratamento tributário previsto no artigo 1º da Lei 12.431. Caso qualquer Debenturista tenha imunidade ou isenção tributária diferente daquelas previstas na Lei 12.431, este deverá encaminhar ao </w:t>
      </w:r>
      <w:r w:rsidR="009D09A0" w:rsidRPr="00566CD3">
        <w:t>Agente de Liquidação</w:t>
      </w:r>
      <w:r w:rsidRPr="00566CD3">
        <w:t xml:space="preserve"> ou ao Escriturador,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 Na hipótese de qualquer Debenturista ter sua condição de imunidade ou isenção alterada, deverá informar ao </w:t>
      </w:r>
      <w:r w:rsidR="009D09A0" w:rsidRPr="00566CD3">
        <w:t>Agente de Liquidação</w:t>
      </w:r>
      <w:r w:rsidRPr="00566CD3">
        <w:t xml:space="preserve"> ou ao Escriturador, conforme o caso, tal alteração no prazo de 2 (dois) Dias Úteis contados da data da formalização da referida alteração</w:t>
      </w:r>
      <w:bookmarkEnd w:id="230"/>
      <w:r w:rsidR="008C39F1" w:rsidRPr="00566CD3">
        <w:t>.</w:t>
      </w:r>
    </w:p>
    <w:p w14:paraId="631F04A5" w14:textId="77777777" w:rsidR="008C39F1" w:rsidRPr="00566CD3" w:rsidRDefault="008C39F1" w:rsidP="008C39F1">
      <w:pPr>
        <w:pStyle w:val="Body"/>
        <w:jc w:val="both"/>
      </w:pPr>
      <w:r w:rsidRPr="00566CD3">
        <w:t xml:space="preserve">Caso a Emissora destine os recursos obtidos com a Emissão de forma diversa da prevista na Escritura de Emissão, dando causa ao seu desenquadramento definitivo da Lei 12.431, a Emissora será responsável pelo pagamento de multa equivalente a 20% (vinte por cento) do valor captado </w:t>
      </w:r>
      <w:r w:rsidRPr="00566CD3">
        <w:lastRenderedPageBreak/>
        <w:t>não alocado no Projeto de Investimento, observado o artigo 2º, parágrafos 5º, 6º e 7º, da Lei 12.431.</w:t>
      </w:r>
    </w:p>
    <w:p w14:paraId="380217AB" w14:textId="77777777" w:rsidR="008C39F1" w:rsidRPr="00566CD3" w:rsidRDefault="008C39F1" w:rsidP="008C39F1">
      <w:pPr>
        <w:pStyle w:val="Body"/>
        <w:jc w:val="both"/>
      </w:pPr>
      <w:r w:rsidRPr="00566CD3">
        <w:t>Sem prejuízo do disposto. acima, caso, a qualquer tempo durante a vigência da Emissão, (i) as Debêntures deixem de gozar de forma definitiva do tratamento tributário previsto na Lei 12.431; e (ii) haja qualquer retenção de tributos sobre os rendimentos das Debêntures, a Emissora, desde já, se obriga a arcar com todos os tributos que venham a ser devidos pelos ou aos Debenturistas, sendo que a Emissora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4352B9E9" w14:textId="77777777" w:rsidR="00E8286C" w:rsidRPr="00566CD3" w:rsidRDefault="008C39F1" w:rsidP="009E2BE2">
      <w:pPr>
        <w:pStyle w:val="Ttulo3"/>
        <w:spacing w:after="140" w:line="290" w:lineRule="auto"/>
        <w:jc w:val="both"/>
        <w:rPr>
          <w:i/>
        </w:rPr>
      </w:pPr>
      <w:bookmarkStart w:id="231" w:name="_Toc90045128"/>
      <w:bookmarkStart w:id="232" w:name="_Toc95928444"/>
      <w:r w:rsidRPr="00566CD3">
        <w:rPr>
          <w:i/>
        </w:rPr>
        <w:t>Classificação de Risco</w:t>
      </w:r>
      <w:bookmarkEnd w:id="231"/>
      <w:bookmarkEnd w:id="232"/>
    </w:p>
    <w:p w14:paraId="57B301B9" w14:textId="77777777" w:rsidR="00E8286C" w:rsidRPr="00D8141D" w:rsidRDefault="008C39F1" w:rsidP="009E2BE2">
      <w:pPr>
        <w:pStyle w:val="HOMEBRBodyText"/>
        <w:keepLines w:val="0"/>
        <w:widowControl w:val="0"/>
        <w:spacing w:after="140" w:line="290" w:lineRule="auto"/>
        <w:jc w:val="both"/>
        <w:rPr>
          <w:rFonts w:cs="Calibri"/>
          <w:lang w:val="pt-BR"/>
        </w:rPr>
      </w:pPr>
      <w:bookmarkStart w:id="233" w:name="_Ref478482928"/>
      <w:r w:rsidRPr="00D8141D">
        <w:rPr>
          <w:rFonts w:cs="Calibri"/>
          <w:bCs/>
          <w:lang w:val="pt-BR"/>
        </w:rPr>
        <w:t xml:space="preserve">Foi contratada como agência de classificação de risco das Debêntures a </w:t>
      </w:r>
      <w:r w:rsidR="00AF59A3" w:rsidRPr="00D8141D">
        <w:rPr>
          <w:rFonts w:cs="Calibri"/>
          <w:bCs/>
          <w:lang w:val="pt-BR"/>
        </w:rPr>
        <w:t>Standard &amp; Poor’s Ratings do Brasil Ltda.</w:t>
      </w:r>
      <w:r w:rsidR="00AF59A3" w:rsidRPr="00D8141D" w:rsidDel="00AF59A3">
        <w:rPr>
          <w:rFonts w:cs="Calibri"/>
          <w:bCs/>
          <w:lang w:val="pt-BR"/>
        </w:rPr>
        <w:t xml:space="preserve"> </w:t>
      </w:r>
      <w:r w:rsidRPr="00D8141D">
        <w:rPr>
          <w:rFonts w:cs="Calibri"/>
          <w:bCs/>
          <w:lang w:val="pt-BR"/>
        </w:rPr>
        <w:t>(“</w:t>
      </w:r>
      <w:r w:rsidRPr="00D8141D">
        <w:rPr>
          <w:rFonts w:cs="Calibri"/>
          <w:bCs/>
          <w:u w:val="single"/>
          <w:lang w:val="pt-BR"/>
        </w:rPr>
        <w:t>Agência de Classificação de Risco</w:t>
      </w:r>
      <w:r w:rsidRPr="00D8141D">
        <w:rPr>
          <w:rFonts w:cs="Calibri"/>
          <w:bCs/>
          <w:lang w:val="pt-BR"/>
        </w:rPr>
        <w:t>”). Durante o prazo de vigência das Debêntures, a Emissora deverá manter contratada a Agência de Classificação de Risco para a atualização da classificação de risco (</w:t>
      </w:r>
      <w:r w:rsidRPr="00D8141D">
        <w:rPr>
          <w:rFonts w:cs="Calibri"/>
          <w:bCs/>
          <w:i/>
          <w:iCs/>
          <w:lang w:val="pt-BR"/>
        </w:rPr>
        <w:t>rating</w:t>
      </w:r>
      <w:r w:rsidRPr="00D8141D">
        <w:rPr>
          <w:rFonts w:cs="Calibri"/>
          <w:bCs/>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Pr="00D8141D">
        <w:rPr>
          <w:rFonts w:cs="Calibri"/>
          <w:bCs/>
          <w:i/>
          <w:iCs/>
          <w:lang w:val="pt-BR"/>
        </w:rPr>
        <w:t>rating</w:t>
      </w:r>
      <w:r w:rsidRPr="00D8141D">
        <w:rPr>
          <w:rFonts w:cs="Calibri"/>
          <w:bCs/>
          <w:lang w:val="pt-BR"/>
        </w:rPr>
        <w:t xml:space="preserve">, a Emissora poderá substituir a Agência de Classificação de Risco, sem a necessidade de aprovação dos Debenturistas, desde que a agência de classificação de risco substituta seja a </w:t>
      </w:r>
      <w:r w:rsidR="00DB205D" w:rsidRPr="00D8141D">
        <w:rPr>
          <w:rFonts w:cs="Calibri"/>
          <w:bCs/>
        </w:rPr>
        <w:t>Standard &amp; Poor’s Ratings do Brasil Ltda.,</w:t>
      </w:r>
      <w:r w:rsidR="00AF59A3" w:rsidRPr="00D8141D">
        <w:rPr>
          <w:rFonts w:cs="Calibri"/>
          <w:bCs/>
          <w:lang w:val="pt-BR"/>
        </w:rPr>
        <w:t xml:space="preserve"> </w:t>
      </w:r>
      <w:r w:rsidRPr="00D8141D">
        <w:rPr>
          <w:rFonts w:cs="Calibri"/>
          <w:bCs/>
          <w:lang w:val="pt-BR"/>
        </w:rPr>
        <w:t>Fitch Ratings Brasil Ltda</w:t>
      </w:r>
      <w:r w:rsidR="00AF59A3" w:rsidRPr="00D8141D">
        <w:rPr>
          <w:rFonts w:cs="Calibri"/>
          <w:bCs/>
          <w:lang w:val="pt-BR"/>
        </w:rPr>
        <w:t xml:space="preserve"> ou a </w:t>
      </w:r>
      <w:r w:rsidRPr="00D8141D">
        <w:rPr>
          <w:rFonts w:cs="Calibri"/>
          <w:bCs/>
          <w:lang w:val="pt-BR"/>
        </w:rPr>
        <w:t>Moody’s América Latina Ltda.</w:t>
      </w:r>
      <w:bookmarkEnd w:id="233"/>
    </w:p>
    <w:p w14:paraId="09560D7F" w14:textId="281CA235" w:rsidR="00BB32A2" w:rsidRPr="00D8141D" w:rsidRDefault="00BB32A2" w:rsidP="009E2BE2">
      <w:pPr>
        <w:pStyle w:val="HOMEBRBodyText"/>
        <w:keepLines w:val="0"/>
        <w:widowControl w:val="0"/>
        <w:spacing w:after="140" w:line="290" w:lineRule="auto"/>
        <w:jc w:val="both"/>
        <w:rPr>
          <w:rFonts w:cs="Calibri"/>
          <w:lang w:val="pt-BR"/>
        </w:rPr>
      </w:pPr>
      <w:r w:rsidRPr="00D8141D">
        <w:rPr>
          <w:rFonts w:cs="Calibri"/>
          <w:b/>
          <w:lang w:val="pt-BR"/>
        </w:rPr>
        <w:t xml:space="preserve">Para mais informações sobre a classificação de risco das Debêntures, veja a Súmula de Classificação de Risco, constante do Anexo J deste Prospecto, e a seção “Fatores de Risco Relacionados à Oferta e às Debêntures – </w:t>
      </w:r>
      <w:r w:rsidRPr="00D8141D">
        <w:rPr>
          <w:rFonts w:eastAsia="Times New Roman" w:cs="Calibri"/>
          <w:b/>
          <w:lang w:val="pt-BR" w:eastAsia="pt-BR"/>
        </w:rPr>
        <w:t>Eventual rebaixamento na classificação de risco atribuída às Debêntures e/ou à Emissora poderá dificultar a captação de recursos pela Emissora, bem como acarretar redução de liquidez das Debêntures para negociação no mercado secundário e impacto negativo relevante na Emissora.</w:t>
      </w:r>
      <w:r w:rsidRPr="00D8141D">
        <w:rPr>
          <w:rFonts w:cs="Calibri"/>
          <w:b/>
          <w:lang w:val="pt-BR"/>
        </w:rPr>
        <w:t xml:space="preserve">”, na página </w:t>
      </w:r>
      <w:r w:rsidR="00AE110C" w:rsidRPr="00D8141D">
        <w:rPr>
          <w:rFonts w:cs="Calibri"/>
          <w:b/>
          <w:noProof/>
          <w:lang w:val="pt-BR"/>
        </w:rPr>
        <w:fldChar w:fldCharType="begin"/>
      </w:r>
      <w:r w:rsidR="00AE110C" w:rsidRPr="00D8141D">
        <w:rPr>
          <w:rFonts w:cs="Calibri"/>
          <w:b/>
          <w:lang w:val="pt-BR"/>
        </w:rPr>
        <w:instrText xml:space="preserve"> PAGEREF _Ref90057918 \h </w:instrText>
      </w:r>
      <w:r w:rsidR="00AE110C" w:rsidRPr="00D8141D">
        <w:rPr>
          <w:rFonts w:cs="Calibri"/>
          <w:b/>
          <w:noProof/>
          <w:lang w:val="pt-BR"/>
        </w:rPr>
      </w:r>
      <w:r w:rsidR="00AE110C" w:rsidRPr="00D8141D">
        <w:rPr>
          <w:rFonts w:cs="Calibri"/>
          <w:b/>
          <w:noProof/>
          <w:lang w:val="pt-BR"/>
        </w:rPr>
        <w:fldChar w:fldCharType="separate"/>
      </w:r>
      <w:r w:rsidR="001166EA">
        <w:rPr>
          <w:rFonts w:cs="Calibri"/>
          <w:b/>
          <w:noProof/>
          <w:lang w:val="pt-BR"/>
        </w:rPr>
        <w:t>133</w:t>
      </w:r>
      <w:r w:rsidR="00AE110C" w:rsidRPr="00D8141D">
        <w:rPr>
          <w:rFonts w:cs="Calibri"/>
          <w:b/>
          <w:noProof/>
          <w:lang w:val="pt-BR"/>
        </w:rPr>
        <w:fldChar w:fldCharType="end"/>
      </w:r>
      <w:r w:rsidRPr="00D8141D">
        <w:rPr>
          <w:rFonts w:cs="Calibri"/>
          <w:b/>
          <w:lang w:val="pt-BR"/>
        </w:rPr>
        <w:t xml:space="preserve"> deste Prospecto.</w:t>
      </w:r>
    </w:p>
    <w:p w14:paraId="45507B35" w14:textId="77777777" w:rsidR="00E8286C" w:rsidRPr="00566CD3" w:rsidRDefault="00707F40" w:rsidP="009E2BE2">
      <w:pPr>
        <w:pStyle w:val="Ttulo3"/>
        <w:spacing w:after="140" w:line="290" w:lineRule="auto"/>
        <w:jc w:val="both"/>
      </w:pPr>
      <w:bookmarkStart w:id="234" w:name="_Ref90216943"/>
      <w:bookmarkStart w:id="235" w:name="_Toc90045129"/>
      <w:bookmarkStart w:id="236" w:name="_Toc95928445"/>
      <w:r w:rsidRPr="00566CD3">
        <w:t>RESGATE ANTECIPADO FACULTATIVO, AMORTIZAÇÃO EXTRAORDINÁRIA, OFERTA DE RESGATE ANTECIPADO E AQUISIÇÃO FACULTATIVA</w:t>
      </w:r>
      <w:bookmarkEnd w:id="234"/>
      <w:bookmarkEnd w:id="235"/>
      <w:bookmarkEnd w:id="236"/>
    </w:p>
    <w:p w14:paraId="3B937154" w14:textId="77777777" w:rsidR="00E8286C" w:rsidRPr="00566CD3" w:rsidRDefault="00707F40" w:rsidP="009E2BE2">
      <w:pPr>
        <w:pStyle w:val="Ttulo3"/>
        <w:spacing w:after="140" w:line="290" w:lineRule="auto"/>
        <w:jc w:val="both"/>
        <w:rPr>
          <w:i/>
        </w:rPr>
      </w:pPr>
      <w:bookmarkStart w:id="237" w:name="_Ref90061564"/>
      <w:bookmarkStart w:id="238" w:name="_Toc90045130"/>
      <w:bookmarkStart w:id="239" w:name="_Toc95928446"/>
      <w:r w:rsidRPr="00566CD3">
        <w:rPr>
          <w:i/>
        </w:rPr>
        <w:t>Resgate Antecipado Facultativo</w:t>
      </w:r>
      <w:bookmarkEnd w:id="237"/>
      <w:bookmarkEnd w:id="238"/>
      <w:bookmarkEnd w:id="239"/>
    </w:p>
    <w:p w14:paraId="226F6B86" w14:textId="77777777" w:rsidR="00E8286C" w:rsidRPr="00D8141D" w:rsidRDefault="00707F40" w:rsidP="009E2BE2">
      <w:pPr>
        <w:pStyle w:val="HOMEBRBodyText"/>
        <w:keepLines w:val="0"/>
        <w:widowControl w:val="0"/>
        <w:spacing w:after="140" w:line="290" w:lineRule="auto"/>
        <w:jc w:val="both"/>
        <w:rPr>
          <w:rFonts w:cs="Calibri"/>
          <w:lang w:val="pt-BR"/>
        </w:rPr>
      </w:pPr>
      <w:r w:rsidRPr="0020727A">
        <w:rPr>
          <w:lang w:val="pt-BR"/>
        </w:rPr>
        <w:t>Não será admitida a realização de resgate antecipado facultativo das Debêntures</w:t>
      </w:r>
      <w:r w:rsidR="001E1E20" w:rsidRPr="00D8141D">
        <w:rPr>
          <w:rFonts w:cs="Calibri"/>
          <w:lang w:val="pt-BR"/>
        </w:rPr>
        <w:t>.</w:t>
      </w:r>
    </w:p>
    <w:p w14:paraId="277CBC83" w14:textId="77777777" w:rsidR="00F350A1" w:rsidRPr="00566CD3" w:rsidRDefault="00707F40" w:rsidP="00F350A1">
      <w:pPr>
        <w:pStyle w:val="Ttulo3"/>
        <w:spacing w:after="140" w:line="290" w:lineRule="auto"/>
        <w:jc w:val="both"/>
        <w:rPr>
          <w:i/>
        </w:rPr>
      </w:pPr>
      <w:bookmarkStart w:id="240" w:name="_Toc90045131"/>
      <w:bookmarkStart w:id="241" w:name="_Toc95928447"/>
      <w:bookmarkStart w:id="242" w:name="_Ref420336525"/>
      <w:r w:rsidRPr="00566CD3">
        <w:rPr>
          <w:i/>
        </w:rPr>
        <w:t>Amortização Extraordinária</w:t>
      </w:r>
      <w:bookmarkEnd w:id="240"/>
      <w:bookmarkEnd w:id="241"/>
    </w:p>
    <w:p w14:paraId="7758B658" w14:textId="77777777" w:rsidR="00F350A1" w:rsidRPr="00566CD3" w:rsidRDefault="00707F40" w:rsidP="00F350A1">
      <w:r w:rsidRPr="00566CD3">
        <w:t>Não será admitida a realização de amortização extraordinária das Debêntures.</w:t>
      </w:r>
    </w:p>
    <w:p w14:paraId="291103D1" w14:textId="77777777" w:rsidR="00C13C86" w:rsidRDefault="00C13C86">
      <w:pPr>
        <w:spacing w:after="0" w:line="240" w:lineRule="auto"/>
        <w:rPr>
          <w:rFonts w:eastAsia="MS Mincho"/>
          <w:b/>
          <w:bCs/>
          <w:i/>
          <w:szCs w:val="26"/>
        </w:rPr>
      </w:pPr>
      <w:bookmarkStart w:id="243" w:name="_Toc90045132"/>
      <w:bookmarkStart w:id="244" w:name="_Toc95928448"/>
      <w:bookmarkEnd w:id="242"/>
      <w:r>
        <w:rPr>
          <w:i/>
        </w:rPr>
        <w:br w:type="page"/>
      </w:r>
    </w:p>
    <w:p w14:paraId="2158361F" w14:textId="4F130E1B" w:rsidR="00E8286C" w:rsidRPr="00566CD3" w:rsidRDefault="00707F40" w:rsidP="00FF1ED9">
      <w:pPr>
        <w:pStyle w:val="Ttulo3"/>
        <w:spacing w:before="240" w:after="140" w:line="290" w:lineRule="auto"/>
        <w:jc w:val="both"/>
        <w:rPr>
          <w:i/>
        </w:rPr>
      </w:pPr>
      <w:r w:rsidRPr="00566CD3">
        <w:rPr>
          <w:i/>
        </w:rPr>
        <w:lastRenderedPageBreak/>
        <w:t>Oferta de Resgate Antecipado</w:t>
      </w:r>
      <w:bookmarkEnd w:id="243"/>
      <w:bookmarkEnd w:id="244"/>
    </w:p>
    <w:p w14:paraId="50210952" w14:textId="77777777" w:rsidR="008F741C" w:rsidRPr="00D8141D" w:rsidRDefault="00D05A75" w:rsidP="009E2BE2">
      <w:pPr>
        <w:pStyle w:val="HOMEBRBodyText"/>
        <w:keepLines w:val="0"/>
        <w:widowControl w:val="0"/>
        <w:spacing w:after="140" w:line="290" w:lineRule="auto"/>
        <w:jc w:val="both"/>
        <w:rPr>
          <w:rFonts w:cs="Calibri"/>
          <w:spacing w:val="-4"/>
          <w:lang w:val="pt-BR"/>
        </w:rPr>
      </w:pPr>
      <w:r w:rsidRPr="00D8141D">
        <w:rPr>
          <w:rFonts w:cs="Calibri"/>
          <w:spacing w:val="-4"/>
          <w:lang w:val="pt-BR"/>
        </w:rPr>
        <w:t>Caso seja legalmente permitido à Emissora realizar o resgate antecipado das Debêntures, parcial ou total, nos termos da Lei 12.431, da Resolução CMN 4.751 e das demais disposições legais e regulamentares aplicáveis, a Emissora poderá, a seu exclusivo critério, a qualquer momento, desde que decorrido o prazo médio ponderado de 4 (quatro) anos a contar da Data de Emissão das Debêntures, realizar oferta de resgate antecipado das Debêntures, endereçada a todos os Debenturistas, sendo assegurado a todos os Debenturistas igualdade de condições para aceitar o resgate das Debêntures por eles detidas (“</w:t>
      </w:r>
      <w:r w:rsidRPr="00D8141D">
        <w:rPr>
          <w:rFonts w:cs="Calibri"/>
          <w:spacing w:val="-4"/>
          <w:u w:val="single"/>
          <w:lang w:val="pt-BR"/>
        </w:rPr>
        <w:t>Oferta de Resgate Antecipado</w:t>
      </w:r>
      <w:r w:rsidRPr="00D8141D">
        <w:rPr>
          <w:rFonts w:cs="Calibri"/>
          <w:spacing w:val="-4"/>
          <w:lang w:val="pt-BR"/>
        </w:rPr>
        <w:t>”). A Emissora poderá condicionar a Oferta de Resgate Antecipado à aceitação desta por Debenturistas que representem um percentual mínimo das Debêntures em Circulação, a ser por ela definido quando da realização da Oferta de Resgate Antecipado. Tal percentual deverá estar estipulado na Comunicação de Oferta de Resgate Antecipado. A Oferta de Resgate Antecipado poderá</w:t>
      </w:r>
      <w:r w:rsidRPr="00754ACE">
        <w:rPr>
          <w:spacing w:val="-4"/>
          <w:lang w:val="pt-BR"/>
        </w:rPr>
        <w:t xml:space="preserve"> ser realizada para a totalidade das Debêntures ou para a totalidade das Debêntures de uma respectiva Série, </w:t>
      </w:r>
      <w:r>
        <w:rPr>
          <w:spacing w:val="-4"/>
          <w:lang w:val="pt-BR"/>
        </w:rPr>
        <w:t xml:space="preserve">ou parte das Debêntures, até o limite de 50% (cinquenta por cento) </w:t>
      </w:r>
      <w:r w:rsidRPr="00321CA7">
        <w:rPr>
          <w:spacing w:val="-4"/>
          <w:lang w:val="pt-BR"/>
        </w:rPr>
        <w:t>da totalidade das Debêntures de uma respectiva série,</w:t>
      </w:r>
      <w:r>
        <w:rPr>
          <w:spacing w:val="-4"/>
          <w:lang w:val="pt-BR"/>
        </w:rPr>
        <w:t xml:space="preserve"> </w:t>
      </w:r>
      <w:r w:rsidRPr="00754ACE">
        <w:rPr>
          <w:spacing w:val="-4"/>
          <w:lang w:val="pt-BR"/>
        </w:rPr>
        <w:t>conforme definido pela Emissora, e deverá abranger a totalidade das Debêntures, em geral ou por Série, devendo ser endereçada a todos os Debenturistas, em geral ou por Série, sem distinção, assegurada a igualdade de condições a todos os Debenturistas, em geral ou por Série, para aceitar a Oferta de Resgate Antecipado Facultativo das Debêntures de que forem titulares, e será operacionalizada da seguinte forma</w:t>
      </w:r>
      <w:r w:rsidRPr="00D8141D">
        <w:rPr>
          <w:rFonts w:cs="Calibri"/>
          <w:spacing w:val="-4"/>
          <w:lang w:val="pt-BR"/>
        </w:rPr>
        <w:t>:</w:t>
      </w:r>
    </w:p>
    <w:p w14:paraId="1E6F6243" w14:textId="77777777" w:rsidR="00707F40" w:rsidRPr="00D8141D" w:rsidRDefault="00707F40" w:rsidP="00D45D71">
      <w:pPr>
        <w:pStyle w:val="HOMEBRBodyText"/>
        <w:keepLines w:val="0"/>
        <w:widowControl w:val="0"/>
        <w:numPr>
          <w:ilvl w:val="0"/>
          <w:numId w:val="47"/>
        </w:numPr>
        <w:spacing w:after="140" w:line="290" w:lineRule="auto"/>
        <w:jc w:val="both"/>
        <w:rPr>
          <w:rFonts w:cs="Calibri"/>
          <w:lang w:val="pt-BR"/>
        </w:rPr>
      </w:pPr>
      <w:r w:rsidRPr="0020727A">
        <w:rPr>
          <w:lang w:val="pt-BR"/>
        </w:rPr>
        <w:t>A Emissora realizará a Oferta de Resgate Antecipado por meio de comunicação individual enviada aos Debenturistas, com cópia para o Agente Fiduciário, ou publicação de anúncio (“</w:t>
      </w:r>
      <w:r w:rsidRPr="0020727A">
        <w:rPr>
          <w:u w:val="single"/>
          <w:lang w:val="pt-BR"/>
        </w:rPr>
        <w:t>Comunicação de Oferta de Resgate Antecipado</w:t>
      </w:r>
      <w:r w:rsidRPr="0020727A">
        <w:rPr>
          <w:lang w:val="pt-BR"/>
        </w:rPr>
        <w:t>”) com 30 (trinta) Dias Úteis de antecedência da data em que se pretende realizar a Oferta de Resgate Antecipado, sendo que na referida comunicação deverá constar: (a)</w:t>
      </w:r>
      <w:r w:rsidR="00436DDA" w:rsidRPr="0020727A">
        <w:rPr>
          <w:lang w:val="pt-BR"/>
        </w:rPr>
        <w:t xml:space="preserve"> </w:t>
      </w:r>
      <w:r w:rsidR="00DB205D">
        <w:rPr>
          <w:lang w:val="pt-BR"/>
        </w:rPr>
        <w:t>o</w:t>
      </w:r>
      <w:r w:rsidRPr="0020727A">
        <w:rPr>
          <w:lang w:val="pt-BR"/>
        </w:rPr>
        <w:t xml:space="preserve"> valor do prêmio de resgate, à critério da Emissora, que caso existente não poderá ser negativo; (</w:t>
      </w:r>
      <w:r w:rsidR="009D09A0">
        <w:rPr>
          <w:lang w:val="pt-BR"/>
        </w:rPr>
        <w:t>b</w:t>
      </w:r>
      <w:r w:rsidRPr="0020727A">
        <w:rPr>
          <w:lang w:val="pt-BR"/>
        </w:rPr>
        <w:t>) forma de manifestação, à Emissora, pelo Debenturista que aceitar a Oferta de Resgate Antecipado; (</w:t>
      </w:r>
      <w:r w:rsidR="009D09A0">
        <w:rPr>
          <w:lang w:val="pt-BR"/>
        </w:rPr>
        <w:t>c</w:t>
      </w:r>
      <w:r w:rsidRPr="0020727A">
        <w:rPr>
          <w:lang w:val="pt-BR"/>
        </w:rPr>
        <w:t>) a data efetiva para o resgate das Debêntures e pagamento aos Debenturistas, que deverá ser um Dia Útil; e (</w:t>
      </w:r>
      <w:r w:rsidR="009D09A0">
        <w:rPr>
          <w:lang w:val="pt-BR"/>
        </w:rPr>
        <w:t>d</w:t>
      </w:r>
      <w:r w:rsidRPr="0020727A">
        <w:rPr>
          <w:lang w:val="pt-BR"/>
        </w:rPr>
        <w:t>) demais informações necessárias para tomada de decisão e operacionalização pelos Debenturistas</w:t>
      </w:r>
      <w:r w:rsidR="00DB205D">
        <w:rPr>
          <w:lang w:val="pt-BR"/>
        </w:rPr>
        <w:t>.</w:t>
      </w:r>
    </w:p>
    <w:p w14:paraId="32196527" w14:textId="77777777" w:rsidR="00707F40" w:rsidRPr="00D8141D" w:rsidRDefault="00707F40" w:rsidP="00FF1ED9">
      <w:pPr>
        <w:pStyle w:val="HOMEBRBodyText"/>
        <w:keepLines w:val="0"/>
        <w:widowControl w:val="0"/>
        <w:numPr>
          <w:ilvl w:val="0"/>
          <w:numId w:val="47"/>
        </w:numPr>
        <w:spacing w:after="140"/>
        <w:jc w:val="both"/>
        <w:rPr>
          <w:rFonts w:cs="Calibri"/>
          <w:lang w:val="pt-BR"/>
        </w:rPr>
      </w:pPr>
      <w:r w:rsidRPr="0020727A">
        <w:rPr>
          <w:lang w:val="pt-BR"/>
        </w:rPr>
        <w:t>Após 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B87FE12" w14:textId="77777777" w:rsidR="00406805" w:rsidRDefault="00406805">
      <w:pPr>
        <w:spacing w:after="0" w:line="240" w:lineRule="auto"/>
        <w:rPr>
          <w:rFonts w:eastAsia="MS Mincho"/>
          <w:spacing w:val="-4"/>
        </w:rPr>
      </w:pPr>
      <w:r>
        <w:rPr>
          <w:spacing w:val="-4"/>
        </w:rPr>
        <w:br w:type="page"/>
      </w:r>
    </w:p>
    <w:p w14:paraId="134A6795" w14:textId="5662E8C0" w:rsidR="00707F40" w:rsidRPr="00FC06D9" w:rsidRDefault="00707F40" w:rsidP="00D45D71">
      <w:pPr>
        <w:pStyle w:val="HOMEBRBodyText"/>
        <w:keepLines w:val="0"/>
        <w:widowControl w:val="0"/>
        <w:numPr>
          <w:ilvl w:val="0"/>
          <w:numId w:val="47"/>
        </w:numPr>
        <w:spacing w:after="140" w:line="290" w:lineRule="auto"/>
        <w:jc w:val="both"/>
        <w:rPr>
          <w:rFonts w:cs="Calibri"/>
          <w:spacing w:val="-4"/>
          <w:lang w:val="pt-BR"/>
        </w:rPr>
      </w:pPr>
      <w:r w:rsidRPr="00FC06D9">
        <w:rPr>
          <w:spacing w:val="-4"/>
          <w:lang w:val="pt-BR"/>
        </w:rPr>
        <w:lastRenderedPageBreak/>
        <w:t>A Emissora poderá, observados os prazos e previsões legais, condicionar a Oferta de Resgate Antecipado à aceitação deste por um percentual mínimo de Debêntures, a ser por ela definido quando da realização da Oferta de Resgate Antecipado. Tal percentual deverá estar estipulado na Comunicação de Oferta de Resgate Antecipado.</w:t>
      </w:r>
    </w:p>
    <w:p w14:paraId="28746D83" w14:textId="77777777" w:rsidR="00F753FD" w:rsidRPr="00D8141D" w:rsidRDefault="00F753FD" w:rsidP="00D45D71">
      <w:pPr>
        <w:pStyle w:val="HOMEBRBodyText"/>
        <w:keepLines w:val="0"/>
        <w:widowControl w:val="0"/>
        <w:numPr>
          <w:ilvl w:val="0"/>
          <w:numId w:val="47"/>
        </w:numPr>
        <w:spacing w:after="140" w:line="290" w:lineRule="auto"/>
        <w:jc w:val="both"/>
        <w:rPr>
          <w:rFonts w:cs="Calibri"/>
          <w:lang w:val="pt-BR"/>
        </w:rPr>
      </w:pPr>
      <w:r w:rsidRPr="00D8141D">
        <w:rPr>
          <w:rFonts w:cs="Calibri"/>
          <w:lang w:val="pt-BR"/>
        </w:rPr>
        <w:t xml:space="preserve">O valor a ser pago aos Debenturistas será equivalente ao Valor Nominal Unitário Atualizado das Debêntures, acrescido (a) da Remuneração e demais encargos devidos e não pagos até a data da Oferta de Resgate Antecipado, calculado </w:t>
      </w:r>
      <w:r w:rsidRPr="00D8141D">
        <w:rPr>
          <w:rFonts w:cs="Calibri"/>
          <w:i/>
          <w:iCs/>
          <w:lang w:val="pt-BR"/>
        </w:rPr>
        <w:t>pro rata temporis</w:t>
      </w:r>
      <w:r w:rsidRPr="00D8141D">
        <w:rPr>
          <w:rFonts w:cs="Calibri"/>
          <w:lang w:val="pt-BR"/>
        </w:rPr>
        <w:t xml:space="preserve"> desde a primeira Data de Integralização, ou a Data do Pagamento da Remuneração anterior, conforme o caso, até a data do efetivo resgate das Debêntures objeto da Oferta de Resgate Antecipado, e (b) se for o caso e a critério da Emissora, do prêmio de resgate indicado na Comunicação de Oferta de Resgate Antecipado.</w:t>
      </w:r>
    </w:p>
    <w:p w14:paraId="1599FEC7" w14:textId="77777777" w:rsidR="00D05A75" w:rsidRPr="00D8141D" w:rsidRDefault="00D05A75" w:rsidP="00D45D71">
      <w:pPr>
        <w:pStyle w:val="HOMEBRBodyText"/>
        <w:keepLines w:val="0"/>
        <w:widowControl w:val="0"/>
        <w:numPr>
          <w:ilvl w:val="0"/>
          <w:numId w:val="47"/>
        </w:numPr>
        <w:spacing w:after="140" w:line="290" w:lineRule="auto"/>
        <w:jc w:val="both"/>
        <w:rPr>
          <w:rFonts w:cs="Calibri"/>
          <w:lang w:val="pt-BR"/>
        </w:rPr>
      </w:pPr>
      <w:r w:rsidRPr="00D8141D">
        <w:rPr>
          <w:rFonts w:cs="Calibri"/>
          <w:lang w:val="pt-BR"/>
        </w:rPr>
        <w:t>Caso venha a ser legalmente permitido e a Emissora opte pela realização da Oferta de Resgate Antecipado parcial das Debêntures e o número de Debenturistas que tenham aderido à Oferta de Resgate Antecipado seja maior do que o número ao qual a referida oferta foi originalmente direcionada, observado o limite de 50% (cinquenta por cento) da totalidade das Debêntures de uma respectiva série,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2 (dois) Dias Úteis de antecedência sobre a Oferta de Resgate Antecipado.</w:t>
      </w:r>
    </w:p>
    <w:p w14:paraId="4FCFD702" w14:textId="77777777" w:rsidR="00707F40" w:rsidRPr="00D8141D" w:rsidRDefault="00707F40" w:rsidP="00D45D71">
      <w:pPr>
        <w:pStyle w:val="HOMEBRBodyText"/>
        <w:keepLines w:val="0"/>
        <w:widowControl w:val="0"/>
        <w:numPr>
          <w:ilvl w:val="0"/>
          <w:numId w:val="47"/>
        </w:numPr>
        <w:spacing w:after="140" w:line="290" w:lineRule="auto"/>
        <w:jc w:val="both"/>
        <w:rPr>
          <w:rFonts w:cs="Calibri"/>
          <w:lang w:val="pt-BR"/>
        </w:rPr>
      </w:pPr>
      <w:r w:rsidRPr="0020727A">
        <w:rPr>
          <w:lang w:val="pt-BR"/>
        </w:rPr>
        <w:t>As Debêntures resgatadas pela Emissora, conforme previsto neste item, serão obrigatoriamente canceladas.</w:t>
      </w:r>
    </w:p>
    <w:p w14:paraId="737842D6" w14:textId="77777777" w:rsidR="00707F40" w:rsidRPr="00D8141D" w:rsidRDefault="00D05A75" w:rsidP="00D45D71">
      <w:pPr>
        <w:pStyle w:val="HOMEBRBodyText"/>
        <w:keepLines w:val="0"/>
        <w:widowControl w:val="0"/>
        <w:numPr>
          <w:ilvl w:val="0"/>
          <w:numId w:val="47"/>
        </w:numPr>
        <w:spacing w:after="140" w:line="290" w:lineRule="auto"/>
        <w:jc w:val="both"/>
        <w:rPr>
          <w:rFonts w:cs="Calibri"/>
          <w:lang w:val="pt-BR"/>
        </w:rPr>
      </w:pPr>
      <w:r w:rsidRPr="0020727A">
        <w:rPr>
          <w:lang w:val="pt-BR"/>
        </w:rPr>
        <w:t xml:space="preserve">O resgate antecipado </w:t>
      </w:r>
      <w:r>
        <w:rPr>
          <w:lang w:val="pt-BR"/>
        </w:rPr>
        <w:t xml:space="preserve">total ou parcial </w:t>
      </w:r>
      <w:r w:rsidRPr="0020727A">
        <w:rPr>
          <w:lang w:val="pt-BR"/>
        </w:rPr>
        <w:t>proveniente da Oferta de Resgate Antecipado para as Debêntures custodiadas eletronicamente na B3 seguirá os procedimentos de liquidação adotados por ela. Caso as Debêntures não estejam custodiadas eletronicamente na B3, será realizado por meio do Escriturador</w:t>
      </w:r>
      <w:r w:rsidR="00707F40" w:rsidRPr="0020727A">
        <w:rPr>
          <w:lang w:val="pt-BR"/>
        </w:rPr>
        <w:t>.</w:t>
      </w:r>
    </w:p>
    <w:p w14:paraId="67A90726" w14:textId="77777777" w:rsidR="00707F40" w:rsidRPr="00D8141D" w:rsidRDefault="00707F40" w:rsidP="001E14E6">
      <w:pPr>
        <w:pStyle w:val="HOMEBRBodyText"/>
        <w:keepLines w:val="0"/>
        <w:widowControl w:val="0"/>
        <w:numPr>
          <w:ilvl w:val="0"/>
          <w:numId w:val="47"/>
        </w:numPr>
        <w:spacing w:after="140"/>
        <w:jc w:val="both"/>
        <w:rPr>
          <w:rFonts w:cs="Calibri"/>
          <w:spacing w:val="-6"/>
          <w:lang w:val="pt-BR"/>
        </w:rPr>
      </w:pPr>
      <w:r w:rsidRPr="00F62957">
        <w:rPr>
          <w:spacing w:val="-6"/>
          <w:lang w:val="pt-BR"/>
        </w:rPr>
        <w:t xml:space="preserve">A B3, o Escriturador, o </w:t>
      </w:r>
      <w:r w:rsidR="009D09A0" w:rsidRPr="00D8141D">
        <w:rPr>
          <w:rFonts w:cs="Calibri"/>
          <w:spacing w:val="-6"/>
        </w:rPr>
        <w:t>Agente de Liquidação</w:t>
      </w:r>
      <w:r w:rsidRPr="00F62957">
        <w:rPr>
          <w:spacing w:val="-6"/>
          <w:lang w:val="pt-BR"/>
        </w:rPr>
        <w:t xml:space="preserve"> e a ANBIMA deverão ser notificadas pela Emissora sobre a realização de resgate antecipado</w:t>
      </w:r>
      <w:r w:rsidR="00436DDA" w:rsidRPr="00F62957">
        <w:rPr>
          <w:spacing w:val="-6"/>
          <w:lang w:val="pt-BR"/>
        </w:rPr>
        <w:t xml:space="preserve"> parcial ou total</w:t>
      </w:r>
      <w:r w:rsidRPr="00F62957">
        <w:rPr>
          <w:spacing w:val="-6"/>
          <w:lang w:val="pt-BR"/>
        </w:rPr>
        <w:t xml:space="preserve"> proveniente da Oferta de Resgate Antecipado com antecedência mínima de 3 (três) Dias Úteis da efetiva data de sua realização, por meio de correspondência com o de acordo do Agente Fiduciário.</w:t>
      </w:r>
    </w:p>
    <w:p w14:paraId="5A841CF0" w14:textId="77777777" w:rsidR="00E8286C" w:rsidRPr="00566CD3" w:rsidRDefault="00707F40" w:rsidP="009E2BE2">
      <w:pPr>
        <w:pStyle w:val="Ttulo3"/>
        <w:spacing w:after="140" w:line="290" w:lineRule="auto"/>
        <w:jc w:val="both"/>
        <w:rPr>
          <w:i/>
        </w:rPr>
      </w:pPr>
      <w:bookmarkStart w:id="245" w:name="_Ref90061726"/>
      <w:bookmarkStart w:id="246" w:name="_Toc90045133"/>
      <w:bookmarkStart w:id="247" w:name="_Toc95928449"/>
      <w:r w:rsidRPr="00566CD3">
        <w:rPr>
          <w:i/>
        </w:rPr>
        <w:t>Aquisição Facultativa</w:t>
      </w:r>
      <w:bookmarkEnd w:id="245"/>
      <w:bookmarkEnd w:id="246"/>
      <w:bookmarkEnd w:id="247"/>
    </w:p>
    <w:p w14:paraId="1956FEC1" w14:textId="77777777" w:rsidR="00833DF5" w:rsidRPr="00566CD3" w:rsidRDefault="00072661" w:rsidP="009E2BE2">
      <w:pPr>
        <w:pStyle w:val="Body"/>
        <w:jc w:val="both"/>
      </w:pPr>
      <w:bookmarkStart w:id="248" w:name="_Hlk89270986"/>
      <w:r w:rsidRPr="00566CD3">
        <w:t xml:space="preserve">A Emissora e suas partes relacionadas poderão, a qualquer tempo </w:t>
      </w:r>
      <w:r w:rsidR="00A32CF3" w:rsidRPr="00566CD3">
        <w:t>após 24 meses da Data</w:t>
      </w:r>
      <w:r w:rsidRPr="00566CD3">
        <w:t xml:space="preserve"> de </w:t>
      </w:r>
      <w:r w:rsidR="00A32CF3" w:rsidRPr="00566CD3">
        <w:t>Emissão</w:t>
      </w:r>
      <w:r w:rsidRPr="00566CD3">
        <w:t xml:space="preserve">, nos termos do artigo 1º, parágrafo 1º, inciso II, combinado com o artigo 2º, parágrafo 1º, </w:t>
      </w:r>
      <w:r w:rsidRPr="00566CD3">
        <w:lastRenderedPageBreak/>
        <w:t>da Lei 12.431, ou antes de tal data, desde que venha a ser legalmente permitido, nos termos da Lei 12.431, da regulamentação do CMN ou de outra legislação ou regulamentação aplicável e observados ainda os termos da Instrução da CVM nº 620, de 17 de março de 2020, adquirir parte ou a totalidade das Debêntures, a seu critério</w:t>
      </w:r>
      <w:r w:rsidR="009D09A0" w:rsidRPr="00566CD3">
        <w:t xml:space="preserve"> e nos termos da legislação aplicável</w:t>
      </w:r>
      <w:r w:rsidRPr="00566CD3">
        <w:t>, condicionado ao aceite do respectivo Debenturista vendedor,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w:t>
      </w:r>
      <w:bookmarkEnd w:id="248"/>
      <w:r w:rsidRPr="00566CD3">
        <w:t xml:space="preserve">. </w:t>
      </w:r>
    </w:p>
    <w:p w14:paraId="3977E43E" w14:textId="77777777" w:rsidR="001E1E20" w:rsidRPr="00D8141D" w:rsidRDefault="00072661" w:rsidP="00D45D71">
      <w:pPr>
        <w:pStyle w:val="HOMEBRBodyText"/>
        <w:keepLines w:val="0"/>
        <w:widowControl w:val="0"/>
        <w:numPr>
          <w:ilvl w:val="0"/>
          <w:numId w:val="50"/>
        </w:numPr>
        <w:spacing w:after="140" w:line="290" w:lineRule="auto"/>
        <w:jc w:val="both"/>
        <w:rPr>
          <w:rFonts w:cs="Calibri"/>
          <w:b/>
          <w:lang w:val="pt-BR"/>
        </w:rPr>
      </w:pPr>
      <w:bookmarkStart w:id="249" w:name="_Hlk89271008"/>
      <w:r w:rsidRPr="00D8141D">
        <w:rPr>
          <w:rFonts w:cs="Calibri"/>
          <w:lang w:val="pt-BR" w:eastAsia="pt-BR"/>
        </w:rPr>
        <w:t>As Debêntures adquiridas pela Emissora de acordo com esta Cláusula poderão, observados os termos da Lei 12.431, da regulamentação do CMN ou de outra legislação ou regulamentação aplicável, a critério da Emissora, ser canceladas, permanecer na tesouraria da Emissora, ou ser novamente colocadas no mercado</w:t>
      </w:r>
      <w:bookmarkEnd w:id="249"/>
      <w:r w:rsidR="00707F40" w:rsidRPr="00D8141D">
        <w:rPr>
          <w:rFonts w:cs="Calibri"/>
          <w:lang w:val="pt-BR" w:eastAsia="pt-BR"/>
        </w:rPr>
        <w:t>.</w:t>
      </w:r>
    </w:p>
    <w:p w14:paraId="477BE5DB" w14:textId="77777777" w:rsidR="00707F40" w:rsidRPr="00D8141D" w:rsidRDefault="00072661" w:rsidP="00D45D71">
      <w:pPr>
        <w:pStyle w:val="HOMEBRBodyText"/>
        <w:keepLines w:val="0"/>
        <w:widowControl w:val="0"/>
        <w:numPr>
          <w:ilvl w:val="0"/>
          <w:numId w:val="50"/>
        </w:numPr>
        <w:spacing w:after="140" w:line="290" w:lineRule="auto"/>
        <w:jc w:val="both"/>
        <w:rPr>
          <w:rFonts w:cs="Calibri"/>
          <w:b/>
          <w:lang w:val="pt-BR"/>
        </w:rPr>
      </w:pPr>
      <w:bookmarkStart w:id="250" w:name="_Hlk89271025"/>
      <w:r w:rsidRPr="00D8141D">
        <w:rPr>
          <w:rFonts w:cs="Calibri"/>
          <w:lang w:val="pt-BR" w:eastAsia="pt-BR"/>
        </w:rPr>
        <w:t>As Debêntures adquiridas pela Emissora para permanência em tesouraria, nos termos desta Cláusula, se e quando recolocadas no mercado, farão jus à mesma Remuneração aplicável às demais Debêntures</w:t>
      </w:r>
      <w:bookmarkEnd w:id="250"/>
      <w:r w:rsidRPr="00D8141D">
        <w:rPr>
          <w:rFonts w:cs="Calibri"/>
          <w:lang w:val="pt-BR"/>
        </w:rPr>
        <w:t>.</w:t>
      </w:r>
    </w:p>
    <w:p w14:paraId="772DD966" w14:textId="77777777" w:rsidR="00BB32A2" w:rsidRPr="00D8141D" w:rsidRDefault="00BB32A2" w:rsidP="00D45D71">
      <w:pPr>
        <w:pStyle w:val="HOMEBRBodyText"/>
        <w:keepLines w:val="0"/>
        <w:widowControl w:val="0"/>
        <w:numPr>
          <w:ilvl w:val="0"/>
          <w:numId w:val="50"/>
        </w:numPr>
        <w:spacing w:after="140" w:line="290" w:lineRule="auto"/>
        <w:jc w:val="both"/>
        <w:rPr>
          <w:rFonts w:cs="Calibri"/>
          <w:b/>
          <w:spacing w:val="-4"/>
          <w:lang w:val="pt-BR"/>
        </w:rPr>
      </w:pPr>
      <w:r w:rsidRPr="00D8141D">
        <w:rPr>
          <w:rFonts w:cs="Calibri"/>
          <w:spacing w:val="-4"/>
          <w:lang w:val="pt-BR" w:eastAsia="pt-BR"/>
        </w:rPr>
        <w:t>Para fins das Cláusulas acima, entende-se que poderão ser adquiridas pela Emissora as Debêntures da Primeira Série e/ou as Debêntures da Segunda Série.</w:t>
      </w:r>
    </w:p>
    <w:p w14:paraId="34FA0BE7" w14:textId="3F4A571C" w:rsidR="00E8286C" w:rsidRPr="00D8141D" w:rsidRDefault="00833DF5" w:rsidP="009E2BE2">
      <w:pPr>
        <w:pStyle w:val="HOMEBRBodyText"/>
        <w:keepLines w:val="0"/>
        <w:widowControl w:val="0"/>
        <w:spacing w:after="140" w:line="290" w:lineRule="auto"/>
        <w:jc w:val="both"/>
        <w:rPr>
          <w:rFonts w:cs="Calibri"/>
          <w:color w:val="000000"/>
          <w:lang w:val="pt-BR"/>
        </w:rPr>
      </w:pPr>
      <w:r w:rsidRPr="00D8141D">
        <w:rPr>
          <w:rFonts w:cs="Calibri"/>
          <w:b/>
          <w:color w:val="000000"/>
          <w:lang w:val="pt-BR"/>
        </w:rPr>
        <w:t xml:space="preserve">Para mais informações sobre Tratamento Tributário e Imunidade Tributária e sobre o Resgate, veja as seções </w:t>
      </w:r>
      <w:r w:rsidR="002A4B8C" w:rsidRPr="00D8141D">
        <w:rPr>
          <w:rFonts w:cs="Calibri"/>
          <w:b/>
          <w:color w:val="000000"/>
          <w:lang w:val="pt-BR"/>
        </w:rPr>
        <w:t>“</w:t>
      </w:r>
      <w:r w:rsidRPr="00D8141D">
        <w:rPr>
          <w:rFonts w:cs="Calibri"/>
          <w:b/>
          <w:color w:val="000000"/>
          <w:lang w:val="pt-BR"/>
        </w:rPr>
        <w:t xml:space="preserve">Informações Relativas à Emissão, à Oferta e às Debêntures – Características da Emissão e das Debêntures – </w:t>
      </w:r>
      <w:r w:rsidR="00DB205D" w:rsidRPr="00D8141D">
        <w:rPr>
          <w:rFonts w:cs="Calibri"/>
          <w:b/>
          <w:color w:val="000000"/>
          <w:lang w:val="pt-BR"/>
        </w:rPr>
        <w:t>Imunidade Tributária dos Debenturistas”</w:t>
      </w:r>
      <w:r w:rsidR="00DB205D" w:rsidRPr="00D8141D">
        <w:rPr>
          <w:rFonts w:eastAsia="Calibri" w:cs="Calibri"/>
          <w:b/>
          <w:color w:val="000000"/>
          <w:lang w:val="pt-BR"/>
        </w:rPr>
        <w:t xml:space="preserve">, </w:t>
      </w:r>
      <w:r w:rsidR="00DB205D" w:rsidRPr="00D8141D">
        <w:rPr>
          <w:rFonts w:eastAsia="Calibri" w:cs="Calibri"/>
          <w:b/>
          <w:color w:val="000000"/>
        </w:rPr>
        <w:t>“Visão Geral da Lei 12.431 - Tributação das Debêntures</w:t>
      </w:r>
      <w:r w:rsidR="002A4B8C" w:rsidRPr="00D8141D">
        <w:rPr>
          <w:rFonts w:cs="Calibri"/>
          <w:b/>
          <w:color w:val="000000"/>
          <w:lang w:val="pt-BR"/>
        </w:rPr>
        <w:t>”</w:t>
      </w:r>
      <w:r w:rsidRPr="00D8141D">
        <w:rPr>
          <w:rFonts w:cs="Calibri"/>
          <w:b/>
          <w:color w:val="000000"/>
          <w:lang w:val="pt-BR"/>
        </w:rPr>
        <w:t xml:space="preserve"> e </w:t>
      </w:r>
      <w:r w:rsidR="002A4B8C" w:rsidRPr="00D8141D">
        <w:rPr>
          <w:rFonts w:cs="Calibri"/>
          <w:b/>
          <w:color w:val="000000"/>
          <w:lang w:val="pt-BR"/>
        </w:rPr>
        <w:t>“</w:t>
      </w:r>
      <w:r w:rsidRPr="00D8141D">
        <w:rPr>
          <w:rFonts w:cs="Calibri"/>
          <w:b/>
          <w:color w:val="000000"/>
          <w:lang w:val="pt-BR"/>
        </w:rPr>
        <w:t xml:space="preserve">Fatores de Risco Relacionados à Oferta e às Debêntures - </w:t>
      </w:r>
      <w:r w:rsidR="00DB205D" w:rsidRPr="00D8141D">
        <w:rPr>
          <w:rFonts w:eastAsia="Times New Roman" w:cs="Calibri"/>
          <w:b/>
          <w:color w:val="000000"/>
          <w:lang w:val="pt-BR" w:eastAsia="pt-BR"/>
        </w:rPr>
        <w:t>As</w:t>
      </w:r>
      <w:r w:rsidR="005B4027" w:rsidRPr="00D8141D">
        <w:rPr>
          <w:rFonts w:eastAsia="Times New Roman" w:cs="Calibri"/>
          <w:b/>
          <w:color w:val="000000"/>
          <w:lang w:val="pt-BR" w:eastAsia="pt-BR"/>
        </w:rPr>
        <w:t xml:space="preserve"> Debêntures </w:t>
      </w:r>
      <w:r w:rsidR="00DB205D" w:rsidRPr="00D8141D">
        <w:rPr>
          <w:rFonts w:eastAsia="Times New Roman" w:cs="Calibri"/>
          <w:b/>
          <w:color w:val="000000"/>
          <w:lang w:val="pt-BR" w:eastAsia="pt-BR"/>
        </w:rPr>
        <w:t>podem deixar</w:t>
      </w:r>
      <w:r w:rsidR="005B4027" w:rsidRPr="00D8141D">
        <w:rPr>
          <w:rFonts w:eastAsia="Times New Roman" w:cs="Calibri"/>
          <w:b/>
          <w:color w:val="000000"/>
          <w:lang w:val="pt-BR" w:eastAsia="pt-BR"/>
        </w:rPr>
        <w:t xml:space="preserve"> de satisfazer determinadas características que as enquadrem como </w:t>
      </w:r>
      <w:r w:rsidR="00DB205D" w:rsidRPr="00D8141D">
        <w:rPr>
          <w:rFonts w:eastAsia="Times New Roman" w:cs="Calibri"/>
          <w:b/>
          <w:color w:val="000000"/>
          <w:lang w:val="pt-BR" w:eastAsia="pt-BR"/>
        </w:rPr>
        <w:t>debêntures com incentivo fiscal”</w:t>
      </w:r>
      <w:r w:rsidR="00DB205D" w:rsidRPr="00D8141D">
        <w:rPr>
          <w:rFonts w:cs="Calibri"/>
          <w:b/>
          <w:color w:val="000000"/>
          <w:lang w:val="pt-BR"/>
        </w:rPr>
        <w:t>,</w:t>
      </w:r>
      <w:r w:rsidRPr="00D8141D">
        <w:rPr>
          <w:rFonts w:cs="Calibri"/>
          <w:b/>
          <w:color w:val="000000"/>
          <w:lang w:val="pt-BR"/>
        </w:rPr>
        <w:t xml:space="preserve"> nas páginas </w:t>
      </w:r>
      <w:r w:rsidR="00F4417F" w:rsidRPr="00D8141D">
        <w:rPr>
          <w:rFonts w:cs="Calibri"/>
          <w:b/>
          <w:noProof/>
          <w:color w:val="000000"/>
          <w:lang w:val="pt-BR"/>
        </w:rPr>
        <w:fldChar w:fldCharType="begin"/>
      </w:r>
      <w:r w:rsidR="00F4417F" w:rsidRPr="00D8141D">
        <w:rPr>
          <w:rFonts w:cs="Calibri"/>
          <w:b/>
          <w:color w:val="000000"/>
          <w:lang w:val="pt-BR"/>
        </w:rPr>
        <w:instrText xml:space="preserve"> PAGEREF _Ref90216184 \h </w:instrText>
      </w:r>
      <w:r w:rsidR="00F4417F" w:rsidRPr="00D8141D">
        <w:rPr>
          <w:rFonts w:cs="Calibri"/>
          <w:b/>
          <w:noProof/>
          <w:color w:val="000000"/>
          <w:lang w:val="pt-BR"/>
        </w:rPr>
      </w:r>
      <w:r w:rsidR="00F4417F" w:rsidRPr="00D8141D">
        <w:rPr>
          <w:rFonts w:cs="Calibri"/>
          <w:b/>
          <w:noProof/>
          <w:color w:val="000000"/>
          <w:lang w:val="pt-BR"/>
        </w:rPr>
        <w:fldChar w:fldCharType="separate"/>
      </w:r>
      <w:r w:rsidR="001166EA">
        <w:rPr>
          <w:rFonts w:cs="Calibri"/>
          <w:b/>
          <w:noProof/>
          <w:color w:val="000000"/>
          <w:lang w:val="pt-BR"/>
        </w:rPr>
        <w:t>85</w:t>
      </w:r>
      <w:r w:rsidR="00F4417F" w:rsidRPr="00D8141D">
        <w:rPr>
          <w:rFonts w:cs="Calibri"/>
          <w:b/>
          <w:noProof/>
          <w:color w:val="000000"/>
          <w:lang w:val="pt-BR"/>
        </w:rPr>
        <w:fldChar w:fldCharType="end"/>
      </w:r>
      <w:r w:rsidR="00DB205D" w:rsidRPr="00D8141D">
        <w:rPr>
          <w:rFonts w:cs="Calibri"/>
          <w:b/>
          <w:noProof/>
          <w:color w:val="000000"/>
          <w:lang w:val="pt-BR"/>
        </w:rPr>
        <w:t xml:space="preserve">, </w:t>
      </w:r>
      <w:r w:rsidR="00854213" w:rsidRPr="00D8141D">
        <w:rPr>
          <w:rFonts w:cs="Calibri"/>
          <w:b/>
          <w:noProof/>
          <w:color w:val="000000"/>
          <w:lang w:val="pt-BR"/>
        </w:rPr>
        <w:fldChar w:fldCharType="begin"/>
      </w:r>
      <w:r w:rsidR="00854213" w:rsidRPr="00D8141D">
        <w:rPr>
          <w:rFonts w:cs="Calibri"/>
          <w:b/>
          <w:noProof/>
          <w:color w:val="000000"/>
          <w:lang w:val="pt-BR"/>
        </w:rPr>
        <w:instrText xml:space="preserve"> PAGEREF _Ref90230483 \h </w:instrText>
      </w:r>
      <w:r w:rsidR="00854213" w:rsidRPr="00D8141D">
        <w:rPr>
          <w:rFonts w:cs="Calibri"/>
          <w:b/>
          <w:noProof/>
          <w:color w:val="000000"/>
          <w:lang w:val="pt-BR"/>
        </w:rPr>
      </w:r>
      <w:r w:rsidR="00854213" w:rsidRPr="00D8141D">
        <w:rPr>
          <w:rFonts w:cs="Calibri"/>
          <w:b/>
          <w:noProof/>
          <w:color w:val="000000"/>
          <w:lang w:val="pt-BR"/>
        </w:rPr>
        <w:fldChar w:fldCharType="separate"/>
      </w:r>
      <w:r w:rsidR="001166EA">
        <w:rPr>
          <w:rFonts w:cs="Calibri"/>
          <w:b/>
          <w:noProof/>
          <w:color w:val="000000"/>
          <w:lang w:val="pt-BR"/>
        </w:rPr>
        <w:t>122</w:t>
      </w:r>
      <w:r w:rsidR="00854213" w:rsidRPr="00D8141D">
        <w:rPr>
          <w:rFonts w:cs="Calibri"/>
          <w:b/>
          <w:noProof/>
          <w:color w:val="000000"/>
          <w:lang w:val="pt-BR"/>
        </w:rPr>
        <w:fldChar w:fldCharType="end"/>
      </w:r>
      <w:r w:rsidRPr="00D8141D">
        <w:rPr>
          <w:rFonts w:cs="Calibri"/>
          <w:b/>
          <w:color w:val="000000"/>
          <w:lang w:val="pt-BR"/>
        </w:rPr>
        <w:t xml:space="preserve"> e </w:t>
      </w:r>
      <w:r w:rsidR="00C23EC2" w:rsidRPr="00D8141D">
        <w:rPr>
          <w:rFonts w:cs="Calibri"/>
          <w:b/>
          <w:noProof/>
          <w:color w:val="000000"/>
          <w:lang w:val="pt-BR"/>
        </w:rPr>
        <w:fldChar w:fldCharType="begin"/>
      </w:r>
      <w:r w:rsidR="00C23EC2" w:rsidRPr="00D8141D">
        <w:rPr>
          <w:rFonts w:cs="Calibri"/>
          <w:b/>
          <w:color w:val="000000"/>
          <w:lang w:val="pt-BR"/>
        </w:rPr>
        <w:instrText xml:space="preserve"> PAGEREF _Ref90216386 \h </w:instrText>
      </w:r>
      <w:r w:rsidR="00C23EC2" w:rsidRPr="00D8141D">
        <w:rPr>
          <w:rFonts w:cs="Calibri"/>
          <w:b/>
          <w:noProof/>
          <w:color w:val="000000"/>
          <w:lang w:val="pt-BR"/>
        </w:rPr>
      </w:r>
      <w:r w:rsidR="00C23EC2" w:rsidRPr="00D8141D">
        <w:rPr>
          <w:rFonts w:cs="Calibri"/>
          <w:b/>
          <w:noProof/>
          <w:color w:val="000000"/>
          <w:lang w:val="pt-BR"/>
        </w:rPr>
        <w:fldChar w:fldCharType="separate"/>
      </w:r>
      <w:r w:rsidR="001166EA">
        <w:rPr>
          <w:rFonts w:cs="Calibri"/>
          <w:b/>
          <w:noProof/>
          <w:color w:val="000000"/>
          <w:lang w:val="pt-BR"/>
        </w:rPr>
        <w:t>128</w:t>
      </w:r>
      <w:r w:rsidR="00C23EC2" w:rsidRPr="00D8141D">
        <w:rPr>
          <w:rFonts w:cs="Calibri"/>
          <w:b/>
          <w:noProof/>
          <w:color w:val="000000"/>
          <w:lang w:val="pt-BR"/>
        </w:rPr>
        <w:fldChar w:fldCharType="end"/>
      </w:r>
      <w:r w:rsidR="00DB205D" w:rsidRPr="00D8141D">
        <w:rPr>
          <w:rFonts w:cs="Calibri"/>
          <w:b/>
          <w:color w:val="000000"/>
          <w:lang w:val="pt-BR"/>
        </w:rPr>
        <w:t>,</w:t>
      </w:r>
      <w:r w:rsidRPr="00D8141D">
        <w:rPr>
          <w:rFonts w:cs="Calibri"/>
          <w:b/>
          <w:color w:val="000000"/>
          <w:lang w:val="pt-BR"/>
        </w:rPr>
        <w:t xml:space="preserve"> respectivamente, deste Prospecto.</w:t>
      </w:r>
    </w:p>
    <w:p w14:paraId="77A75B7B" w14:textId="77777777" w:rsidR="003B21E2" w:rsidRPr="00566CD3" w:rsidRDefault="003B21E2" w:rsidP="009E2BE2">
      <w:pPr>
        <w:pStyle w:val="Ttulo3"/>
        <w:spacing w:after="140" w:line="290" w:lineRule="auto"/>
        <w:jc w:val="both"/>
        <w:rPr>
          <w:i/>
        </w:rPr>
      </w:pPr>
      <w:bookmarkStart w:id="251" w:name="_Toc87002508"/>
      <w:bookmarkStart w:id="252" w:name="_Ref90222194"/>
      <w:bookmarkStart w:id="253" w:name="_Toc90045134"/>
      <w:bookmarkStart w:id="254" w:name="_Toc95928450"/>
      <w:bookmarkStart w:id="255" w:name="_Toc426520143"/>
      <w:r w:rsidRPr="00566CD3">
        <w:rPr>
          <w:i/>
        </w:rPr>
        <w:t>Resgate Obrigatório Total</w:t>
      </w:r>
      <w:bookmarkEnd w:id="251"/>
      <w:bookmarkEnd w:id="252"/>
      <w:bookmarkEnd w:id="253"/>
      <w:bookmarkEnd w:id="254"/>
    </w:p>
    <w:p w14:paraId="6A6D7139" w14:textId="77777777" w:rsidR="003B21E2" w:rsidRPr="00566CD3" w:rsidRDefault="00BB32A2" w:rsidP="00BE78FD">
      <w:pPr>
        <w:spacing w:after="120"/>
        <w:jc w:val="both"/>
      </w:pPr>
      <w:r w:rsidRPr="00566CD3">
        <w:t>Ocorrido o evento previsto na Cláusula 6.9.4 da Escritura de Emissão, e desde que transcorrido o prazo médio ponderado mínimo de 4 (quatro) anos, considerando os pagamentos transcorridos entre a Data de Emissão e a data do efetivo resgate antecipado, nos termos do inciso I, do artigo 1º, da Resolução CMN 4.751 e calculado nos termos da Resolução CMN 3.947, a Emissora estará obrigada a realizar o resgate antecipado da totalidade das Debêntures, observado o procedimento descrito nesta seção e na Escritura de Emissão</w:t>
      </w:r>
      <w:r w:rsidR="003B21E2" w:rsidRPr="00566CD3">
        <w:t>.</w:t>
      </w:r>
    </w:p>
    <w:p w14:paraId="039D7526" w14:textId="77777777" w:rsidR="00BB32A2" w:rsidRPr="00566CD3" w:rsidRDefault="00BB32A2" w:rsidP="00566CD3">
      <w:pPr>
        <w:pStyle w:val="GradeMdia1-nfase21"/>
        <w:numPr>
          <w:ilvl w:val="0"/>
          <w:numId w:val="51"/>
        </w:numPr>
        <w:jc w:val="both"/>
      </w:pPr>
      <w:r w:rsidRPr="00566CD3">
        <w:t xml:space="preserve">O Resgate Obrigatório poderá ser realizado apenas em períodos de, no mínimo, 180 (cento e oitenta) dias contados do primeiro Dia Útil após ser alcançado prazo médio ponderado mínimo de 4 (quatro) anos entre a Data de Emissão e a data do efetivo Resgate Obrigatório ("Data de Resgate"), calculado nos termos da Resolução CMN 3.947, sendo certo que a Emissora deverá realizar o </w:t>
      </w:r>
      <w:r w:rsidRPr="00566CD3">
        <w:lastRenderedPageBreak/>
        <w:t>Resgate Obrigatório na Data de Resgate subsequente à verificação do evento descrito no parágrafo acima</w:t>
      </w:r>
      <w:r w:rsidR="001D7E48" w:rsidRPr="00566CD3">
        <w:t>.</w:t>
      </w:r>
    </w:p>
    <w:p w14:paraId="4AA3D353" w14:textId="77777777" w:rsidR="003B21E2" w:rsidRPr="00566CD3" w:rsidRDefault="003B21E2" w:rsidP="00566CD3">
      <w:pPr>
        <w:pStyle w:val="GradeMdia1-nfase21"/>
        <w:ind w:left="1800"/>
        <w:jc w:val="both"/>
      </w:pPr>
    </w:p>
    <w:p w14:paraId="09EEEA8D" w14:textId="77777777" w:rsidR="00BB32A2" w:rsidRPr="00566CD3" w:rsidRDefault="00BB32A2" w:rsidP="00566CD3">
      <w:pPr>
        <w:pStyle w:val="GradeMdia1-nfase21"/>
        <w:numPr>
          <w:ilvl w:val="0"/>
          <w:numId w:val="51"/>
        </w:numPr>
        <w:jc w:val="both"/>
      </w:pPr>
      <w:r w:rsidRPr="00566CD3">
        <w:t>O valor a ser pago pela Emissora em relação a cada uma das Debêntures, no âmbito do Resgate Obrigatório, será equivalente ao valor indicado no item (a) ou no item (b) a seguir, dos 2 (dois) o que for maior:</w:t>
      </w:r>
    </w:p>
    <w:p w14:paraId="2DA8DD12" w14:textId="77777777" w:rsidR="00BB32A2" w:rsidRPr="00566CD3" w:rsidRDefault="00BB32A2" w:rsidP="00566CD3">
      <w:pPr>
        <w:pStyle w:val="GradeMdia1-nfase21"/>
      </w:pPr>
    </w:p>
    <w:p w14:paraId="4235B7B5" w14:textId="77777777" w:rsidR="00BB32A2" w:rsidRPr="00566CD3" w:rsidRDefault="00BB32A2" w:rsidP="00566CD3">
      <w:pPr>
        <w:pStyle w:val="GradeMdia1-nfase21"/>
        <w:numPr>
          <w:ilvl w:val="0"/>
          <w:numId w:val="52"/>
        </w:numPr>
        <w:jc w:val="both"/>
      </w:pPr>
      <w:r w:rsidRPr="00566CD3">
        <w:t xml:space="preserve">Valor Nominal </w:t>
      </w:r>
      <w:r w:rsidR="009D09A0" w:rsidRPr="00566CD3">
        <w:t xml:space="preserve">Unitário </w:t>
      </w:r>
      <w:r w:rsidRPr="00566CD3">
        <w:t xml:space="preserve">Atualizado das Debêntures da Primeira Série e/ou das Debêntures da Segunda Série, conforme o caso, acrescido: (a) dos Juros Remuneratórios da respectiva Série, calculados </w:t>
      </w:r>
      <w:r w:rsidRPr="00566CD3">
        <w:rPr>
          <w:i/>
        </w:rPr>
        <w:t>pro rata temporis</w:t>
      </w:r>
      <w:r w:rsidRPr="00566CD3">
        <w:t xml:space="preserve"> desde a Primeira Data de Integralização ou a Data de Pagamento de Juros Remuneratórios imediatamente anterior, conforme o caso, até a data do efetivo Resgate Obrigatório (exclusive); (b) dos Encargos Moratórios, se houver; e (c) de quaisquer obrigações pecuniárias e outros acréscimos referentes às Debêntures; ou</w:t>
      </w:r>
    </w:p>
    <w:p w14:paraId="21D56F20" w14:textId="77777777" w:rsidR="00BB32A2" w:rsidRPr="00566CD3" w:rsidRDefault="00BB32A2" w:rsidP="00566CD3">
      <w:pPr>
        <w:pStyle w:val="GradeMdia1-nfase21"/>
        <w:ind w:left="2160"/>
        <w:jc w:val="both"/>
      </w:pPr>
    </w:p>
    <w:p w14:paraId="1414E656" w14:textId="77777777" w:rsidR="00BB32A2" w:rsidRPr="00566CD3" w:rsidRDefault="00BB32A2" w:rsidP="00566CD3">
      <w:pPr>
        <w:pStyle w:val="GradeMdia1-nfase21"/>
        <w:numPr>
          <w:ilvl w:val="0"/>
          <w:numId w:val="52"/>
        </w:numPr>
        <w:jc w:val="both"/>
      </w:pPr>
      <w:r w:rsidRPr="00566CD3">
        <w:t xml:space="preserve">valor presente das parcelas remanescentes de pagamento de amortização do Valor Nominal </w:t>
      </w:r>
      <w:r w:rsidR="009D09A0" w:rsidRPr="00566CD3">
        <w:t>Unitário</w:t>
      </w:r>
      <w:r w:rsidRPr="00566CD3">
        <w:t xml:space="preserve"> Atualizado das Debêntures da Primeira Série e/ou das Debêntures da Segunda Série, conforme o caso, acrescido (a) dos Juros Remuneratórios da respectiva Série, utilizando como taxa de desconto a taxa interna de retorno do Tesouro IPCA+ com juros semestrais (NTN-B), com vencimento mais próximo ao prazo médio remanescente das Debêntures da Primeira Série e das Debêntures da Segunda Série, conforme o caso, calculado conforme </w:t>
      </w:r>
      <w:r w:rsidR="00B55351" w:rsidRPr="00566CD3">
        <w:t>C</w:t>
      </w:r>
      <w:r w:rsidR="00072661" w:rsidRPr="00566CD3">
        <w:t>láusula 7.3.6 da Escritura de Emissão</w:t>
      </w:r>
      <w:r w:rsidRPr="00566CD3">
        <w:t>, e (b) dos Encargos Moratórios, se houver; e (c) de quaisquer obrigações pecuniárias e outros acréscimos referentes às Debêntures.</w:t>
      </w:r>
    </w:p>
    <w:p w14:paraId="00D51E34" w14:textId="77777777" w:rsidR="00BB32A2" w:rsidRPr="00566CD3" w:rsidRDefault="00BB32A2" w:rsidP="00566CD3">
      <w:pPr>
        <w:pStyle w:val="GradeMdia1-nfase21"/>
      </w:pPr>
    </w:p>
    <w:p w14:paraId="0AF463C5" w14:textId="77777777" w:rsidR="00BB32A2" w:rsidRPr="00566CD3" w:rsidRDefault="00BB32A2" w:rsidP="00566CD3">
      <w:pPr>
        <w:pStyle w:val="GradeMdia1-nfase21"/>
        <w:numPr>
          <w:ilvl w:val="0"/>
          <w:numId w:val="51"/>
        </w:numPr>
        <w:jc w:val="both"/>
      </w:pPr>
      <w:r w:rsidRPr="00566CD3">
        <w:t>A Emissora deverá comunicar os Debenturistas e o Agente Fiduciário sobre a realização de Resgate Obrigatório por meio de comunicação individual aos Debenturistas, com cópia ao Agente Fiduciário, e/ou por meio de publicação de Aviso aos Debenturistas nos termos da Cláusula 6.20 da Escritura de Emissão, com, no mínimo 3 (três) Dias Úteis de antecedência, devendo tal anúncio descrever os termos e condições do Resgate Obrigatório, incluindo, mas sem limitação, (i) o valor do Resgate Obrigatório, observado o disposto na Cláusula 6.9.2 da Escritura de Emissão; (ii) a data efetiva para o Resgate Obrigatório e pagamento das Debêntures a serem resgatadas, que deverá ser sempre um Dia Útil, observado o disposto na Cláusula 6.9.1 da Escritura de Emissão; e (iii) demais informações necessárias para a operacionalização do resgate das Debêntures.</w:t>
      </w:r>
    </w:p>
    <w:p w14:paraId="5CA43CDB" w14:textId="77777777" w:rsidR="00BB32A2" w:rsidRPr="00566CD3" w:rsidRDefault="00BB32A2" w:rsidP="00566CD3">
      <w:pPr>
        <w:pStyle w:val="GradeMdia1-nfase21"/>
        <w:ind w:left="1800"/>
        <w:jc w:val="both"/>
      </w:pPr>
    </w:p>
    <w:p w14:paraId="23BF7D0F" w14:textId="77777777" w:rsidR="00BB32A2" w:rsidRPr="00566CD3" w:rsidRDefault="00BB32A2" w:rsidP="00566CD3">
      <w:pPr>
        <w:pStyle w:val="GradeMdia1-nfase21"/>
        <w:numPr>
          <w:ilvl w:val="0"/>
          <w:numId w:val="51"/>
        </w:numPr>
        <w:jc w:val="both"/>
      </w:pPr>
      <w:r w:rsidRPr="00566CD3">
        <w:t xml:space="preserve">A Emissora deverá comunicar ao Escriturador, ao </w:t>
      </w:r>
      <w:r w:rsidR="009D09A0" w:rsidRPr="00566CD3">
        <w:t>Agente de Liquidação</w:t>
      </w:r>
      <w:r w:rsidRPr="00566CD3">
        <w:t xml:space="preserve"> e à B3 a realização do Resgate Obrigatório com antecedência mínima de 3 (três) Dias Úteis da respectiva data do Resgate Obrigatório.</w:t>
      </w:r>
    </w:p>
    <w:p w14:paraId="042D5C01" w14:textId="77777777" w:rsidR="00BB32A2" w:rsidRPr="00566CD3" w:rsidRDefault="00BB32A2" w:rsidP="00566CD3">
      <w:pPr>
        <w:pStyle w:val="GradeMdia1-nfase21"/>
      </w:pPr>
    </w:p>
    <w:p w14:paraId="5B2F44A4" w14:textId="77777777" w:rsidR="00BB32A2" w:rsidRPr="00566CD3" w:rsidRDefault="00BB32A2" w:rsidP="00566CD3">
      <w:pPr>
        <w:pStyle w:val="GradeMdia1-nfase21"/>
        <w:numPr>
          <w:ilvl w:val="0"/>
          <w:numId w:val="51"/>
        </w:numPr>
        <w:jc w:val="both"/>
      </w:pPr>
      <w:r w:rsidRPr="00566CD3">
        <w:t>O Resgate Obrigatório será realizado de acordo com: (i) os procedimentos estabelecidos pela B3, para as Debêntures que estiverem custodiadas eletronicamente na B3; ou (ii) os procedimentos adotados pelo Escriturador, para as Debêntures que não estiverem custodiadas eletronicamente na B3.</w:t>
      </w:r>
    </w:p>
    <w:p w14:paraId="3F691CD9" w14:textId="77777777" w:rsidR="00BB32A2" w:rsidRPr="00566CD3" w:rsidRDefault="00BB32A2" w:rsidP="00566CD3">
      <w:pPr>
        <w:pStyle w:val="GradeMdia1-nfase21"/>
      </w:pPr>
    </w:p>
    <w:p w14:paraId="3E847F6F" w14:textId="77777777" w:rsidR="00BB32A2" w:rsidRPr="00566CD3" w:rsidRDefault="00BB32A2" w:rsidP="00566CD3">
      <w:pPr>
        <w:pStyle w:val="GradeMdia1-nfase21"/>
        <w:numPr>
          <w:ilvl w:val="0"/>
          <w:numId w:val="51"/>
        </w:numPr>
        <w:jc w:val="both"/>
      </w:pPr>
      <w:r w:rsidRPr="00566CD3">
        <w:t>As Debêntures resgatadas pela Emissora, conforme previsto nesta seção, serão obrigatoriamente canceladas.</w:t>
      </w:r>
    </w:p>
    <w:p w14:paraId="7C198D8D" w14:textId="77777777" w:rsidR="00BB32A2" w:rsidRPr="00566CD3" w:rsidRDefault="00BB32A2" w:rsidP="00566CD3">
      <w:pPr>
        <w:pStyle w:val="GradeMdia1-nfase21"/>
      </w:pPr>
    </w:p>
    <w:p w14:paraId="7B585E51" w14:textId="77777777" w:rsidR="00BB32A2" w:rsidRPr="00566CD3" w:rsidRDefault="00BB32A2" w:rsidP="00566CD3">
      <w:pPr>
        <w:pStyle w:val="GradeMdia1-nfase21"/>
        <w:numPr>
          <w:ilvl w:val="0"/>
          <w:numId w:val="51"/>
        </w:numPr>
        <w:jc w:val="both"/>
      </w:pPr>
      <w:r w:rsidRPr="00566CD3">
        <w:t>Não será admitido o Resgate Obrigatório parcial das Debêntures.</w:t>
      </w:r>
    </w:p>
    <w:p w14:paraId="082752A0" w14:textId="77777777" w:rsidR="006D39F3" w:rsidRPr="00D8141D" w:rsidRDefault="006D39F3" w:rsidP="009E2BE2">
      <w:pPr>
        <w:pStyle w:val="Ttulo2"/>
        <w:keepNext w:val="0"/>
        <w:keepLines w:val="0"/>
        <w:spacing w:after="140" w:line="290" w:lineRule="auto"/>
        <w:jc w:val="both"/>
        <w:rPr>
          <w:rFonts w:eastAsia="Times New Roman" w:cs="Calibri"/>
          <w:b/>
          <w:caps/>
          <w:szCs w:val="24"/>
          <w:lang w:val="pt-BR"/>
        </w:rPr>
      </w:pPr>
      <w:bookmarkStart w:id="256" w:name="_Ref434935280"/>
      <w:bookmarkStart w:id="257" w:name="_Ref434936353"/>
      <w:bookmarkStart w:id="258" w:name="_Ref434936863"/>
      <w:bookmarkStart w:id="259" w:name="_Toc87002514"/>
      <w:bookmarkStart w:id="260" w:name="_Toc90045135"/>
      <w:bookmarkEnd w:id="255"/>
    </w:p>
    <w:p w14:paraId="679967B7" w14:textId="77777777" w:rsidR="001A4D54" w:rsidRPr="00F14CD9" w:rsidRDefault="001A4D54">
      <w:pPr>
        <w:rPr>
          <w:rFonts w:eastAsia="Times New Roman" w:cs="Calibri"/>
          <w:b/>
          <w:bCs/>
          <w:iCs/>
          <w:caps/>
          <w:sz w:val="2"/>
          <w:szCs w:val="2"/>
        </w:rPr>
      </w:pPr>
      <w:r w:rsidRPr="00D8141D">
        <w:rPr>
          <w:rFonts w:eastAsia="Times New Roman" w:cs="Calibri"/>
          <w:b/>
          <w:caps/>
        </w:rPr>
        <w:br w:type="page"/>
      </w:r>
    </w:p>
    <w:p w14:paraId="33A19E1F" w14:textId="77777777" w:rsidR="00FC06D9" w:rsidRPr="00566CD3" w:rsidRDefault="00FC06D9" w:rsidP="00FC06D9">
      <w:pPr>
        <w:spacing w:before="220" w:after="220"/>
        <w:jc w:val="center"/>
      </w:pPr>
    </w:p>
    <w:p w14:paraId="5A3BD8D0" w14:textId="77777777" w:rsidR="00FC06D9" w:rsidRPr="00566CD3" w:rsidRDefault="00FC06D9" w:rsidP="00FC06D9">
      <w:pPr>
        <w:spacing w:before="220" w:after="220"/>
        <w:jc w:val="center"/>
      </w:pPr>
    </w:p>
    <w:p w14:paraId="44F97D54" w14:textId="77777777" w:rsidR="00FC06D9" w:rsidRPr="00566CD3" w:rsidRDefault="00FC06D9" w:rsidP="00FC06D9">
      <w:pPr>
        <w:spacing w:before="220" w:after="220"/>
        <w:jc w:val="center"/>
      </w:pPr>
    </w:p>
    <w:p w14:paraId="3249CA38" w14:textId="77777777" w:rsidR="00FC06D9" w:rsidRPr="00566CD3" w:rsidRDefault="00FC06D9" w:rsidP="00FC06D9">
      <w:pPr>
        <w:spacing w:before="220" w:after="220"/>
        <w:jc w:val="center"/>
      </w:pPr>
    </w:p>
    <w:p w14:paraId="53DFA3DA" w14:textId="77777777" w:rsidR="00FC06D9" w:rsidRPr="00566CD3" w:rsidRDefault="00FC06D9" w:rsidP="00FC06D9">
      <w:pPr>
        <w:spacing w:before="220" w:after="220"/>
        <w:jc w:val="center"/>
      </w:pPr>
    </w:p>
    <w:p w14:paraId="459DD669" w14:textId="77777777" w:rsidR="00FC06D9" w:rsidRPr="00566CD3" w:rsidRDefault="00FC06D9" w:rsidP="00FC06D9">
      <w:pPr>
        <w:spacing w:before="220" w:after="220"/>
        <w:jc w:val="center"/>
      </w:pPr>
    </w:p>
    <w:p w14:paraId="5337496B" w14:textId="77777777" w:rsidR="00FC06D9" w:rsidRPr="00566CD3" w:rsidRDefault="00FC06D9" w:rsidP="00FC06D9">
      <w:pPr>
        <w:spacing w:before="220" w:after="220"/>
        <w:jc w:val="center"/>
      </w:pPr>
    </w:p>
    <w:p w14:paraId="0B086E75" w14:textId="77777777" w:rsidR="00FC06D9" w:rsidRPr="00566CD3" w:rsidRDefault="00FC06D9" w:rsidP="00FC06D9">
      <w:pPr>
        <w:spacing w:before="220" w:after="220"/>
        <w:jc w:val="center"/>
      </w:pPr>
    </w:p>
    <w:p w14:paraId="5D823726" w14:textId="77777777" w:rsidR="00FC06D9" w:rsidRPr="00566CD3" w:rsidRDefault="00FC06D9" w:rsidP="00FC06D9">
      <w:pPr>
        <w:spacing w:before="220" w:after="220"/>
        <w:jc w:val="center"/>
      </w:pPr>
    </w:p>
    <w:p w14:paraId="678A92EE" w14:textId="77777777" w:rsidR="00FC06D9" w:rsidRPr="00566CD3" w:rsidRDefault="00FC06D9" w:rsidP="00FC06D9">
      <w:pPr>
        <w:spacing w:before="220" w:after="220"/>
        <w:jc w:val="center"/>
      </w:pPr>
    </w:p>
    <w:p w14:paraId="4A33A467" w14:textId="77777777" w:rsidR="00FC06D9" w:rsidRPr="00566CD3" w:rsidRDefault="00FC06D9" w:rsidP="00FC06D9">
      <w:pPr>
        <w:spacing w:before="220" w:after="220"/>
        <w:jc w:val="center"/>
      </w:pPr>
    </w:p>
    <w:p w14:paraId="3A36EB7E" w14:textId="77777777" w:rsidR="00FC06D9" w:rsidRPr="00566CD3" w:rsidRDefault="00FC06D9" w:rsidP="00FC06D9">
      <w:pPr>
        <w:spacing w:before="220" w:after="220"/>
        <w:jc w:val="center"/>
      </w:pPr>
    </w:p>
    <w:p w14:paraId="67F52613" w14:textId="77777777" w:rsidR="00FC06D9" w:rsidRPr="00566CD3" w:rsidRDefault="00FC06D9" w:rsidP="00FC06D9">
      <w:pPr>
        <w:spacing w:before="240" w:after="240"/>
        <w:jc w:val="center"/>
      </w:pPr>
      <w:r w:rsidRPr="00566CD3">
        <w:t xml:space="preserve"> (Esta página foi intencionalmente deixada em branco)</w:t>
      </w:r>
    </w:p>
    <w:p w14:paraId="032CBC0A" w14:textId="42C296EC" w:rsidR="00E8286C" w:rsidRPr="00566CD3" w:rsidRDefault="00FC06D9" w:rsidP="00FC06D9">
      <w:pPr>
        <w:pStyle w:val="Ttulo1"/>
        <w:keepNext w:val="0"/>
        <w:pageBreakBefore w:val="0"/>
        <w:widowControl w:val="0"/>
        <w:spacing w:after="140" w:line="290" w:lineRule="auto"/>
        <w:rPr>
          <w:caps w:val="0"/>
        </w:rPr>
      </w:pPr>
      <w:r w:rsidRPr="00566CD3">
        <w:br w:type="page"/>
      </w:r>
      <w:bookmarkStart w:id="261" w:name="_Toc95928451"/>
      <w:r w:rsidR="00E8286C" w:rsidRPr="00566CD3">
        <w:rPr>
          <w:caps w:val="0"/>
        </w:rPr>
        <w:lastRenderedPageBreak/>
        <w:t>VENCIMENTO ANTECIPADO</w:t>
      </w:r>
      <w:bookmarkEnd w:id="256"/>
      <w:bookmarkEnd w:id="257"/>
      <w:bookmarkEnd w:id="258"/>
      <w:bookmarkEnd w:id="259"/>
      <w:bookmarkEnd w:id="260"/>
      <w:bookmarkEnd w:id="261"/>
    </w:p>
    <w:p w14:paraId="663675F7" w14:textId="77777777" w:rsidR="00FA1D81" w:rsidRPr="00D8141D" w:rsidRDefault="00FA1D81" w:rsidP="00B143CC">
      <w:pPr>
        <w:pStyle w:val="Ttulo2"/>
        <w:keepNext w:val="0"/>
        <w:keepLines w:val="0"/>
        <w:spacing w:after="140" w:line="290" w:lineRule="auto"/>
        <w:jc w:val="both"/>
        <w:rPr>
          <w:rFonts w:cs="Calibri"/>
          <w:b/>
          <w:bCs w:val="0"/>
          <w:i/>
          <w:iCs w:val="0"/>
          <w:szCs w:val="24"/>
          <w:lang w:val="pt-BR"/>
        </w:rPr>
      </w:pPr>
      <w:bookmarkStart w:id="262" w:name="_Toc87002515"/>
      <w:bookmarkStart w:id="263" w:name="_Toc90045136"/>
      <w:bookmarkStart w:id="264" w:name="_Toc95928452"/>
      <w:bookmarkStart w:id="265" w:name="_Ref416256173"/>
      <w:bookmarkStart w:id="266" w:name="_Ref398913061"/>
      <w:r w:rsidRPr="00D8141D">
        <w:rPr>
          <w:rFonts w:cs="Calibri"/>
          <w:b/>
          <w:bCs w:val="0"/>
          <w:i/>
          <w:iCs w:val="0"/>
          <w:szCs w:val="24"/>
          <w:lang w:val="pt-BR"/>
        </w:rPr>
        <w:t>Eventos de Vencimento Antecipado Automático</w:t>
      </w:r>
      <w:bookmarkEnd w:id="262"/>
      <w:bookmarkEnd w:id="263"/>
      <w:bookmarkEnd w:id="264"/>
    </w:p>
    <w:p w14:paraId="5258769F" w14:textId="77777777" w:rsidR="00E8286C" w:rsidRPr="00D8141D" w:rsidRDefault="00B143CC" w:rsidP="009E2BE2">
      <w:pPr>
        <w:pStyle w:val="HOMEBRBodyText"/>
        <w:keepLines w:val="0"/>
        <w:widowControl w:val="0"/>
        <w:spacing w:after="140" w:line="290" w:lineRule="auto"/>
        <w:jc w:val="both"/>
        <w:rPr>
          <w:rFonts w:cs="Calibri"/>
          <w:spacing w:val="-4"/>
          <w:lang w:val="pt-BR"/>
        </w:rPr>
      </w:pPr>
      <w:r w:rsidRPr="00D8141D">
        <w:rPr>
          <w:rFonts w:cs="Calibri"/>
          <w:spacing w:val="-4"/>
          <w:lang w:val="pt-BR"/>
        </w:rPr>
        <w:t xml:space="preserve">O Agente Fiduciário deverá considerar antecipadamente e automaticamente vencidas, independente de envio de aviso, notificação ou interpelação judicial ou extrajudicial, todas as obrigações relativas às Debêntures e exigirá da Emissora o imediato pagamento do Valor Nominal </w:t>
      </w:r>
      <w:r w:rsidR="009D09A0" w:rsidRPr="006970D2">
        <w:rPr>
          <w:spacing w:val="-4"/>
          <w:lang w:val="pt-BR"/>
        </w:rPr>
        <w:t>Unitário</w:t>
      </w:r>
      <w:r w:rsidRPr="00D8141D">
        <w:rPr>
          <w:rFonts w:cs="Calibri"/>
          <w:spacing w:val="-4"/>
          <w:lang w:val="pt-BR"/>
        </w:rPr>
        <w:t xml:space="preserve"> Atualizado, acrescido do Juros Remuneratórios devidos até a data do efetivo pagamento, calculados </w:t>
      </w:r>
      <w:r w:rsidRPr="00D8141D">
        <w:rPr>
          <w:rFonts w:cs="Calibri"/>
          <w:i/>
          <w:iCs/>
          <w:spacing w:val="-4"/>
          <w:lang w:val="pt-BR"/>
        </w:rPr>
        <w:t>pro rata temporis</w:t>
      </w:r>
      <w:r w:rsidRPr="00D8141D">
        <w:rPr>
          <w:rFonts w:cs="Calibri"/>
          <w:spacing w:val="-4"/>
          <w:lang w:val="pt-BR"/>
        </w:rPr>
        <w:t>, e dos Encargos Moratórios, se houver, bem como de quaisquer outros valores eventualmente devidos pela Emissora nos termos d</w:t>
      </w:r>
      <w:r w:rsidR="009842CA" w:rsidRPr="00D8141D">
        <w:rPr>
          <w:rFonts w:cs="Calibri"/>
          <w:spacing w:val="-4"/>
          <w:lang w:val="pt-BR"/>
        </w:rPr>
        <w:t xml:space="preserve">a Cláusula </w:t>
      </w:r>
      <w:r w:rsidR="00C41C7A" w:rsidRPr="00D8141D">
        <w:rPr>
          <w:rFonts w:cs="Calibri"/>
          <w:spacing w:val="-4"/>
          <w:lang w:val="pt-BR"/>
        </w:rPr>
        <w:t>8.1.1</w:t>
      </w:r>
      <w:r w:rsidR="00BD003E" w:rsidRPr="00D8141D">
        <w:rPr>
          <w:rFonts w:cs="Calibri"/>
          <w:spacing w:val="-4"/>
          <w:lang w:val="pt-BR"/>
        </w:rPr>
        <w:t xml:space="preserve"> </w:t>
      </w:r>
      <w:r w:rsidR="009842CA" w:rsidRPr="00D8141D">
        <w:rPr>
          <w:rFonts w:cs="Calibri"/>
          <w:spacing w:val="-4"/>
          <w:lang w:val="pt-BR"/>
        </w:rPr>
        <w:t>da Escritura de Emissão e no parágrafo abaixo</w:t>
      </w:r>
      <w:r w:rsidRPr="00D8141D">
        <w:rPr>
          <w:rFonts w:cs="Calibri"/>
          <w:spacing w:val="-4"/>
          <w:lang w:val="pt-BR"/>
        </w:rPr>
        <w:t>, na data que tomar ciência da ocorrência de qualquer uma das seguintes hipóteses</w:t>
      </w:r>
      <w:r w:rsidR="009842CA" w:rsidRPr="00D8141D">
        <w:rPr>
          <w:rFonts w:cs="Calibri"/>
          <w:spacing w:val="-4"/>
          <w:lang w:val="pt-BR"/>
        </w:rPr>
        <w:t>:</w:t>
      </w:r>
      <w:bookmarkEnd w:id="265"/>
      <w:bookmarkEnd w:id="266"/>
    </w:p>
    <w:p w14:paraId="26CBA634" w14:textId="77777777" w:rsidR="00737774" w:rsidRPr="00566CD3" w:rsidRDefault="004B4C40" w:rsidP="00D45D71">
      <w:pPr>
        <w:pStyle w:val="Level4"/>
        <w:numPr>
          <w:ilvl w:val="3"/>
          <w:numId w:val="33"/>
        </w:numPr>
        <w:tabs>
          <w:tab w:val="clear" w:pos="2041"/>
          <w:tab w:val="num" w:pos="709"/>
        </w:tabs>
        <w:spacing w:after="140" w:line="290" w:lineRule="auto"/>
        <w:ind w:left="709" w:hanging="709"/>
        <w:jc w:val="both"/>
      </w:pPr>
      <w:bookmarkStart w:id="267" w:name="_Ref459799536"/>
      <w:bookmarkStart w:id="268" w:name="_Ref398888998"/>
      <w:r w:rsidRPr="00566CD3">
        <w:t>não pagamento pela Emissora de qualquer obrigação pecuniária relativa às Debêntures e/ou prevista na Escritura de Emissão, devidas aos Debenturistas na respectiva data de pagamento, não sanado no prazo de até 1 (um) Dia Útil, contado da data do descumprimento, observado que o prazo de cura indicado nesta alínea (i) não será aplicável na hipótese de haver prazo de cura específico estipulado pela cláusula descumprida</w:t>
      </w:r>
      <w:r w:rsidR="009842CA" w:rsidRPr="00566CD3">
        <w:t>;</w:t>
      </w:r>
    </w:p>
    <w:p w14:paraId="6DB3D6B4" w14:textId="77777777" w:rsidR="00737774" w:rsidRPr="00566CD3" w:rsidRDefault="004B4C40" w:rsidP="00D45D71">
      <w:pPr>
        <w:pStyle w:val="Level4"/>
        <w:numPr>
          <w:ilvl w:val="3"/>
          <w:numId w:val="33"/>
        </w:numPr>
        <w:tabs>
          <w:tab w:val="clear" w:pos="2041"/>
          <w:tab w:val="num" w:pos="709"/>
        </w:tabs>
        <w:spacing w:after="140" w:line="290" w:lineRule="auto"/>
        <w:ind w:left="709" w:hanging="709"/>
        <w:jc w:val="both"/>
      </w:pPr>
      <w:r w:rsidRPr="00566CD3">
        <w:t>dar destinação aos recursos líquidos captados por meio da emissão das Debêntures diversa da especificada na Escritura de Emissão</w:t>
      </w:r>
      <w:r w:rsidR="009842CA" w:rsidRPr="00566CD3">
        <w:t>;</w:t>
      </w:r>
      <w:r w:rsidR="009842CA" w:rsidRPr="00566CD3" w:rsidDel="009842CA">
        <w:t xml:space="preserve"> </w:t>
      </w:r>
    </w:p>
    <w:p w14:paraId="2740B1FA" w14:textId="77777777" w:rsidR="00737774" w:rsidRPr="00566CD3" w:rsidRDefault="004B4C40" w:rsidP="00D45D71">
      <w:pPr>
        <w:pStyle w:val="Level4"/>
        <w:numPr>
          <w:ilvl w:val="3"/>
          <w:numId w:val="33"/>
        </w:numPr>
        <w:tabs>
          <w:tab w:val="clear" w:pos="2041"/>
          <w:tab w:val="num" w:pos="709"/>
        </w:tabs>
        <w:spacing w:after="140" w:line="290" w:lineRule="auto"/>
        <w:ind w:left="709" w:hanging="709"/>
        <w:jc w:val="both"/>
      </w:pPr>
      <w:r w:rsidRPr="00566CD3">
        <w:t>ingresso em juízo com requerimento de recuperação judicial (ou procedimento equivalente em qualquer outra jurisdição) formulado pela Emissora ou qualquer sociedade controlada, controladora, sob controle comum e/ou qualquer Subsidiária Relevante (conforme definido abaixo), independentemente de deferimento do processamento da recuperação ou de sua concessão pelo juiz competente, e/ou submissão e/ou proposta aos Debenturistas ou a qualquer outro credor ou classe de credores de pedido de negociação de plano de recuperação extrajudicial (ou procedimento equivalente em qualquer outra jurisdição) formulado pela Emissora ou qualquer sociedade controlada, controladora, sob controle comum e/ou qualquer Subsidiária Relevante, independentemente de ter sido requerida ou obtida homologação judicial do referido plano</w:t>
      </w:r>
      <w:r w:rsidR="009842CA" w:rsidRPr="00566CD3">
        <w:t>;</w:t>
      </w:r>
    </w:p>
    <w:p w14:paraId="77F87D96" w14:textId="77777777" w:rsidR="00737774" w:rsidRPr="00566CD3" w:rsidRDefault="004B4C40" w:rsidP="00D45D71">
      <w:pPr>
        <w:pStyle w:val="Level4"/>
        <w:numPr>
          <w:ilvl w:val="3"/>
          <w:numId w:val="33"/>
        </w:numPr>
        <w:tabs>
          <w:tab w:val="num" w:pos="709"/>
        </w:tabs>
        <w:spacing w:after="140" w:line="290" w:lineRule="auto"/>
        <w:ind w:left="709" w:hanging="709"/>
        <w:jc w:val="both"/>
      </w:pPr>
      <w:r w:rsidRPr="00566CD3">
        <w:t>extinção, liquidação, declaração de insolvência, pedido de autofalência, pedido de falência formulado por terceiros, não elidido através de depósito judicial (quando aplicável) e/ou contestado no prazo legal, ou decretação de falência da Emissora ou qualquer de suas controladas, controladoras, sociedades sob controle comum e/ou Subsidiárias Relevantes</w:t>
      </w:r>
      <w:r w:rsidR="00814CFB" w:rsidRPr="00566CD3">
        <w:t xml:space="preserve">; </w:t>
      </w:r>
    </w:p>
    <w:p w14:paraId="12F6E56C" w14:textId="77777777" w:rsidR="00814CFB" w:rsidRPr="00566CD3" w:rsidRDefault="004B4C40" w:rsidP="00D45D71">
      <w:pPr>
        <w:pStyle w:val="Level4"/>
        <w:numPr>
          <w:ilvl w:val="3"/>
          <w:numId w:val="33"/>
        </w:numPr>
        <w:tabs>
          <w:tab w:val="num" w:pos="709"/>
        </w:tabs>
        <w:spacing w:after="140" w:line="290" w:lineRule="auto"/>
        <w:ind w:left="709" w:hanging="709"/>
        <w:jc w:val="both"/>
      </w:pPr>
      <w:r w:rsidRPr="00566CD3">
        <w:t xml:space="preserve">o vencimento antecipado de qualquer obrigação financeira a que estiver sujeita, na qualidade de devedora, garantidora e/ou coobrigada, a Emissora ou qualquer de suas controladas, controladoras, sociedades sob controle comum e/ou Subsidiárias Relevantes, cujo valor seja superior a R$100.000.000,00 (cem milhões de reais) atualizado pela variação </w:t>
      </w:r>
      <w:r w:rsidRPr="00566CD3">
        <w:lastRenderedPageBreak/>
        <w:t>acumulada do IGP-M a partir da Data de Integralização das Debêntures, ou seu equivalente em outras moedas</w:t>
      </w:r>
      <w:r w:rsidR="00FA1D81" w:rsidRPr="00566CD3">
        <w:t>;</w:t>
      </w:r>
    </w:p>
    <w:p w14:paraId="24CC1283" w14:textId="77777777" w:rsidR="004B4C40" w:rsidRPr="00566CD3" w:rsidRDefault="004B4C40" w:rsidP="00D45D71">
      <w:pPr>
        <w:pStyle w:val="Level4"/>
        <w:numPr>
          <w:ilvl w:val="3"/>
          <w:numId w:val="33"/>
        </w:numPr>
        <w:tabs>
          <w:tab w:val="num" w:pos="709"/>
        </w:tabs>
        <w:spacing w:after="140" w:line="290" w:lineRule="auto"/>
        <w:ind w:left="709" w:hanging="709"/>
        <w:jc w:val="both"/>
      </w:pPr>
      <w:r w:rsidRPr="00566CD3">
        <w:t>pagamento, pela Emissora, de lucros, dividendos, e/ou de juros sobre capital próprio, exceto os dividendos obrigatórios e os juros sobre capital próprio imputados aos dividendos obrigatórios nos termos da Lei das Sociedades por Ações, caso a Emissora esteja em mora ao cumprimento de quaisquer de suas obrigações pecuniárias na Escritura de Emissão</w:t>
      </w:r>
    </w:p>
    <w:p w14:paraId="43EF00DC" w14:textId="77777777" w:rsidR="00FA1D81" w:rsidRPr="00566CD3" w:rsidRDefault="004B4C40" w:rsidP="00D45D71">
      <w:pPr>
        <w:pStyle w:val="Level4"/>
        <w:numPr>
          <w:ilvl w:val="3"/>
          <w:numId w:val="33"/>
        </w:numPr>
        <w:tabs>
          <w:tab w:val="num" w:pos="709"/>
        </w:tabs>
        <w:spacing w:after="140" w:line="290" w:lineRule="auto"/>
        <w:ind w:left="709" w:hanging="709"/>
        <w:jc w:val="both"/>
      </w:pPr>
      <w:r w:rsidRPr="00566CD3">
        <w:t>redução do capital social da Emissora, sem anuência prévia e por escrito dos Debenturistas, exceto se comprovadamente para fins de absorção de prejuízos</w:t>
      </w:r>
      <w:r w:rsidR="00FA1D81" w:rsidRPr="00566CD3">
        <w:t>;</w:t>
      </w:r>
    </w:p>
    <w:p w14:paraId="4300C686" w14:textId="77777777" w:rsidR="004B4C40" w:rsidRPr="00566CD3" w:rsidRDefault="004B4C40" w:rsidP="00D45D71">
      <w:pPr>
        <w:pStyle w:val="Level4"/>
        <w:numPr>
          <w:ilvl w:val="3"/>
          <w:numId w:val="33"/>
        </w:numPr>
        <w:tabs>
          <w:tab w:val="num" w:pos="709"/>
        </w:tabs>
        <w:spacing w:after="140" w:line="290" w:lineRule="auto"/>
        <w:ind w:left="709" w:hanging="709"/>
        <w:jc w:val="both"/>
      </w:pPr>
      <w:r w:rsidRPr="00566CD3">
        <w:t>alteração ou modificação do objeto social da Emissora, de forma que descaracterize a emissão das Debêntures pela Emissora nos termos da regulamentação aplicável;</w:t>
      </w:r>
    </w:p>
    <w:p w14:paraId="0FCCCAEA" w14:textId="77777777" w:rsidR="004B4C40" w:rsidRPr="00566CD3" w:rsidRDefault="004B4C40" w:rsidP="00D45D71">
      <w:pPr>
        <w:pStyle w:val="Level4"/>
        <w:numPr>
          <w:ilvl w:val="3"/>
          <w:numId w:val="33"/>
        </w:numPr>
        <w:tabs>
          <w:tab w:val="num" w:pos="709"/>
        </w:tabs>
        <w:spacing w:after="140" w:line="290" w:lineRule="auto"/>
        <w:ind w:left="709" w:hanging="709"/>
        <w:jc w:val="both"/>
      </w:pPr>
      <w:r w:rsidRPr="00566CD3">
        <w:t>na hipótese de a Emissora ou qualquer de suas controladas, controladoras, sociedades sob controle comum e/ou Subsidiárias Relevantes, tentarem ou praticarem qualquer ato visando (i) anular, revisar, cancelar ou repudiar, por meio judicial ou extrajudicial, as Debêntures, qualquer documento relativo à Oferta ou a qualquer das suas respectivas cláusulas;</w:t>
      </w:r>
    </w:p>
    <w:p w14:paraId="3E912A61" w14:textId="77777777" w:rsidR="004B4C40" w:rsidRPr="00566CD3" w:rsidRDefault="004B4C40" w:rsidP="00D45D71">
      <w:pPr>
        <w:pStyle w:val="Level4"/>
        <w:numPr>
          <w:ilvl w:val="3"/>
          <w:numId w:val="33"/>
        </w:numPr>
        <w:tabs>
          <w:tab w:val="num" w:pos="709"/>
        </w:tabs>
        <w:spacing w:after="140" w:line="290" w:lineRule="auto"/>
        <w:ind w:left="709" w:hanging="709"/>
        <w:jc w:val="both"/>
      </w:pPr>
      <w:r w:rsidRPr="00566CD3">
        <w:t>cessão, promessa de cessão ou qualquer forma de transferência ou promessa de transferência a terceiros, no todo ou em parte, pela Emissora, de qualquer de suas obrigações nos termos da Escritura de Emissão, exceto se previamente autorizado pelos Debenturistas;</w:t>
      </w:r>
    </w:p>
    <w:p w14:paraId="6213ADFE" w14:textId="77777777" w:rsidR="004B4C40" w:rsidRPr="00566CD3" w:rsidRDefault="004B4C40" w:rsidP="00D45D71">
      <w:pPr>
        <w:pStyle w:val="Level4"/>
        <w:numPr>
          <w:ilvl w:val="3"/>
          <w:numId w:val="33"/>
        </w:numPr>
        <w:tabs>
          <w:tab w:val="num" w:pos="709"/>
        </w:tabs>
        <w:spacing w:after="140" w:line="290" w:lineRule="auto"/>
        <w:ind w:left="709" w:hanging="709"/>
        <w:jc w:val="both"/>
      </w:pPr>
      <w:r w:rsidRPr="00566CD3">
        <w:t>transformação do tipo societário da Emissora em outro tipo societário, nos termos dos artigos 220 e 222 da Lei das Sociedades por Ações;</w:t>
      </w:r>
    </w:p>
    <w:p w14:paraId="2806D28D" w14:textId="77777777" w:rsidR="004B4C40" w:rsidRPr="00566CD3" w:rsidRDefault="004B4C40" w:rsidP="00D45D71">
      <w:pPr>
        <w:pStyle w:val="Level4"/>
        <w:numPr>
          <w:ilvl w:val="3"/>
          <w:numId w:val="33"/>
        </w:numPr>
        <w:tabs>
          <w:tab w:val="num" w:pos="709"/>
        </w:tabs>
        <w:spacing w:after="140" w:line="290" w:lineRule="auto"/>
        <w:ind w:left="709" w:hanging="709"/>
        <w:jc w:val="both"/>
      </w:pPr>
      <w:r w:rsidRPr="00566CD3">
        <w:t>se a Emissora incentivar, de qualquer forma, a prostituição ou utilizar em suas atividades mão-de-obra infantil ou em condição análoga à de escravo, ou ainda que caracterizem assédio moral ou sexual;</w:t>
      </w:r>
    </w:p>
    <w:p w14:paraId="28C82691" w14:textId="77777777" w:rsidR="004B4C40" w:rsidRPr="00566CD3" w:rsidRDefault="004B4C40" w:rsidP="00D45D71">
      <w:pPr>
        <w:pStyle w:val="Level4"/>
        <w:numPr>
          <w:ilvl w:val="3"/>
          <w:numId w:val="33"/>
        </w:numPr>
        <w:tabs>
          <w:tab w:val="num" w:pos="709"/>
        </w:tabs>
        <w:spacing w:after="140" w:line="290" w:lineRule="auto"/>
        <w:ind w:left="709" w:hanging="709"/>
        <w:jc w:val="both"/>
      </w:pPr>
      <w:r w:rsidRPr="00566CD3">
        <w:t>caso a Escritura de Emissão ou qualquer documento relacionado à Oferta seja, por qualquer motivo, resilido, rescindido ou por qualquer outra forma extinto; e</w:t>
      </w:r>
    </w:p>
    <w:p w14:paraId="217C5D1F" w14:textId="77777777" w:rsidR="00FA1D81" w:rsidRPr="00566CD3" w:rsidRDefault="004B4C40" w:rsidP="00D45D71">
      <w:pPr>
        <w:pStyle w:val="Level4"/>
        <w:numPr>
          <w:ilvl w:val="3"/>
          <w:numId w:val="33"/>
        </w:numPr>
        <w:tabs>
          <w:tab w:val="num" w:pos="709"/>
        </w:tabs>
        <w:spacing w:after="140" w:line="290" w:lineRule="auto"/>
        <w:ind w:left="709" w:hanging="709"/>
        <w:jc w:val="both"/>
      </w:pPr>
      <w:r w:rsidRPr="00566CD3">
        <w:t>decretação de invalidade, nulidade, ineficácia ou inexequibilidade das Debêntures, pelo juízo competente, conforme decisão judicial ainda que em caráter liminar, que não seja revertida de forma definitiva no prazo de 10 (dez) dias corridos.</w:t>
      </w:r>
    </w:p>
    <w:p w14:paraId="3B0D3CF0" w14:textId="77777777" w:rsidR="00FA1D81" w:rsidRPr="00D8141D" w:rsidRDefault="00FA1D81" w:rsidP="00B846ED">
      <w:pPr>
        <w:pStyle w:val="Ttulo2"/>
        <w:keepNext w:val="0"/>
        <w:keepLines w:val="0"/>
        <w:spacing w:after="140" w:line="290" w:lineRule="auto"/>
        <w:jc w:val="both"/>
        <w:rPr>
          <w:rFonts w:cs="Calibri"/>
          <w:b/>
          <w:bCs w:val="0"/>
          <w:i/>
          <w:iCs w:val="0"/>
          <w:szCs w:val="24"/>
          <w:lang w:val="pt-BR"/>
        </w:rPr>
      </w:pPr>
      <w:bookmarkStart w:id="269" w:name="_Toc87002516"/>
      <w:bookmarkStart w:id="270" w:name="_Toc90045137"/>
      <w:bookmarkStart w:id="271" w:name="_Toc95928453"/>
      <w:bookmarkStart w:id="272" w:name="_Ref479844251"/>
      <w:bookmarkEnd w:id="267"/>
      <w:r w:rsidRPr="00D8141D">
        <w:rPr>
          <w:rFonts w:cs="Calibri"/>
          <w:b/>
          <w:bCs w:val="0"/>
          <w:i/>
          <w:iCs w:val="0"/>
          <w:szCs w:val="24"/>
          <w:lang w:val="pt-BR"/>
        </w:rPr>
        <w:t>Eventos de Vencimento Antecipado Não Automático</w:t>
      </w:r>
      <w:bookmarkEnd w:id="269"/>
      <w:bookmarkEnd w:id="270"/>
      <w:bookmarkEnd w:id="271"/>
    </w:p>
    <w:p w14:paraId="05E79264" w14:textId="77777777" w:rsidR="00E8286C" w:rsidRPr="00D8141D" w:rsidRDefault="00B143CC" w:rsidP="00B846ED">
      <w:pPr>
        <w:pStyle w:val="HOMEBRBodyText"/>
        <w:keepLines w:val="0"/>
        <w:widowControl w:val="0"/>
        <w:spacing w:after="140" w:line="290" w:lineRule="auto"/>
        <w:jc w:val="both"/>
        <w:rPr>
          <w:rFonts w:cs="Calibri"/>
          <w:noProof/>
          <w:lang w:val="pt-BR"/>
        </w:rPr>
      </w:pPr>
      <w:r w:rsidRPr="00D8141D">
        <w:rPr>
          <w:rFonts w:cs="Calibri"/>
          <w:lang w:val="pt-BR"/>
        </w:rPr>
        <w:t xml:space="preserve">O Agente Fiduciário deverá, no prazo de até </w:t>
      </w:r>
      <w:r w:rsidR="009F4609" w:rsidRPr="00D8141D">
        <w:rPr>
          <w:rFonts w:cs="Calibri"/>
          <w:lang w:val="pt-BR"/>
        </w:rPr>
        <w:t>2 (dois</w:t>
      </w:r>
      <w:r w:rsidRPr="00D8141D">
        <w:rPr>
          <w:rFonts w:cs="Calibri"/>
          <w:lang w:val="pt-BR"/>
        </w:rPr>
        <w:t>) Dias Úteis contados da data em que tomar ciência de qualquer um dos seguintes eventos</w:t>
      </w:r>
      <w:r w:rsidR="00B846ED" w:rsidRPr="00D8141D">
        <w:rPr>
          <w:rFonts w:cs="Calibri"/>
          <w:lang w:val="pt-BR"/>
        </w:rPr>
        <w:t xml:space="preserve"> ou dos eventos descritos na cláusula 8.1.2 da Escritura de Emissão</w:t>
      </w:r>
      <w:r w:rsidRPr="00D8141D">
        <w:rPr>
          <w:rFonts w:cs="Calibri"/>
          <w:lang w:val="pt-BR"/>
        </w:rPr>
        <w:t xml:space="preserve">, convocar Assembleia Geral de Debenturistas da Primeira Série e Assembleia </w:t>
      </w:r>
      <w:r w:rsidRPr="00D8141D">
        <w:rPr>
          <w:rFonts w:cs="Calibri"/>
          <w:lang w:val="pt-BR"/>
        </w:rPr>
        <w:lastRenderedPageBreak/>
        <w:t>Geral de Debenturistas da Segunda Série, de acordo com o item “Assembleias Gerais de Debenturistas”, para deliberar sobre a eventual declaração do vencimento antecipado das obrigações decorrentes das Debêntures</w:t>
      </w:r>
      <w:bookmarkEnd w:id="268"/>
      <w:bookmarkEnd w:id="272"/>
      <w:r w:rsidRPr="00D8141D">
        <w:rPr>
          <w:rFonts w:cs="Calibri"/>
          <w:lang w:val="pt-BR"/>
        </w:rPr>
        <w:t>:</w:t>
      </w:r>
    </w:p>
    <w:p w14:paraId="1FE7B995" w14:textId="77777777" w:rsidR="00737774" w:rsidRPr="00566CD3" w:rsidRDefault="004B4C40" w:rsidP="00D45D71">
      <w:pPr>
        <w:pStyle w:val="Level4"/>
        <w:numPr>
          <w:ilvl w:val="3"/>
          <w:numId w:val="34"/>
        </w:numPr>
        <w:tabs>
          <w:tab w:val="clear" w:pos="2041"/>
          <w:tab w:val="num" w:pos="709"/>
        </w:tabs>
        <w:spacing w:after="140" w:line="290" w:lineRule="auto"/>
        <w:ind w:left="709" w:hanging="709"/>
        <w:jc w:val="both"/>
      </w:pPr>
      <w:bookmarkStart w:id="273" w:name="_Ref459799550"/>
      <w:bookmarkStart w:id="274" w:name="_Ref391996822"/>
      <w:r w:rsidRPr="00566CD3">
        <w:t>descumprimento, pela Emissora, de qualquer obrigação não pecuniária, principal ou acessória, relacionada com a Escritura de Emissão, não sanada no prazo de cura de até 15 (quinze) Dias Úteis contados da data do respectivo descumprimento, observado que o prazo de cura indicado nesta alínea (i) não será aplicável na hipótese de haver prazo de cura específico estipulado pela cláusula descumprida</w:t>
      </w:r>
      <w:r w:rsidR="009842CA" w:rsidRPr="00566CD3">
        <w:t>;</w:t>
      </w:r>
    </w:p>
    <w:p w14:paraId="17C745E6" w14:textId="77777777" w:rsidR="00737774" w:rsidRPr="00566CD3" w:rsidRDefault="004B4C40" w:rsidP="00D45D71">
      <w:pPr>
        <w:pStyle w:val="Level4"/>
        <w:numPr>
          <w:ilvl w:val="3"/>
          <w:numId w:val="34"/>
        </w:numPr>
        <w:tabs>
          <w:tab w:val="clear" w:pos="2041"/>
          <w:tab w:val="num" w:pos="709"/>
        </w:tabs>
        <w:spacing w:after="140" w:line="290" w:lineRule="auto"/>
        <w:ind w:left="709" w:hanging="709"/>
        <w:jc w:val="both"/>
      </w:pPr>
      <w:r w:rsidRPr="00566CD3">
        <w:t>provarem-se falsas, enganosas ou materialmente incorretas ou insuficientes quaisquer das declarações, informações, documentos ou garantias prestadas ou entregues pela Emissora na Escritura de Emissão</w:t>
      </w:r>
      <w:r w:rsidR="009842CA" w:rsidRPr="00566CD3">
        <w:t>;</w:t>
      </w:r>
      <w:bookmarkEnd w:id="273"/>
    </w:p>
    <w:p w14:paraId="52D147F1" w14:textId="77777777" w:rsidR="00737774" w:rsidRPr="00566CD3" w:rsidRDefault="004B4C40" w:rsidP="00D45D71">
      <w:pPr>
        <w:pStyle w:val="Level4"/>
        <w:numPr>
          <w:ilvl w:val="3"/>
          <w:numId w:val="34"/>
        </w:numPr>
        <w:tabs>
          <w:tab w:val="clear" w:pos="2041"/>
          <w:tab w:val="num" w:pos="709"/>
        </w:tabs>
        <w:spacing w:after="140" w:line="290" w:lineRule="auto"/>
        <w:ind w:left="709" w:hanging="709"/>
        <w:jc w:val="both"/>
      </w:pPr>
      <w:r w:rsidRPr="00566CD3">
        <w:t>o descumprimento de obrigação pecuniária não sanado ou revertido dentro do respectivo prazo de cura, no âmbito de qualquer operação ou conjunto de operações realizada(s) nos mercados financeiro ou de capitais, local ou internacional, inclusive operações de securitização e/ou perante instituições financeiras, a que estiver sujeita, na qualidade de devedora, garantidora e/ou coobrigada, a Emissora ou qualquer de suas controladas, controladoras, sociedades sob controle comum e/ou Subsidiárias Relevantes, cujo valor seja superior a R$100.000.000,00 (cem milhões de reais) atualizado pela variação acumulada do IGP-M a partir da primeira Data de Integralização das Debêntures, ou seu equivalente em outras moedas</w:t>
      </w:r>
      <w:r w:rsidR="009842CA" w:rsidRPr="00566CD3">
        <w:t>;</w:t>
      </w:r>
    </w:p>
    <w:p w14:paraId="41C1DC04" w14:textId="77777777" w:rsidR="00737774" w:rsidRPr="00566CD3" w:rsidRDefault="004B4C40" w:rsidP="00D45D71">
      <w:pPr>
        <w:pStyle w:val="Level4"/>
        <w:numPr>
          <w:ilvl w:val="3"/>
          <w:numId w:val="34"/>
        </w:numPr>
        <w:tabs>
          <w:tab w:val="clear" w:pos="2041"/>
          <w:tab w:val="num" w:pos="709"/>
        </w:tabs>
        <w:spacing w:after="140" w:line="290" w:lineRule="auto"/>
        <w:ind w:left="709" w:hanging="709"/>
        <w:jc w:val="both"/>
      </w:pPr>
      <w:r w:rsidRPr="00566CD3">
        <w:t>se for protestado qualquer título contra a Emissora ou qualquer de suas controladas, controladoras, sociedades sob controle comum e/ou Subsidiárias Relevantes em valor individual ou agregado superior a R$100.000.000,00 (cem milhões de reais) atualizado pela variação acumulada do IGP-M a partir da Data de Integralização das Debêntures, ou seu equivalente em outras moedas, exceto se tiver sido validamente comprovado à Debenturista que o(s) protesto(s) foi(ram): (a) cancelado(s) ou suspenso(s) no prazo de 5 (cinco) Dias Úteis contados da data de intimação do respectivo protesto; (b) efetuado(s) por erro ou má-fé de terceiros e devidamente cancelado(s) ou suspenso(s) no prazo de 10 (dez) Dias Úteis contados da data de intimação do respectivo protesto; ou (c) garantido(s) por garantia(s) aceita(s) em juízo no prazo de 5 (cinco) Dias Úteis contados da data de intimação do respectivo protesto</w:t>
      </w:r>
      <w:r w:rsidR="002B0D15" w:rsidRPr="00566CD3">
        <w:t xml:space="preserve">; </w:t>
      </w:r>
    </w:p>
    <w:p w14:paraId="45225BC5" w14:textId="77777777" w:rsidR="00737774" w:rsidRPr="00566CD3" w:rsidRDefault="004B4C40" w:rsidP="00D45D71">
      <w:pPr>
        <w:pStyle w:val="Level4"/>
        <w:numPr>
          <w:ilvl w:val="3"/>
          <w:numId w:val="34"/>
        </w:numPr>
        <w:tabs>
          <w:tab w:val="clear" w:pos="2041"/>
          <w:tab w:val="num" w:pos="709"/>
        </w:tabs>
        <w:spacing w:after="140" w:line="290" w:lineRule="auto"/>
        <w:ind w:left="709" w:hanging="709"/>
        <w:jc w:val="both"/>
      </w:pPr>
      <w:r w:rsidRPr="00566CD3">
        <w:t>alteração ou modificação do objeto social da Emissora, de forma a alterar suas atividades principais ou a agregar a essas atividades novos negócios que possam representar desvios em relação às atividades atualmente desenvolvidas</w:t>
      </w:r>
      <w:r w:rsidR="009842CA" w:rsidRPr="00566CD3">
        <w:t>;</w:t>
      </w:r>
    </w:p>
    <w:p w14:paraId="522777FF" w14:textId="77777777" w:rsidR="00737774" w:rsidRPr="00566CD3" w:rsidRDefault="004B4C40" w:rsidP="00D45D71">
      <w:pPr>
        <w:pStyle w:val="Level4"/>
        <w:numPr>
          <w:ilvl w:val="3"/>
          <w:numId w:val="34"/>
        </w:numPr>
        <w:tabs>
          <w:tab w:val="clear" w:pos="2041"/>
          <w:tab w:val="num" w:pos="709"/>
        </w:tabs>
        <w:spacing w:after="140" w:line="290" w:lineRule="auto"/>
        <w:ind w:left="709" w:hanging="709"/>
        <w:jc w:val="both"/>
      </w:pPr>
      <w:r w:rsidRPr="00566CD3">
        <w:lastRenderedPageBreak/>
        <w:t>pedido de cancelamento ou cancelamento do registro da Emissora como companhia emissora de valores mobiliários perante a CVM</w:t>
      </w:r>
      <w:r w:rsidR="009842CA" w:rsidRPr="00566CD3">
        <w:t>;</w:t>
      </w:r>
    </w:p>
    <w:p w14:paraId="4F334CE6" w14:textId="77777777" w:rsidR="00737774" w:rsidRPr="00566CD3" w:rsidRDefault="004B4C40" w:rsidP="00D45D71">
      <w:pPr>
        <w:pStyle w:val="Level4"/>
        <w:numPr>
          <w:ilvl w:val="3"/>
          <w:numId w:val="34"/>
        </w:numPr>
        <w:tabs>
          <w:tab w:val="clear" w:pos="2041"/>
          <w:tab w:val="num" w:pos="709"/>
        </w:tabs>
        <w:spacing w:after="140" w:line="290" w:lineRule="auto"/>
        <w:ind w:left="709" w:hanging="709"/>
        <w:jc w:val="both"/>
      </w:pPr>
      <w:r w:rsidRPr="00566CD3">
        <w:t>constituição de qualquer ônus sobre ativo(s) da Emissora, exceto: (a) por ônus existentes na data de emissão das Debêntures; (b) por ônus constituídos em decorrência de renovações ou substituições ou repactuações, totais ou parciais, de dívidas existentes na data de emissão das Debêntures, desde que o ônus seja constituído exclusivamente sobre todo ou parte do ativo que garante a dívida renovada, substituída ou repactuada; (c) por ônus existentes sobre qualquer ativo de qualquer sociedade no momento em que tal sociedade se torne uma controlada; (d) por ônus constituídos para financiar todo ou parte do preço (ou custo de construção ou reforma, incluindo comissões e despesas relacionados com a operação) de aquisição, construção ou reforma, pela Emissora, após a data de emissão das Debêntures, de qualquer ativo (incluindo capital social de sociedades), desde que o ônus seja constituído exclusivamente sobre o ativo adquirido, construído ou reformado; (e) por ônus constituídos no âmbito de processos judiciais ou administrativos; (f) por ônus involuntários ou necessários constituídos por força de lei no curso normal dos negócios, incluindo usucapião e desapropriação (exceto pelo disposto no item “1” abaixo), direitos de passagem, servidões, restrições de zoneamento, ou outros ônus involuntários ou necessários que recaiam sobre bens imóveis no curso normal dos negócios, desde que (1) não afetem de forma substancial o valor ou a destinação do bem imóvel nas operações da Emissora; ou (2) seja contestado de boa-fé na esfera judicial com o objetivo de obstar a excussão ou venda do ativo; (g) por ônus constituídos em decorrência de exigência do licitante em concorrências públicas ou privadas (</w:t>
      </w:r>
      <w:r w:rsidRPr="00566CD3">
        <w:rPr>
          <w:i/>
        </w:rPr>
        <w:t>performance bond</w:t>
      </w:r>
      <w:r w:rsidRPr="00566CD3">
        <w:t xml:space="preserve">), até o limite e prazo determinados nos documentos relativos à respectiva concorrência; (h) por ônus constituídos sobre estoque ou recebíveis da Emissora para garantir linhas de crédito de capital de giro, de financiamento à importação ou de exportação, desde que o valor total da dívida garantida por tal estoque ou por tais recebíveis em determinado período de 12 (doze) meses não exceda 80% (oitenta por cento) da receita bruta de vendas no mesmo período, com base nas então mais recentes informações financeiras consolidadas da Emissora, observado que as operações de “ACC - Adiantamento sobre Contrato de Câmbio”, “ACE - Adiantamento sobre Contrato de Exportação” ou “Pré-Pagamento de Exportação” não são consideradas operações garantidas por estoque ou recebíveis para os fins do cálculo acima; (i) por ônus constituídos em garantia de obrigações financeiras com recursos provenientes, direta ou indiretamente, de entidades multilaterais de crédito ou bancos de desenvolvimento, locais ou internacionais (Banco Nacional de Desenvolvimento Econômico e Social - BNDES, BNDES Participações S.A. - BNDESPAR, FINAME, FINEM, SUDAM, SUDENE, ou entidades assemelhadas), ou de bancos comerciais privados atuando como credores, em conjunto com, ou como agentes de repasse de entidades multilaterais de crédito ou bancos de desenvolvimento, no âmbito de tais obrigações financeiras; (j) em adição às hipóteses </w:t>
      </w:r>
      <w:r w:rsidRPr="00566CD3">
        <w:lastRenderedPageBreak/>
        <w:t>previstas nas alíneas (a) a (i) acima, ônus constituídos sobre ativos que não excedam, em valor individual ou agregado, 20% (vinte por cento) dos ativos totais da Emissora, com base nas então mais recentes informações financeiras consolidadas da Emissora</w:t>
      </w:r>
      <w:r w:rsidR="009842CA" w:rsidRPr="00566CD3">
        <w:t>;</w:t>
      </w:r>
      <w:r w:rsidR="009842CA" w:rsidRPr="00566CD3" w:rsidDel="009842CA">
        <w:t xml:space="preserve"> </w:t>
      </w:r>
    </w:p>
    <w:p w14:paraId="7E19F688" w14:textId="77777777" w:rsidR="00737774" w:rsidRPr="00566CD3" w:rsidRDefault="00AD344D" w:rsidP="00D45D71">
      <w:pPr>
        <w:pStyle w:val="Level4"/>
        <w:numPr>
          <w:ilvl w:val="3"/>
          <w:numId w:val="34"/>
        </w:numPr>
        <w:tabs>
          <w:tab w:val="clear" w:pos="2041"/>
          <w:tab w:val="num" w:pos="709"/>
        </w:tabs>
        <w:spacing w:after="140" w:line="290" w:lineRule="auto"/>
        <w:ind w:left="709" w:hanging="709"/>
        <w:jc w:val="both"/>
      </w:pPr>
      <w:r w:rsidRPr="00566CD3">
        <w:t>descumprimento, pela Emissora ou qualquer de suas controladas, controladoras, sociedades sob controle comum e/ou Subsidiárias Relevantes, de qualquer (a) decisão judicial definitiva, conforme regra estabelecida no artigo 523 do Código de Processo Civil, (b) arbitral (com laudo arbitral definitivo) ou administrativa, contra as quais não caiba qualquer tipo de manifestação, conforme aplicável, no prazo estipulado na respectiva decisão, em valor individual ou agregado superior a R$100.000.000,00 (cem milhões de reais) atualizado pela variação acumulada do IGP-M a partir da Data de Integralização das Debêntures, ou seu equivalente em outras moedas</w:t>
      </w:r>
      <w:r w:rsidR="009842CA" w:rsidRPr="00566CD3">
        <w:t xml:space="preserve">; </w:t>
      </w:r>
    </w:p>
    <w:p w14:paraId="4513BD96" w14:textId="77777777" w:rsidR="00737774" w:rsidRPr="00566CD3" w:rsidRDefault="00AD344D" w:rsidP="00D45D71">
      <w:pPr>
        <w:pStyle w:val="Level4"/>
        <w:numPr>
          <w:ilvl w:val="3"/>
          <w:numId w:val="34"/>
        </w:numPr>
        <w:tabs>
          <w:tab w:val="clear" w:pos="2041"/>
          <w:tab w:val="num" w:pos="709"/>
        </w:tabs>
        <w:spacing w:after="140" w:line="290" w:lineRule="auto"/>
        <w:ind w:left="709" w:hanging="709"/>
        <w:jc w:val="both"/>
      </w:pPr>
      <w:r w:rsidRPr="00566CD3">
        <w:t>não obtenção, não renovação, cancelamento, revogação ou suspensão das autorizações, concessões, subvenções, alvarás ou licenças, necessárias para o regular exercício das atividades desenvolvidas pela Emissora ou qualquer de suas controladas que afete de forma significativa o regular exercício das atividades desenvolvidas pela Emissora ou qualquer de suas controladas</w:t>
      </w:r>
      <w:r w:rsidR="00837E32" w:rsidRPr="00566CD3">
        <w:t>;</w:t>
      </w:r>
    </w:p>
    <w:p w14:paraId="215CF8D6" w14:textId="77777777" w:rsidR="00837E32" w:rsidRPr="00566CD3" w:rsidRDefault="00AD344D" w:rsidP="00D45D71">
      <w:pPr>
        <w:pStyle w:val="Level4"/>
        <w:numPr>
          <w:ilvl w:val="3"/>
          <w:numId w:val="34"/>
        </w:numPr>
        <w:tabs>
          <w:tab w:val="clear" w:pos="2041"/>
          <w:tab w:val="num" w:pos="709"/>
        </w:tabs>
        <w:spacing w:after="140" w:line="290" w:lineRule="auto"/>
        <w:ind w:left="709" w:hanging="709"/>
        <w:jc w:val="both"/>
      </w:pPr>
      <w:r w:rsidRPr="00566CD3">
        <w:t>se ocorrer qualquer mudança, transferência ou a cessão, direta ou indireta, do controle societário/acionário, ou ainda incorporação, fusão ou cisão da Emissora ou de qualquer uma de suas controladas, de forma a alterar o controle da Emissora e/ou da respectiva controlada, sem a prévia e expressa anuência dos Debenturistas</w:t>
      </w:r>
      <w:r w:rsidR="00837E32" w:rsidRPr="00566CD3">
        <w:t>;</w:t>
      </w:r>
    </w:p>
    <w:p w14:paraId="06C2FF50" w14:textId="77777777" w:rsidR="00837E32" w:rsidRPr="00566CD3" w:rsidRDefault="00AD344D" w:rsidP="00D45D71">
      <w:pPr>
        <w:pStyle w:val="Level4"/>
        <w:numPr>
          <w:ilvl w:val="3"/>
          <w:numId w:val="34"/>
        </w:numPr>
        <w:tabs>
          <w:tab w:val="clear" w:pos="2041"/>
          <w:tab w:val="num" w:pos="709"/>
        </w:tabs>
        <w:spacing w:after="140" w:line="290" w:lineRule="auto"/>
        <w:ind w:left="709" w:hanging="709"/>
        <w:jc w:val="both"/>
      </w:pPr>
      <w:r w:rsidRPr="00566CD3">
        <w:t>desapropriação, confisco ou qualquer outro ato de qualquer Autoridade (conforme definida abaixo) que afete, de forma individual ou agregada, 20% (vinte por cento) dos ativos totais da Emissora, com base nas então mais recentes informações financeiras consolidadas da Emissora</w:t>
      </w:r>
      <w:r w:rsidR="00837E32" w:rsidRPr="00566CD3">
        <w:t>;</w:t>
      </w:r>
    </w:p>
    <w:p w14:paraId="01C9642D" w14:textId="77777777" w:rsidR="00072661" w:rsidRPr="00566CD3" w:rsidRDefault="00072661" w:rsidP="00D45D71">
      <w:pPr>
        <w:pStyle w:val="Level4"/>
        <w:numPr>
          <w:ilvl w:val="3"/>
          <w:numId w:val="34"/>
        </w:numPr>
        <w:tabs>
          <w:tab w:val="clear" w:pos="2041"/>
          <w:tab w:val="num" w:pos="709"/>
        </w:tabs>
        <w:spacing w:after="140" w:line="290" w:lineRule="auto"/>
        <w:ind w:left="709" w:hanging="709"/>
        <w:jc w:val="both"/>
      </w:pPr>
      <w:r w:rsidRPr="00566CD3">
        <w:t>alienação, venda e/ou transferência, pela Emissora e/ou por qualquer de suas Subsidiárias Relevantes, por qualquer meio, de qualquer forma gratuita ou onerosa, de todos ou substancialmente todos os seus respectivos ativos, exceto se (a) previamente autorizado em Assembleia Geral de Debenturistas; ou (b) a destinatária de tal alienação, venda ou transferência seja quaisquer de suas controladas;</w:t>
      </w:r>
    </w:p>
    <w:p w14:paraId="2614CA19" w14:textId="77777777" w:rsidR="00837E32" w:rsidRPr="00566CD3" w:rsidRDefault="00AD344D" w:rsidP="00D45D71">
      <w:pPr>
        <w:pStyle w:val="Level4"/>
        <w:numPr>
          <w:ilvl w:val="3"/>
          <w:numId w:val="34"/>
        </w:numPr>
        <w:tabs>
          <w:tab w:val="clear" w:pos="2041"/>
          <w:tab w:val="num" w:pos="709"/>
        </w:tabs>
        <w:spacing w:after="140" w:line="290" w:lineRule="auto"/>
        <w:ind w:left="709" w:hanging="709"/>
        <w:jc w:val="both"/>
      </w:pPr>
      <w:r w:rsidRPr="00566CD3">
        <w:t xml:space="preserve">inobservância das normas que lhe são aplicáveis que versam sobre atos de corrupção, lavagem de dinheiro e atos lesivos contra a administração pública, incluindo, na forma da Lei nº 12.846, de 1º de agosto de 2013, conforme alterada e do Decreto nº 8.420, de 18 de março de 2015 incluindo, da Lei nº 9.613, de 03 de março de 1998, conforme alterada, o </w:t>
      </w:r>
      <w:r w:rsidRPr="00566CD3">
        <w:rPr>
          <w:i/>
        </w:rPr>
        <w:t>U.S. Foreign Corrupt Practices Act of 1977</w:t>
      </w:r>
      <w:r w:rsidRPr="00566CD3">
        <w:t xml:space="preserve"> e do </w:t>
      </w:r>
      <w:r w:rsidRPr="00566CD3">
        <w:rPr>
          <w:i/>
        </w:rPr>
        <w:t>UK Bribery Act</w:t>
      </w:r>
      <w:r w:rsidRPr="00566CD3">
        <w:t xml:space="preserve"> de 2010, conforme aplicável (em conjunto “</w:t>
      </w:r>
      <w:r w:rsidRPr="00566CD3">
        <w:rPr>
          <w:u w:val="single"/>
        </w:rPr>
        <w:t>Leis Anticorrupção</w:t>
      </w:r>
      <w:r w:rsidRPr="00566CD3">
        <w:t>”)</w:t>
      </w:r>
      <w:r w:rsidR="00837E32" w:rsidRPr="00566CD3">
        <w:t>;</w:t>
      </w:r>
    </w:p>
    <w:p w14:paraId="0699D9F5" w14:textId="77777777" w:rsidR="00837E32" w:rsidRPr="00566CD3" w:rsidRDefault="00AD344D" w:rsidP="00D45D71">
      <w:pPr>
        <w:pStyle w:val="Level4"/>
        <w:numPr>
          <w:ilvl w:val="3"/>
          <w:numId w:val="34"/>
        </w:numPr>
        <w:tabs>
          <w:tab w:val="clear" w:pos="2041"/>
          <w:tab w:val="num" w:pos="709"/>
        </w:tabs>
        <w:spacing w:after="140" w:line="290" w:lineRule="auto"/>
        <w:ind w:left="709" w:hanging="709"/>
        <w:jc w:val="both"/>
      </w:pPr>
      <w:r w:rsidRPr="00566CD3">
        <w:lastRenderedPageBreak/>
        <w:t>ocorrer qualquer evento ou situação, provocadas por ato ou omissão de seus dirigentes e/ou acionistas, que afetem, de modo relevante e adverso, a capacidade financeira, reputacional (observado que neste caso deverá ser comprovada a instauração de uma investigação judicial ou administrativa, ou a existência de um processo judicial ou administrativo) e/ou operacional da Emissora e que impossibilitem a Emissora de honrar tempestivamente com suas obrigações, pecuniárias ou não, relativas às Debêntures, decorrentes da Escritura de Emissão (“</w:t>
      </w:r>
      <w:r w:rsidRPr="00566CD3">
        <w:rPr>
          <w:u w:val="single"/>
        </w:rPr>
        <w:t>Mudança Adversa Relevante</w:t>
      </w:r>
      <w:r w:rsidRPr="00566CD3">
        <w:t>”)</w:t>
      </w:r>
      <w:r w:rsidR="00837E32" w:rsidRPr="00566CD3">
        <w:t>; e</w:t>
      </w:r>
    </w:p>
    <w:p w14:paraId="574B5150" w14:textId="77777777" w:rsidR="00837E32" w:rsidRPr="00566CD3" w:rsidRDefault="00AD344D" w:rsidP="00D45D71">
      <w:pPr>
        <w:pStyle w:val="Level4"/>
        <w:numPr>
          <w:ilvl w:val="3"/>
          <w:numId w:val="34"/>
        </w:numPr>
        <w:tabs>
          <w:tab w:val="clear" w:pos="2041"/>
          <w:tab w:val="num" w:pos="709"/>
        </w:tabs>
        <w:spacing w:after="140" w:line="290" w:lineRule="auto"/>
        <w:ind w:left="709" w:hanging="709"/>
        <w:jc w:val="both"/>
      </w:pPr>
      <w:bookmarkStart w:id="275" w:name="_Ref61907872"/>
      <w:r w:rsidRPr="00566CD3">
        <w:t>não observância do índice financeiro calculado pela Emissora e acompanhado anualmente pelo Agente Fiduciário, relativo aos últimos 12 (doze) meses, com base nas Demonstrações Financeiras consolidadas da Emissora, observado que a primeira apuração será referente ao exercício social findo em 31 de março de 2022, inclusive, em diante, em até 5 (cinco) Dias Úteis após o recebimento das informações enviadas conforme a Escritura de Emissão, o (“</w:t>
      </w:r>
      <w:r w:rsidRPr="00566CD3">
        <w:rPr>
          <w:u w:val="single"/>
        </w:rPr>
        <w:t>Índice Financeiro</w:t>
      </w:r>
      <w:r w:rsidRPr="00566CD3">
        <w:t>”),</w:t>
      </w:r>
      <w:bookmarkEnd w:id="275"/>
      <w:r w:rsidRPr="00566CD3">
        <w:t xml:space="preserve"> decorrente do quociente da divisão da Dívida Financeira Líquida </w:t>
      </w:r>
      <w:r w:rsidR="00072661" w:rsidRPr="00566CD3">
        <w:t xml:space="preserve">Ajustada </w:t>
      </w:r>
      <w:r w:rsidRPr="00566CD3">
        <w:t>da Companhia pelo EBITDA da Companhia, que deverá ser igual ou inferior a 4,0 (quatro) vezes; e</w:t>
      </w:r>
    </w:p>
    <w:p w14:paraId="7F7B4493" w14:textId="77777777" w:rsidR="00AD344D" w:rsidRPr="00566CD3" w:rsidRDefault="00AD344D" w:rsidP="00D45D71">
      <w:pPr>
        <w:pStyle w:val="Level4"/>
        <w:numPr>
          <w:ilvl w:val="3"/>
          <w:numId w:val="34"/>
        </w:numPr>
        <w:tabs>
          <w:tab w:val="clear" w:pos="2041"/>
          <w:tab w:val="num" w:pos="709"/>
        </w:tabs>
        <w:spacing w:after="140" w:line="290" w:lineRule="auto"/>
        <w:ind w:left="709" w:hanging="709"/>
        <w:jc w:val="both"/>
      </w:pPr>
      <w:r w:rsidRPr="00566CD3">
        <w:t>inobservância da Legislação Socioambiental (conforme abaixo definida), em especial, mas não se limitando, à legislação e regulamentação relacionadas à saúde e segurança ocupacional e ao meio ambiente, exceto descumprimentos que não possam causar uma Mudança Adversa Relevante à Emissora.</w:t>
      </w:r>
    </w:p>
    <w:p w14:paraId="3702A56D" w14:textId="77777777" w:rsidR="00AD344D" w:rsidRPr="00566CD3" w:rsidRDefault="00AD344D" w:rsidP="00AD344D">
      <w:pPr>
        <w:pStyle w:val="Level4"/>
        <w:numPr>
          <w:ilvl w:val="0"/>
          <w:numId w:val="0"/>
        </w:numPr>
        <w:spacing w:after="140" w:line="290" w:lineRule="auto"/>
        <w:ind w:left="709"/>
        <w:jc w:val="both"/>
      </w:pPr>
      <w:r w:rsidRPr="00566CD3">
        <w:t>Para os fins deste Prospecto:</w:t>
      </w:r>
    </w:p>
    <w:p w14:paraId="7B912155" w14:textId="77777777" w:rsidR="00AD344D" w:rsidRPr="00566CD3" w:rsidRDefault="00AD344D" w:rsidP="00AD344D">
      <w:pPr>
        <w:pStyle w:val="Level4"/>
        <w:numPr>
          <w:ilvl w:val="0"/>
          <w:numId w:val="0"/>
        </w:numPr>
        <w:spacing w:after="140" w:line="290" w:lineRule="auto"/>
        <w:ind w:left="709"/>
        <w:jc w:val="both"/>
      </w:pPr>
      <w:r w:rsidRPr="00566CD3">
        <w:t>“</w:t>
      </w:r>
      <w:r w:rsidRPr="00566CD3">
        <w:rPr>
          <w:u w:val="single"/>
        </w:rPr>
        <w:t>Dívida Financeira</w:t>
      </w:r>
      <w:r w:rsidRPr="00566CD3">
        <w:t>” significa, com base nas demonstrações financeiras qualquer valor devido, no Brasil ou no exterior, em decorrência de (i) empréstimos, mútuos, financiamentos ou outras dívidas financeiras, incluindo arrendamento mercantil, leasing financeiro, títulos de renda fixa, debêntures, letras de câmbio, notas promissórias ou instrumentos similares; (ii) aquisições a pagar; (iii) saldo líquido das operações ativas e passivas com derivativos (sendo que o referido saldo será líquido do que já estiver classificado no passivo circulante e no passivo não circulante); (iv) cartas de crédito, avais, fianças, coobrigações e demais garantias prestadas em benefício de empresas não consolidadas nas respectivas demonstrações financeiras; e (v) obrigações decorrentes de resgate de valores mobiliários representativos do capital social e pagamento de dividendos ou lucros declarados e não pagos, se aplicável..</w:t>
      </w:r>
    </w:p>
    <w:p w14:paraId="09B8B8D0" w14:textId="77777777" w:rsidR="00AD344D" w:rsidRPr="00566CD3" w:rsidRDefault="00AD344D" w:rsidP="00AD344D">
      <w:pPr>
        <w:pStyle w:val="Level4"/>
        <w:numPr>
          <w:ilvl w:val="0"/>
          <w:numId w:val="0"/>
        </w:numPr>
        <w:spacing w:after="140" w:line="290" w:lineRule="auto"/>
        <w:ind w:left="709"/>
        <w:jc w:val="both"/>
      </w:pPr>
      <w:r w:rsidRPr="00566CD3">
        <w:t>“</w:t>
      </w:r>
      <w:r w:rsidRPr="00566CD3">
        <w:rPr>
          <w:u w:val="single"/>
        </w:rPr>
        <w:t>Dívida Financeira Líquida</w:t>
      </w:r>
      <w:r w:rsidRPr="00566CD3">
        <w:t>” significa, a Dívida Financeira, deduzida do somatório das disponibilidades, aplicações financeiras, ativos decorrentes de instrumentos financeiros (derivativos) e títulos e valores mobiliários, no Brasil ou no exterior, livres e desembaraçados de quaisquer Ônus.</w:t>
      </w:r>
    </w:p>
    <w:p w14:paraId="0E96ABA7" w14:textId="77777777" w:rsidR="00072661" w:rsidRPr="00566CD3" w:rsidRDefault="00072661" w:rsidP="00AD344D">
      <w:pPr>
        <w:pStyle w:val="Level4"/>
        <w:numPr>
          <w:ilvl w:val="0"/>
          <w:numId w:val="0"/>
        </w:numPr>
        <w:spacing w:after="140" w:line="290" w:lineRule="auto"/>
        <w:ind w:left="709"/>
        <w:jc w:val="both"/>
      </w:pPr>
      <w:r w:rsidRPr="00566CD3">
        <w:lastRenderedPageBreak/>
        <w:t>“</w:t>
      </w:r>
      <w:r w:rsidRPr="00566CD3">
        <w:rPr>
          <w:u w:val="single"/>
        </w:rPr>
        <w:t>Dívida Financeira Líquida Ajustada</w:t>
      </w:r>
      <w:r w:rsidRPr="00566CD3">
        <w:t>” significa, a Dívida Financeira Líquida, deduzidos os estoques (exceto quaisquer estoques obsoletos) informados pela Emissora em suas últimas Demonstrações Financeiras divulgadas.</w:t>
      </w:r>
    </w:p>
    <w:p w14:paraId="4543DFF6" w14:textId="77777777" w:rsidR="00AD344D" w:rsidRPr="00566CD3" w:rsidRDefault="00AD344D" w:rsidP="00AD344D">
      <w:pPr>
        <w:pStyle w:val="Level4"/>
        <w:numPr>
          <w:ilvl w:val="0"/>
          <w:numId w:val="0"/>
        </w:numPr>
        <w:spacing w:after="140" w:line="290" w:lineRule="auto"/>
        <w:ind w:left="709"/>
        <w:jc w:val="both"/>
      </w:pPr>
      <w:r w:rsidRPr="00566CD3">
        <w:t>“</w:t>
      </w:r>
      <w:r w:rsidRPr="00566CD3">
        <w:rPr>
          <w:u w:val="single"/>
        </w:rPr>
        <w:t>EBITDA</w:t>
      </w:r>
      <w:r w:rsidRPr="00566CD3">
        <w:t xml:space="preserve">” </w:t>
      </w:r>
      <w:r w:rsidR="00072661" w:rsidRPr="00566CD3">
        <w:t>significa, com base nas demonstrações financeiras consolidadas da Emissora relativas aos 12 (doze) meses imediatamente anteriores, o resultado líquido do período, acrescido dos tributos sobre o lucro, do resultado financeiro e das depreciações, amortizações e exaustões, calculado nos termos da Instrução CVM nº 527, de 4 de outubro de 2012</w:t>
      </w:r>
      <w:r w:rsidRPr="00566CD3">
        <w:t>.</w:t>
      </w:r>
    </w:p>
    <w:p w14:paraId="57F3C658" w14:textId="77777777" w:rsidR="00AD344D" w:rsidRPr="00566CD3" w:rsidRDefault="00AD344D" w:rsidP="00AD344D">
      <w:pPr>
        <w:pStyle w:val="Level4"/>
        <w:numPr>
          <w:ilvl w:val="0"/>
          <w:numId w:val="0"/>
        </w:numPr>
        <w:spacing w:after="140" w:line="290" w:lineRule="auto"/>
        <w:ind w:left="709"/>
        <w:jc w:val="both"/>
      </w:pPr>
      <w:r w:rsidRPr="00566CD3">
        <w:t>“</w:t>
      </w:r>
      <w:r w:rsidRPr="00566CD3">
        <w:rPr>
          <w:u w:val="single"/>
        </w:rPr>
        <w:t>Autoridade</w:t>
      </w:r>
      <w:r w:rsidRPr="00566CD3">
        <w:t>” significa qualquer pessoa natural, pessoa jurídica (de direito público ou privado), personificada ou não, condomínio, trust, veículo de investimento, comunhão de recursos ou qualquer organização que represente interesse comum, ou grupo de interesses comuns, inclusive previdência privada patrocinada por qualquer pessoa jurídica (“</w:t>
      </w:r>
      <w:r w:rsidRPr="00566CD3">
        <w:rPr>
          <w:u w:val="single"/>
        </w:rPr>
        <w:t>Pessoa</w:t>
      </w:r>
      <w:r w:rsidRPr="00566CD3">
        <w:t>”), entidade ou órgão:</w:t>
      </w:r>
    </w:p>
    <w:p w14:paraId="3E0CFFFA" w14:textId="77777777" w:rsidR="00AD344D" w:rsidRPr="00566CD3" w:rsidRDefault="00AD344D" w:rsidP="00D45D71">
      <w:pPr>
        <w:pStyle w:val="Level4"/>
        <w:numPr>
          <w:ilvl w:val="0"/>
          <w:numId w:val="54"/>
        </w:numPr>
        <w:spacing w:after="140" w:line="290" w:lineRule="auto"/>
        <w:jc w:val="both"/>
      </w:pPr>
      <w:r w:rsidRPr="00566CD3">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3C4E3C7" w14:textId="77777777" w:rsidR="00AD344D" w:rsidRPr="00566CD3" w:rsidRDefault="00AD344D" w:rsidP="00D45D71">
      <w:pPr>
        <w:pStyle w:val="Level4"/>
        <w:numPr>
          <w:ilvl w:val="0"/>
          <w:numId w:val="54"/>
        </w:numPr>
        <w:spacing w:after="140" w:line="290" w:lineRule="auto"/>
        <w:jc w:val="both"/>
      </w:pPr>
      <w:r w:rsidRPr="00566CD3">
        <w:t>que administre ou esteja vinculada(o) a mercados regulamentados de valores mobiliários, entidades autorreguladoras e outras Pessoas com poder normativo, fiscalizador e/ou punitivo, no Brasil e/ou no exterior, entre outros.</w:t>
      </w:r>
    </w:p>
    <w:p w14:paraId="0363077D" w14:textId="77777777" w:rsidR="00AD344D" w:rsidRPr="00566CD3" w:rsidRDefault="00AD344D" w:rsidP="00AD344D">
      <w:pPr>
        <w:pStyle w:val="Level4"/>
        <w:numPr>
          <w:ilvl w:val="0"/>
          <w:numId w:val="0"/>
        </w:numPr>
        <w:spacing w:after="140" w:line="290" w:lineRule="auto"/>
        <w:ind w:left="709"/>
        <w:jc w:val="both"/>
      </w:pPr>
      <w:r w:rsidRPr="00566CD3">
        <w:t>“</w:t>
      </w:r>
      <w:r w:rsidRPr="00566CD3">
        <w:rPr>
          <w:u w:val="single"/>
        </w:rPr>
        <w:t>Subsidiária Relevante</w:t>
      </w:r>
      <w:r w:rsidRPr="00566CD3">
        <w:t>” significa qualquer sociedade na qual a Emissora detenha participação em seu capital social, cujo faturamento anual proporcional à participação detida pela Emissora represente valor igual ou superior a 20% (vinte por cento) do faturamento anual do grupo econômico da Emissora.</w:t>
      </w:r>
    </w:p>
    <w:p w14:paraId="0922F0C0" w14:textId="77777777" w:rsidR="00E8286C" w:rsidRPr="00566CD3" w:rsidRDefault="009842CA" w:rsidP="009E2BE2">
      <w:pPr>
        <w:pStyle w:val="Level4"/>
        <w:numPr>
          <w:ilvl w:val="0"/>
          <w:numId w:val="0"/>
        </w:numPr>
        <w:spacing w:after="140" w:line="290" w:lineRule="auto"/>
        <w:jc w:val="both"/>
      </w:pPr>
      <w:r w:rsidRPr="00566CD3">
        <w:t xml:space="preserve">Os valores indicados nos Eventos de Vencimento Antecipado serão corrigidos anualmente, de acordo com a variação acumulada do IPCA, a partir da Data de Emissão, ou, na falta deste, serão aplicados os critérios indicados nas Cláusulas </w:t>
      </w:r>
      <w:r w:rsidR="00AD344D" w:rsidRPr="00566CD3">
        <w:t>8.1.1</w:t>
      </w:r>
      <w:r w:rsidRPr="00566CD3">
        <w:t xml:space="preserve"> e </w:t>
      </w:r>
      <w:r w:rsidR="00AD344D" w:rsidRPr="00566CD3">
        <w:t>8.1.2</w:t>
      </w:r>
      <w:r w:rsidRPr="00566CD3">
        <w:t xml:space="preserve"> da Escritura de Emissão e neste Prospecto.</w:t>
      </w:r>
    </w:p>
    <w:p w14:paraId="1C7A9AEB" w14:textId="73D6B8D0" w:rsidR="00E8286C" w:rsidRPr="00D8141D" w:rsidRDefault="00E8286C" w:rsidP="009E2BE2">
      <w:pPr>
        <w:pStyle w:val="HOMEBRBodyText"/>
        <w:keepLines w:val="0"/>
        <w:widowControl w:val="0"/>
        <w:spacing w:after="140" w:line="290" w:lineRule="auto"/>
        <w:jc w:val="both"/>
        <w:rPr>
          <w:rFonts w:cs="Calibri"/>
          <w:b/>
          <w:lang w:val="pt-BR"/>
        </w:rPr>
      </w:pPr>
      <w:r w:rsidRPr="00D8141D">
        <w:rPr>
          <w:rFonts w:cs="Calibri"/>
          <w:b/>
          <w:lang w:val="pt-BR"/>
        </w:rPr>
        <w:t xml:space="preserve">Para mais informações, ver seção </w:t>
      </w:r>
      <w:r w:rsidR="002A4B8C" w:rsidRPr="00D8141D">
        <w:rPr>
          <w:rFonts w:cs="Calibri"/>
          <w:b/>
          <w:lang w:val="pt-BR"/>
        </w:rPr>
        <w:t>“</w:t>
      </w:r>
      <w:r w:rsidRPr="00D8141D">
        <w:rPr>
          <w:rFonts w:cs="Calibri"/>
          <w:b/>
          <w:lang w:val="pt-BR"/>
        </w:rPr>
        <w:t>Informações Relativas à Emissão, à Oferta e às Debêntures – Características da Emissão– Atualização Monetária – Indisponibilidade do IPCA</w:t>
      </w:r>
      <w:r w:rsidR="002A4B8C" w:rsidRPr="00D8141D">
        <w:rPr>
          <w:rFonts w:cs="Calibri"/>
          <w:b/>
          <w:lang w:val="pt-BR"/>
        </w:rPr>
        <w:t>”</w:t>
      </w:r>
      <w:r w:rsidRPr="00D8141D">
        <w:rPr>
          <w:rFonts w:cs="Calibri"/>
          <w:b/>
          <w:lang w:val="pt-BR"/>
        </w:rPr>
        <w:t xml:space="preserve"> na página </w:t>
      </w:r>
      <w:r w:rsidR="00F61717" w:rsidRPr="00D8141D">
        <w:rPr>
          <w:rFonts w:cs="Calibri"/>
          <w:b/>
          <w:lang w:val="pt-BR"/>
        </w:rPr>
        <w:fldChar w:fldCharType="begin"/>
      </w:r>
      <w:r w:rsidR="00F61717" w:rsidRPr="00D8141D">
        <w:rPr>
          <w:rFonts w:cs="Calibri"/>
          <w:b/>
          <w:lang w:val="pt-BR"/>
        </w:rPr>
        <w:instrText xml:space="preserve"> PAGEREF _Ref90056994 \h </w:instrText>
      </w:r>
      <w:r w:rsidR="00F61717" w:rsidRPr="00D8141D">
        <w:rPr>
          <w:rFonts w:cs="Calibri"/>
          <w:b/>
          <w:lang w:val="pt-BR"/>
        </w:rPr>
      </w:r>
      <w:r w:rsidR="00F61717" w:rsidRPr="00D8141D">
        <w:rPr>
          <w:rFonts w:cs="Calibri"/>
          <w:b/>
          <w:lang w:val="pt-BR"/>
        </w:rPr>
        <w:fldChar w:fldCharType="separate"/>
      </w:r>
      <w:r w:rsidR="001166EA">
        <w:rPr>
          <w:rFonts w:cs="Calibri"/>
          <w:b/>
          <w:noProof/>
          <w:lang w:val="pt-BR"/>
        </w:rPr>
        <w:t>78</w:t>
      </w:r>
      <w:r w:rsidR="00F61717" w:rsidRPr="00D8141D">
        <w:rPr>
          <w:rFonts w:cs="Calibri"/>
          <w:b/>
          <w:lang w:val="pt-BR"/>
        </w:rPr>
        <w:fldChar w:fldCharType="end"/>
      </w:r>
      <w:r w:rsidR="00851875" w:rsidRPr="00D8141D">
        <w:rPr>
          <w:rFonts w:cs="Calibri"/>
          <w:b/>
          <w:lang w:val="pt-BR"/>
        </w:rPr>
        <w:t xml:space="preserve"> </w:t>
      </w:r>
      <w:r w:rsidRPr="00D8141D">
        <w:rPr>
          <w:rFonts w:cs="Calibri"/>
          <w:b/>
          <w:lang w:val="pt-BR"/>
        </w:rPr>
        <w:t>deste Prospecto.</w:t>
      </w:r>
    </w:p>
    <w:p w14:paraId="2695E072" w14:textId="77777777" w:rsidR="00444293" w:rsidRPr="00566CD3" w:rsidRDefault="00444293">
      <w:pPr>
        <w:rPr>
          <w:b/>
          <w:sz w:val="2"/>
        </w:rPr>
      </w:pPr>
      <w:bookmarkStart w:id="276" w:name="_Toc87002517"/>
      <w:bookmarkStart w:id="277" w:name="_Toc90045138"/>
      <w:bookmarkEnd w:id="274"/>
      <w:r w:rsidRPr="00566CD3">
        <w:rPr>
          <w:b/>
        </w:rPr>
        <w:br w:type="page"/>
      </w:r>
    </w:p>
    <w:p w14:paraId="3630D838" w14:textId="77777777" w:rsidR="00FF0334" w:rsidRPr="00566CD3" w:rsidRDefault="00FF0334" w:rsidP="00FF0334">
      <w:pPr>
        <w:spacing w:before="220" w:after="220"/>
        <w:jc w:val="center"/>
      </w:pPr>
    </w:p>
    <w:p w14:paraId="0AE3A81A" w14:textId="77777777" w:rsidR="00FF0334" w:rsidRPr="00566CD3" w:rsidRDefault="00FF0334" w:rsidP="00FF0334">
      <w:pPr>
        <w:spacing w:before="220" w:after="220"/>
        <w:jc w:val="center"/>
      </w:pPr>
    </w:p>
    <w:p w14:paraId="5AB4930F" w14:textId="77777777" w:rsidR="00FF0334" w:rsidRPr="00566CD3" w:rsidRDefault="00FF0334" w:rsidP="00FF0334">
      <w:pPr>
        <w:spacing w:before="220" w:after="220"/>
        <w:jc w:val="center"/>
      </w:pPr>
    </w:p>
    <w:p w14:paraId="5C7A8755" w14:textId="77777777" w:rsidR="00FF0334" w:rsidRPr="00566CD3" w:rsidRDefault="00FF0334" w:rsidP="00FF0334">
      <w:pPr>
        <w:spacing w:before="220" w:after="220"/>
        <w:jc w:val="center"/>
      </w:pPr>
    </w:p>
    <w:p w14:paraId="63A69C65" w14:textId="77777777" w:rsidR="00FF0334" w:rsidRPr="00566CD3" w:rsidRDefault="00FF0334" w:rsidP="00FF0334">
      <w:pPr>
        <w:spacing w:before="220" w:after="220"/>
        <w:jc w:val="center"/>
      </w:pPr>
    </w:p>
    <w:p w14:paraId="09CACAB4" w14:textId="77777777" w:rsidR="00FF0334" w:rsidRPr="00566CD3" w:rsidRDefault="00FF0334" w:rsidP="00FF0334">
      <w:pPr>
        <w:spacing w:before="220" w:after="220"/>
        <w:jc w:val="center"/>
      </w:pPr>
    </w:p>
    <w:p w14:paraId="43CF001B" w14:textId="77777777" w:rsidR="00FF0334" w:rsidRPr="00566CD3" w:rsidRDefault="00FF0334" w:rsidP="00FF0334">
      <w:pPr>
        <w:spacing w:before="220" w:after="220"/>
        <w:jc w:val="center"/>
      </w:pPr>
    </w:p>
    <w:p w14:paraId="7743E5CB" w14:textId="77777777" w:rsidR="00FF0334" w:rsidRPr="00566CD3" w:rsidRDefault="00FF0334" w:rsidP="00FF0334">
      <w:pPr>
        <w:spacing w:before="220" w:after="220"/>
        <w:jc w:val="center"/>
      </w:pPr>
    </w:p>
    <w:p w14:paraId="02D3A2B9" w14:textId="77777777" w:rsidR="00FF0334" w:rsidRPr="00566CD3" w:rsidRDefault="00FF0334" w:rsidP="00FF0334">
      <w:pPr>
        <w:spacing w:before="220" w:after="220"/>
        <w:jc w:val="center"/>
      </w:pPr>
    </w:p>
    <w:p w14:paraId="0C163DFF" w14:textId="77777777" w:rsidR="00FF0334" w:rsidRPr="00566CD3" w:rsidRDefault="00FF0334" w:rsidP="00FF0334">
      <w:pPr>
        <w:spacing w:before="220" w:after="220"/>
        <w:jc w:val="center"/>
      </w:pPr>
    </w:p>
    <w:p w14:paraId="4C550840" w14:textId="77777777" w:rsidR="00FF0334" w:rsidRPr="00566CD3" w:rsidRDefault="00FF0334" w:rsidP="00FF0334">
      <w:pPr>
        <w:spacing w:before="220" w:after="220"/>
        <w:jc w:val="center"/>
      </w:pPr>
    </w:p>
    <w:p w14:paraId="752A5AF3" w14:textId="77777777" w:rsidR="00FF0334" w:rsidRPr="00566CD3" w:rsidRDefault="00FF0334" w:rsidP="00FF0334">
      <w:pPr>
        <w:spacing w:before="220" w:after="220"/>
        <w:jc w:val="center"/>
      </w:pPr>
    </w:p>
    <w:p w14:paraId="74F019C8" w14:textId="77777777" w:rsidR="00FF0334" w:rsidRPr="00566CD3" w:rsidRDefault="00FF0334" w:rsidP="00FF0334">
      <w:pPr>
        <w:spacing w:before="240" w:after="240"/>
        <w:jc w:val="center"/>
      </w:pPr>
      <w:r w:rsidRPr="00566CD3">
        <w:t xml:space="preserve"> (Esta página foi intencionalmente deixada em branco)</w:t>
      </w:r>
    </w:p>
    <w:p w14:paraId="6987D4A2" w14:textId="66B665D0" w:rsidR="00FF0334" w:rsidRDefault="00FF0334" w:rsidP="00FF0334">
      <w:pPr>
        <w:spacing w:after="0" w:line="240" w:lineRule="auto"/>
        <w:rPr>
          <w:rFonts w:eastAsia="MS Mincho"/>
          <w:b/>
          <w:bCs/>
          <w:kern w:val="32"/>
          <w:szCs w:val="32"/>
        </w:rPr>
      </w:pPr>
      <w:r w:rsidRPr="00566CD3">
        <w:br w:type="page"/>
      </w:r>
    </w:p>
    <w:p w14:paraId="5ED03C4B" w14:textId="00D0E903" w:rsidR="00E8286C" w:rsidRPr="00566CD3" w:rsidRDefault="00837E32" w:rsidP="00900532">
      <w:pPr>
        <w:pStyle w:val="Ttulo1"/>
        <w:keepNext w:val="0"/>
        <w:pageBreakBefore w:val="0"/>
        <w:widowControl w:val="0"/>
        <w:spacing w:after="140" w:line="290" w:lineRule="auto"/>
        <w:rPr>
          <w:caps w:val="0"/>
        </w:rPr>
      </w:pPr>
      <w:bookmarkStart w:id="278" w:name="_Toc95928454"/>
      <w:r w:rsidRPr="00566CD3">
        <w:rPr>
          <w:caps w:val="0"/>
        </w:rPr>
        <w:lastRenderedPageBreak/>
        <w:t>DISPOSIÇÕES APLICÁVEIS EM CASO DE OCORRÊNCIA DE EVENTO DE INADIMPLEMENTO</w:t>
      </w:r>
      <w:bookmarkEnd w:id="276"/>
      <w:bookmarkEnd w:id="277"/>
      <w:bookmarkEnd w:id="278"/>
    </w:p>
    <w:p w14:paraId="75A60300" w14:textId="77777777" w:rsidR="00837E32" w:rsidRPr="00D8141D" w:rsidRDefault="00227F75" w:rsidP="00837E32">
      <w:pPr>
        <w:pStyle w:val="HOMEBRBodyText"/>
        <w:keepLines w:val="0"/>
        <w:widowControl w:val="0"/>
        <w:spacing w:after="140" w:line="290" w:lineRule="auto"/>
        <w:jc w:val="both"/>
        <w:rPr>
          <w:rFonts w:cs="Calibri"/>
          <w:spacing w:val="-4"/>
          <w:lang w:val="pt-BR"/>
        </w:rPr>
      </w:pPr>
      <w:bookmarkStart w:id="279" w:name="_Hlk87970647"/>
      <w:r w:rsidRPr="00754ACE">
        <w:rPr>
          <w:spacing w:val="-4"/>
          <w:lang w:val="pt-BR"/>
        </w:rPr>
        <w:t>Na ocorrência de qualquer Evento de Vencimento Antecipado Não-Automático, o Agente Fiduciário deverá convocar Assembleia Geral de Debenturistas, conforme previsto abaixo, no prazo de até 2 (dois) Dia</w:t>
      </w:r>
      <w:r w:rsidR="0065388F">
        <w:rPr>
          <w:spacing w:val="-4"/>
          <w:lang w:val="pt-BR"/>
        </w:rPr>
        <w:t>s</w:t>
      </w:r>
      <w:r w:rsidRPr="00754ACE">
        <w:rPr>
          <w:spacing w:val="-4"/>
          <w:lang w:val="pt-BR"/>
        </w:rPr>
        <w:t xml:space="preserve"> Út</w:t>
      </w:r>
      <w:r w:rsidR="0065388F">
        <w:rPr>
          <w:spacing w:val="-4"/>
          <w:lang w:val="pt-BR"/>
        </w:rPr>
        <w:t>eis</w:t>
      </w:r>
      <w:r w:rsidRPr="00754ACE">
        <w:rPr>
          <w:spacing w:val="-4"/>
          <w:lang w:val="pt-BR"/>
        </w:rPr>
        <w:t xml:space="preserve"> a contar da data em que tomar ciência do Evento de Vencimento Antecipado Não-Automático, para deliberar sobre a eventual não decretação de vencimento antecipado das Debêntures</w:t>
      </w:r>
      <w:bookmarkEnd w:id="279"/>
      <w:r w:rsidR="00BF7A0B" w:rsidRPr="00D8141D">
        <w:rPr>
          <w:rFonts w:cs="Calibri"/>
          <w:spacing w:val="-4"/>
          <w:lang w:val="pt-BR"/>
        </w:rPr>
        <w:t xml:space="preserve">. </w:t>
      </w:r>
    </w:p>
    <w:p w14:paraId="7CCE1D91" w14:textId="77777777" w:rsidR="00BF7A0B" w:rsidRPr="00D8141D" w:rsidRDefault="00227F75" w:rsidP="00BF7A0B">
      <w:pPr>
        <w:pStyle w:val="HOMEBRBodyText"/>
        <w:keepLines w:val="0"/>
        <w:widowControl w:val="0"/>
        <w:spacing w:after="140" w:line="290" w:lineRule="auto"/>
        <w:jc w:val="both"/>
        <w:rPr>
          <w:rFonts w:cs="Calibri"/>
          <w:lang w:val="pt-BR"/>
        </w:rPr>
      </w:pPr>
      <w:bookmarkStart w:id="280" w:name="_Hlk87970701"/>
      <w:r w:rsidRPr="0020727A">
        <w:rPr>
          <w:rStyle w:val="DeltaViewInsertion"/>
          <w:color w:val="auto"/>
          <w:u w:val="none"/>
          <w:lang w:val="pt-BR"/>
        </w:rPr>
        <w:t xml:space="preserve">Na </w:t>
      </w:r>
      <w:r w:rsidRPr="0020727A">
        <w:rPr>
          <w:lang w:val="pt-BR"/>
        </w:rPr>
        <w:t>Assembleia Geral de Debenturistas</w:t>
      </w:r>
      <w:r w:rsidRPr="0020727A">
        <w:rPr>
          <w:rStyle w:val="DeltaViewInsertion"/>
          <w:color w:val="auto"/>
          <w:u w:val="none"/>
          <w:lang w:val="pt-BR"/>
        </w:rPr>
        <w:t xml:space="preserve"> mencionada no parágrafo acima, que será instalada de acordo com os procedimentos e quórum previsto na Cláusula 11 da Escritura de Emissão e na seção abaixo, os Debenturistas, poderão optar, desde que por deliberação de Debenturistas titulares de, no mínimo, 50% (cinquenta por cento) mais uma das Debêntures em Circulação, em primeira convocação, e, no mínimo, 2</w:t>
      </w:r>
      <w:r w:rsidR="00072661" w:rsidRPr="0020727A">
        <w:rPr>
          <w:rStyle w:val="DeltaViewInsertion"/>
          <w:color w:val="auto"/>
          <w:u w:val="none"/>
          <w:lang w:val="pt-BR"/>
        </w:rPr>
        <w:t>0</w:t>
      </w:r>
      <w:r w:rsidRPr="0020727A">
        <w:rPr>
          <w:rStyle w:val="DeltaViewInsertion"/>
          <w:color w:val="auto"/>
          <w:u w:val="none"/>
          <w:lang w:val="pt-BR"/>
        </w:rPr>
        <w:t>% (vinte por cento) das Debêntures em Circulação, em segunda convocação, por não declarar antecipadamente vencidas as Debêntures</w:t>
      </w:r>
      <w:bookmarkEnd w:id="280"/>
      <w:r w:rsidR="00BF7A0B" w:rsidRPr="00D8141D">
        <w:rPr>
          <w:rFonts w:cs="Calibri"/>
          <w:lang w:val="pt-BR"/>
        </w:rPr>
        <w:t>.</w:t>
      </w:r>
    </w:p>
    <w:p w14:paraId="0A514C93" w14:textId="77777777" w:rsidR="00227F75" w:rsidRPr="00D8141D" w:rsidRDefault="00227F75" w:rsidP="00BF7A0B">
      <w:pPr>
        <w:pStyle w:val="HOMEBRBodyText"/>
        <w:keepLines w:val="0"/>
        <w:widowControl w:val="0"/>
        <w:spacing w:after="140" w:line="290" w:lineRule="auto"/>
        <w:jc w:val="both"/>
        <w:rPr>
          <w:rFonts w:cs="Calibri"/>
          <w:lang w:val="pt-BR"/>
        </w:rPr>
      </w:pPr>
      <w:r w:rsidRPr="00D8141D">
        <w:rPr>
          <w:rFonts w:cs="Calibri"/>
          <w:lang w:val="pt-BR"/>
        </w:rPr>
        <w:t>Na hipótese (i) de não instalação da Assembleia Geral de Debenturistas mencionada no parágrafo acima por falta de quórum, em primeira e segunda convocação, ou (ii) de não ser alcançado o quórum mínimo, para deliberação acerca da não declaração de vencimento antecipado, conforme estabelecido no parágrafo acima, o Agente Fiduciário deverá considerar o vencimento antecipado das Debêntures, mediante imediato envio de notificação à Emissora e à B3 neste sentido.</w:t>
      </w:r>
    </w:p>
    <w:p w14:paraId="6BF3517B" w14:textId="77777777" w:rsidR="00227F75" w:rsidRPr="00D8141D" w:rsidRDefault="00227F75" w:rsidP="00BF7A0B">
      <w:pPr>
        <w:pStyle w:val="HOMEBRBodyText"/>
        <w:keepLines w:val="0"/>
        <w:widowControl w:val="0"/>
        <w:spacing w:after="140" w:line="290" w:lineRule="auto"/>
        <w:jc w:val="both"/>
        <w:rPr>
          <w:rFonts w:cs="Calibri"/>
          <w:lang w:val="pt-BR"/>
        </w:rPr>
      </w:pPr>
      <w:r w:rsidRPr="00D8141D">
        <w:rPr>
          <w:rFonts w:cs="Calibri"/>
          <w:lang w:val="pt-BR"/>
        </w:rPr>
        <w:t>Em caso de ocorrência de um evento de vencimento antecipado automático das Debêntures e/ou declaração do vencimento antecipado das Debêntures, a Emissora obriga-se a resgatar a totalidade das Debêntures, com o seu consequente cancelamento, mediante o pagamento do Montante Devido Antecipadamente, podendo o mesmo ser realizado em até 5 (cinco) Dias Úteis contado do recebimento, pela Emissora, de comunicação por escrito a ser enviada pelo Agente Fiduciário, ainda que de forma eletrônica, no endereço constante da Cláusula 13 da Escritura de Emissão, sob pena de, em não o fazendo, ficar a Emissora obrigada, ainda, ao pagamento dos Encargos Moratórios. A B3 deverá ser imediatamente notificada quando da declaração de vencimento antecipado das Debêntures.</w:t>
      </w:r>
      <w:r w:rsidR="009D09A0" w:rsidRPr="00D8141D">
        <w:rPr>
          <w:rFonts w:cs="Calibri"/>
          <w:lang w:val="pt-BR"/>
        </w:rPr>
        <w:t xml:space="preserve"> </w:t>
      </w:r>
      <w:r w:rsidRPr="00D8141D">
        <w:rPr>
          <w:rFonts w:cs="Calibri"/>
          <w:lang w:val="pt-BR"/>
        </w:rPr>
        <w:t>Não obstante a notificação para resgate antecipado das Debêntures, a Emissora e o Agente Fiduciário deverão comunicar a B3 com antecedência mínima de 3 (três) Dias Úteis da data de realização de tal pagamento.</w:t>
      </w:r>
    </w:p>
    <w:p w14:paraId="7089D0B8" w14:textId="4731E88A" w:rsidR="00206846" w:rsidRPr="00D8141D" w:rsidRDefault="00206846" w:rsidP="00206846">
      <w:pPr>
        <w:pStyle w:val="HOMEBRBodyText"/>
        <w:keepLines w:val="0"/>
        <w:widowControl w:val="0"/>
        <w:spacing w:after="140" w:line="290" w:lineRule="auto"/>
        <w:jc w:val="both"/>
        <w:rPr>
          <w:rFonts w:cs="Calibri"/>
          <w:lang w:val="pt-BR"/>
        </w:rPr>
      </w:pPr>
      <w:r w:rsidRPr="00D8141D">
        <w:rPr>
          <w:rFonts w:cs="Calibri"/>
          <w:b/>
          <w:bCs/>
          <w:lang w:val="pt-BR"/>
        </w:rPr>
        <w:t xml:space="preserve">Para mais informações ver “Fatores de Risco Relacionados à Oferta e às Debêntures – As obrigações da Emissora constante da Escritura de Emissão estão sujeitas a hipóteses de vencimento antecipado”, na página </w:t>
      </w:r>
      <w:r w:rsidR="00AA7635" w:rsidRPr="00D8141D">
        <w:rPr>
          <w:rFonts w:cs="Calibri"/>
          <w:b/>
          <w:bCs/>
          <w:lang w:val="pt-BR"/>
        </w:rPr>
        <w:fldChar w:fldCharType="begin"/>
      </w:r>
      <w:r w:rsidR="00AA7635" w:rsidRPr="00D8141D">
        <w:rPr>
          <w:rFonts w:cs="Calibri"/>
          <w:b/>
          <w:bCs/>
          <w:lang w:val="pt-BR"/>
        </w:rPr>
        <w:instrText xml:space="preserve"> PAGEREF _Ref90050201 \h </w:instrText>
      </w:r>
      <w:r w:rsidR="00AA7635" w:rsidRPr="00D8141D">
        <w:rPr>
          <w:rFonts w:cs="Calibri"/>
          <w:b/>
          <w:bCs/>
          <w:lang w:val="pt-BR"/>
        </w:rPr>
      </w:r>
      <w:r w:rsidR="00AA7635" w:rsidRPr="00D8141D">
        <w:rPr>
          <w:rFonts w:cs="Calibri"/>
          <w:b/>
          <w:bCs/>
          <w:lang w:val="pt-BR"/>
        </w:rPr>
        <w:fldChar w:fldCharType="separate"/>
      </w:r>
      <w:r w:rsidR="001166EA">
        <w:rPr>
          <w:rFonts w:cs="Calibri"/>
          <w:b/>
          <w:bCs/>
          <w:noProof/>
          <w:lang w:val="pt-BR"/>
        </w:rPr>
        <w:t>133</w:t>
      </w:r>
      <w:r w:rsidR="00AA7635" w:rsidRPr="00D8141D">
        <w:rPr>
          <w:rFonts w:cs="Calibri"/>
          <w:b/>
          <w:bCs/>
          <w:lang w:val="pt-BR"/>
        </w:rPr>
        <w:fldChar w:fldCharType="end"/>
      </w:r>
      <w:r w:rsidRPr="00D8141D">
        <w:rPr>
          <w:rFonts w:cs="Calibri"/>
          <w:b/>
          <w:bCs/>
          <w:lang w:val="pt-BR"/>
        </w:rPr>
        <w:t xml:space="preserve"> deste Prospecto</w:t>
      </w:r>
      <w:r w:rsidRPr="00D8141D">
        <w:rPr>
          <w:rFonts w:cs="Calibri"/>
          <w:lang w:val="pt-BR"/>
        </w:rPr>
        <w:t>.</w:t>
      </w:r>
    </w:p>
    <w:p w14:paraId="4DEC08FC" w14:textId="77777777" w:rsidR="00A62A7E" w:rsidRDefault="00A62A7E">
      <w:pPr>
        <w:spacing w:after="0" w:line="240" w:lineRule="auto"/>
        <w:rPr>
          <w:rFonts w:eastAsia="MS Mincho"/>
          <w:b/>
          <w:bCs/>
          <w:kern w:val="32"/>
          <w:szCs w:val="32"/>
        </w:rPr>
      </w:pPr>
      <w:bookmarkStart w:id="281" w:name="_Toc428306467"/>
      <w:bookmarkStart w:id="282" w:name="_Ref460330166"/>
      <w:bookmarkStart w:id="283" w:name="_Toc87002518"/>
      <w:bookmarkStart w:id="284" w:name="_Ref90059824"/>
      <w:r>
        <w:rPr>
          <w:caps/>
        </w:rPr>
        <w:br w:type="page"/>
      </w:r>
    </w:p>
    <w:p w14:paraId="7219188E" w14:textId="2C40D304" w:rsidR="00E8286C" w:rsidRPr="00566CD3" w:rsidRDefault="00E8286C" w:rsidP="00900532">
      <w:pPr>
        <w:pStyle w:val="Ttulo1"/>
        <w:keepNext w:val="0"/>
        <w:pageBreakBefore w:val="0"/>
        <w:widowControl w:val="0"/>
        <w:spacing w:after="140" w:line="290" w:lineRule="auto"/>
        <w:rPr>
          <w:caps w:val="0"/>
        </w:rPr>
      </w:pPr>
      <w:bookmarkStart w:id="285" w:name="_Toc90045139"/>
      <w:bookmarkStart w:id="286" w:name="_Toc95928455"/>
      <w:r w:rsidRPr="00566CD3">
        <w:rPr>
          <w:caps w:val="0"/>
        </w:rPr>
        <w:lastRenderedPageBreak/>
        <w:t>ASSEMBLEIA GERAL DE DEBENTURISTAS</w:t>
      </w:r>
      <w:bookmarkEnd w:id="281"/>
      <w:bookmarkEnd w:id="282"/>
      <w:bookmarkEnd w:id="283"/>
      <w:bookmarkEnd w:id="284"/>
      <w:bookmarkEnd w:id="285"/>
      <w:bookmarkEnd w:id="286"/>
    </w:p>
    <w:p w14:paraId="47CFE736" w14:textId="77777777" w:rsidR="00E8286C" w:rsidRPr="00D8141D" w:rsidRDefault="007274FA" w:rsidP="009E2BE2">
      <w:pPr>
        <w:pStyle w:val="HOMEBRBodyText"/>
        <w:keepLines w:val="0"/>
        <w:widowControl w:val="0"/>
        <w:spacing w:after="140" w:line="290" w:lineRule="auto"/>
        <w:jc w:val="both"/>
        <w:rPr>
          <w:rFonts w:cs="Calibri"/>
          <w:lang w:val="pt-BR"/>
        </w:rPr>
      </w:pPr>
      <w:r w:rsidRPr="0020727A">
        <w:rPr>
          <w:lang w:val="pt-BR"/>
        </w:rPr>
        <w:t>Os Debenturistas poderão, a qualquer tempo, reunir-se em assembleia geral, de acordo com o disposto no artigo 71 da Lei das Sociedades por Ações, a fim de deliberarem sobre matéria de interesse da comunhão dos Debenturistas, observado que</w:t>
      </w:r>
      <w:r w:rsidR="00206846" w:rsidRPr="00D8141D">
        <w:rPr>
          <w:rFonts w:cs="Calibri"/>
          <w:lang w:val="pt-BR"/>
        </w:rPr>
        <w:t>:</w:t>
      </w:r>
    </w:p>
    <w:p w14:paraId="0DE5E48D" w14:textId="77777777" w:rsidR="00206846" w:rsidRPr="00D8141D" w:rsidRDefault="007274FA" w:rsidP="00D45D71">
      <w:pPr>
        <w:pStyle w:val="HOMEBRBodyText"/>
        <w:keepLines w:val="0"/>
        <w:widowControl w:val="0"/>
        <w:numPr>
          <w:ilvl w:val="0"/>
          <w:numId w:val="41"/>
        </w:numPr>
        <w:spacing w:after="140" w:line="290" w:lineRule="auto"/>
        <w:jc w:val="both"/>
        <w:rPr>
          <w:rFonts w:cs="Calibri"/>
          <w:lang w:val="pt-BR"/>
        </w:rPr>
      </w:pPr>
      <w:r w:rsidRPr="0020727A">
        <w:rPr>
          <w:lang w:val="pt-BR"/>
        </w:rPr>
        <w:t>quando o assunto a ser deliberado for comum a todas as Séries de Debêntures, os Debenturistas de todas as Séries deverão, a qualquer tempo, reunir-se em Assembleia Geral de Debenturistas conjunta, de acordo com o disposto no artigo 71 da Lei das Sociedades por Ações, a fim de deliberarem sobre matéria de interesse da comunhão dos Debenturistas de todas as Séries</w:t>
      </w:r>
      <w:r w:rsidR="00206846" w:rsidRPr="00D8141D">
        <w:rPr>
          <w:rFonts w:cs="Calibri"/>
          <w:lang w:val="pt-BR"/>
        </w:rPr>
        <w:t xml:space="preserve">; e </w:t>
      </w:r>
    </w:p>
    <w:p w14:paraId="477DB835" w14:textId="77777777" w:rsidR="00206846" w:rsidRPr="00D8141D" w:rsidRDefault="007274FA" w:rsidP="00D45D71">
      <w:pPr>
        <w:pStyle w:val="HOMEBRBodyText"/>
        <w:keepLines w:val="0"/>
        <w:widowControl w:val="0"/>
        <w:numPr>
          <w:ilvl w:val="0"/>
          <w:numId w:val="41"/>
        </w:numPr>
        <w:spacing w:after="140" w:line="290" w:lineRule="auto"/>
        <w:jc w:val="both"/>
        <w:rPr>
          <w:rFonts w:cs="Calibri"/>
          <w:lang w:val="pt-BR"/>
        </w:rPr>
      </w:pPr>
      <w:r w:rsidRPr="0020727A">
        <w:rPr>
          <w:lang w:val="pt-BR"/>
        </w:rPr>
        <w:t>quando o assunto a ser deliberado for específico a uma determinada Série, conforme previsto no parágrafo abaixo, os Debenturistas da respectiva Série poderão, a qualquer tempo, de acordo com o disposto no artigo 71 da Lei das Sociedades por Ações, reunir-se em assembleia geral, que se realizará em separado, computando-se em separado os respectivos quóruns de convocação, instalação e deliberação, a fim de deliberarem sobre matéria de interesse da comunhão dos Debenturistas da respectiva Série</w:t>
      </w:r>
      <w:r w:rsidR="00206846" w:rsidRPr="0020727A">
        <w:rPr>
          <w:lang w:val="pt-BR"/>
        </w:rPr>
        <w:t>.</w:t>
      </w:r>
    </w:p>
    <w:p w14:paraId="3D10B1EE" w14:textId="77777777" w:rsidR="00E8286C" w:rsidRPr="00D8141D" w:rsidRDefault="007274FA" w:rsidP="009E2BE2">
      <w:pPr>
        <w:pStyle w:val="HOMEBRBodyText"/>
        <w:keepLines w:val="0"/>
        <w:widowControl w:val="0"/>
        <w:spacing w:after="140" w:line="290" w:lineRule="auto"/>
        <w:jc w:val="both"/>
        <w:rPr>
          <w:rFonts w:cs="Calibri"/>
          <w:szCs w:val="36"/>
          <w:lang w:val="pt-BR"/>
        </w:rPr>
      </w:pPr>
      <w:r w:rsidRPr="00D8141D">
        <w:rPr>
          <w:rFonts w:cs="Calibri"/>
          <w:szCs w:val="36"/>
          <w:lang w:val="pt-BR"/>
        </w:rPr>
        <w:t xml:space="preserve">Para os fins deste Prospecto, o assunto a ser deliberado será considerado específico a determinada Série nos seguintes casos: (i) na hipótese </w:t>
      </w:r>
      <w:r w:rsidR="0099236E" w:rsidRPr="00D8141D">
        <w:rPr>
          <w:rFonts w:cs="Calibri"/>
          <w:szCs w:val="36"/>
          <w:lang w:val="pt-BR"/>
        </w:rPr>
        <w:t xml:space="preserve">de indisponibilidade do IPCA, conforme previsto </w:t>
      </w:r>
      <w:r w:rsidRPr="00D8141D">
        <w:rPr>
          <w:rFonts w:cs="Calibri"/>
          <w:szCs w:val="36"/>
          <w:lang w:val="pt-BR"/>
        </w:rPr>
        <w:t>na Cláusula 6.9.4 da Escritura de Emissão; (ii) alteração da Remuneração da respectiva Série; (iii) alteração de quaisquer datas de pagamento de quaisquer valores previstos na Escritura de Emissão relativos à respectiva Série; (iv) alteração de quaisquer disposições relativas a Amortização Extraordinária Facultativa, Oferta de Resgate Antecipado Facultativo, Aquisição Facultativa e Resgate Obrigatório da respectiva Série, incluindo oferta de resgate antecipado; (v) renúncia ou perdão temporário com relação a quaisquer obrigações previstas na Escritura de Emissão relativas à respectiva Série; (vi) alteração do prazo de vigência das Debêntures de cada uma das Séries; (vii) criação de evento de repactuação para a respectiva Série; e (viii) alteração de qualquer dos quóruns previstos na Escritura de Emissão, com relação à respectiva Série.</w:t>
      </w:r>
    </w:p>
    <w:p w14:paraId="4486C7C9" w14:textId="77777777" w:rsidR="007274FA" w:rsidRPr="00D8141D" w:rsidRDefault="007274FA" w:rsidP="009D3810">
      <w:pPr>
        <w:pStyle w:val="HOMEBRBodyText"/>
        <w:keepLines w:val="0"/>
        <w:widowControl w:val="0"/>
        <w:spacing w:after="140"/>
        <w:jc w:val="both"/>
        <w:rPr>
          <w:rFonts w:cs="Calibri"/>
          <w:lang w:val="pt-BR"/>
        </w:rPr>
      </w:pPr>
      <w:bookmarkStart w:id="287" w:name="_Ref54678329"/>
      <w:r w:rsidRPr="0020727A">
        <w:rPr>
          <w:lang w:val="pt-BR"/>
        </w:rPr>
        <w:t>A Assembleia Geral de Debenturistas poderá ser convocada pelo Agente Fiduciário, pela Emissora ou por titulares das Debêntures que representem, no mínimo, 10% (dez por cento) das Debêntures em Circulação ou pela CVM.</w:t>
      </w:r>
      <w:bookmarkEnd w:id="287"/>
    </w:p>
    <w:p w14:paraId="01AB3913" w14:textId="77777777" w:rsidR="007274FA" w:rsidRPr="0020727A" w:rsidRDefault="007274FA" w:rsidP="009E2BE2">
      <w:pPr>
        <w:pStyle w:val="HOMEBRBodyText"/>
        <w:keepLines w:val="0"/>
        <w:widowControl w:val="0"/>
        <w:spacing w:after="140" w:line="290" w:lineRule="auto"/>
        <w:jc w:val="both"/>
        <w:rPr>
          <w:lang w:val="pt-BR"/>
        </w:rPr>
      </w:pPr>
      <w:r w:rsidRPr="0020727A">
        <w:rPr>
          <w:lang w:val="pt-BR"/>
        </w:rPr>
        <w:t>Aplicar-se-á à Assembleia Geral de Debenturistas, no que couber, o disposto na Lei das Sociedades por Ações a respeito das assembleias gerais de acionistas.</w:t>
      </w:r>
    </w:p>
    <w:p w14:paraId="20B93338"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As Assembleias Gerais de Debenturistas serão convocadas, em primeira convocação, com antecedência mínima de 30 (trinta) dias corridos.</w:t>
      </w:r>
    </w:p>
    <w:p w14:paraId="1542631F" w14:textId="77777777" w:rsidR="0093266F" w:rsidRDefault="0093266F">
      <w:pPr>
        <w:spacing w:after="0" w:line="240" w:lineRule="auto"/>
        <w:rPr>
          <w:rFonts w:eastAsia="MS Mincho"/>
        </w:rPr>
      </w:pPr>
      <w:r>
        <w:br w:type="page"/>
      </w:r>
    </w:p>
    <w:p w14:paraId="7BEEB05A" w14:textId="221831FC" w:rsidR="007274FA" w:rsidRPr="0020727A" w:rsidRDefault="007274FA" w:rsidP="009D3810">
      <w:pPr>
        <w:pStyle w:val="HOMEBRBodyText"/>
        <w:keepLines w:val="0"/>
        <w:widowControl w:val="0"/>
        <w:spacing w:after="140" w:line="312" w:lineRule="auto"/>
        <w:jc w:val="both"/>
        <w:rPr>
          <w:lang w:val="pt-BR"/>
        </w:rPr>
      </w:pPr>
      <w:r w:rsidRPr="0020727A">
        <w:rPr>
          <w:lang w:val="pt-BR"/>
        </w:rPr>
        <w:lastRenderedPageBreak/>
        <w:t>A Assembleia Geral de Debenturistas, em segunda convocação, somente poderá ser convocada com antecedência mínima de 8 (oito) dias corridos.</w:t>
      </w:r>
    </w:p>
    <w:p w14:paraId="0EF068B4"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 xml:space="preserve">A Assembleia Geral de Debenturistas instalar-se-á, em primeira convocação, com a presença de titulares de Debêntures que representem, no mínimo, 50% (cinquenta por cento) mais 1 (uma) das Debêntures em Circulação e, em segunda convocação, com </w:t>
      </w:r>
      <w:r w:rsidR="0099236E" w:rsidRPr="0020727A">
        <w:rPr>
          <w:lang w:val="pt-BR"/>
        </w:rPr>
        <w:t>qualquer quórum</w:t>
      </w:r>
      <w:r w:rsidRPr="0020727A">
        <w:rPr>
          <w:lang w:val="pt-BR"/>
        </w:rPr>
        <w:t>.</w:t>
      </w:r>
    </w:p>
    <w:p w14:paraId="37ED8C8B"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Cada Debênture conferirá a seu titular o direito a um voto nas Assembleias Gerais de Debenturistas, sendo admitida a constituição de mandatários, titulares de Debêntures ou não.</w:t>
      </w:r>
    </w:p>
    <w:p w14:paraId="2F359174"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Para efeito da constituição do quórum de instalação e/ou deliberação a que se refere esta seção, considera-se “</w:t>
      </w:r>
      <w:r w:rsidRPr="0020727A">
        <w:rPr>
          <w:u w:val="single"/>
          <w:lang w:val="pt-BR"/>
        </w:rPr>
        <w:t>Debêntures em Circulação</w:t>
      </w:r>
      <w:r w:rsidRPr="0020727A">
        <w:rPr>
          <w:lang w:val="pt-BR"/>
        </w:rPr>
        <w:t>”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3519EAA1"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E4AF403"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O Agente Fiduciário deverá comparecer à Assembleia Geral de Debenturistas e prestar aos Debenturistas as informações que lhe forem solicitadas.</w:t>
      </w:r>
    </w:p>
    <w:p w14:paraId="5C7FE28B"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A presidência da Assembleia Geral de Debenturistas caberá ao debenturista eleito pelos demais Debenturistas ou àquele que for designado pela CVM.</w:t>
      </w:r>
    </w:p>
    <w:p w14:paraId="3122C4F7" w14:textId="77777777" w:rsidR="007274FA" w:rsidRPr="0020727A" w:rsidRDefault="007274FA" w:rsidP="00FF0334">
      <w:pPr>
        <w:pStyle w:val="HOMEBRBodyText"/>
        <w:keepLines w:val="0"/>
        <w:widowControl w:val="0"/>
        <w:spacing w:after="140" w:line="290" w:lineRule="exact"/>
        <w:jc w:val="both"/>
        <w:rPr>
          <w:lang w:val="pt-BR"/>
        </w:rPr>
      </w:pPr>
      <w:r w:rsidRPr="0020727A">
        <w:rPr>
          <w:lang w:val="pt-BR"/>
        </w:rPr>
        <w:t xml:space="preserve">Exceto conforme estabelecido nas Cláusulas 8.1.4 e 11.13 da Escritura de Emissão, as deliberações, em primeira convocação, serão tomadas por Debenturistas que representem, pelo menos, </w:t>
      </w:r>
      <w:r w:rsidRPr="0020727A">
        <w:rPr>
          <w:b/>
          <w:bCs/>
          <w:lang w:val="pt-BR"/>
        </w:rPr>
        <w:t>(a)</w:t>
      </w:r>
      <w:r w:rsidRPr="0020727A">
        <w:rPr>
          <w:lang w:val="pt-BR"/>
        </w:rPr>
        <w:t xml:space="preserve"> 50% (cinquenta por cento) mais 1 (uma) das Debêntures da Primeira Série em Circulação, no caso das Debêntures da Primeira Série; e </w:t>
      </w:r>
      <w:r w:rsidRPr="0020727A">
        <w:rPr>
          <w:b/>
          <w:bCs/>
          <w:lang w:val="pt-BR"/>
        </w:rPr>
        <w:t>(b)</w:t>
      </w:r>
      <w:r w:rsidRPr="0020727A">
        <w:rPr>
          <w:lang w:val="pt-BR"/>
        </w:rPr>
        <w:t xml:space="preserve"> 50% (cinquenta por cento) mais 1 (uma) das Debêntures da Segunda Série em Circulação, no caso das Debêntures da Segunda Série. Em segunda convocação, as deliberações serão tomadas por, pelo menos, </w:t>
      </w:r>
      <w:r w:rsidRPr="0020727A">
        <w:rPr>
          <w:b/>
          <w:bCs/>
          <w:lang w:val="pt-BR"/>
        </w:rPr>
        <w:t>(a)</w:t>
      </w:r>
      <w:r w:rsidRPr="0020727A">
        <w:rPr>
          <w:lang w:val="pt-BR"/>
        </w:rPr>
        <w:t xml:space="preserve"> a maioria simples dos Debenturistas presentes detentores das Debêntures da Primeira Série, no caso das Debêntures da Primeira Série</w:t>
      </w:r>
      <w:r w:rsidR="0099236E" w:rsidRPr="0020727A">
        <w:rPr>
          <w:lang w:val="pt-BR"/>
        </w:rPr>
        <w:t>, desde que representem, no mínimo, 10% (dez por cento) das Debêntures em Circulação</w:t>
      </w:r>
      <w:r w:rsidRPr="0020727A">
        <w:rPr>
          <w:lang w:val="pt-BR"/>
        </w:rPr>
        <w:t xml:space="preserve">; e </w:t>
      </w:r>
      <w:r w:rsidRPr="0020727A">
        <w:rPr>
          <w:b/>
          <w:bCs/>
          <w:lang w:val="pt-BR"/>
        </w:rPr>
        <w:t>(b)</w:t>
      </w:r>
      <w:r w:rsidRPr="0020727A">
        <w:rPr>
          <w:lang w:val="pt-BR"/>
        </w:rPr>
        <w:t xml:space="preserve"> a maioria simples dos Debenturistas presentes detentores das Debêntures da Segunda Série, no caso das Debêntures da Segunda Série, </w:t>
      </w:r>
      <w:r w:rsidR="0099236E" w:rsidRPr="0020727A">
        <w:rPr>
          <w:lang w:val="pt-BR"/>
        </w:rPr>
        <w:t xml:space="preserve">desde que representem, no mínimo, 10% (dez por cento) das Debêntures em Circulação, </w:t>
      </w:r>
      <w:r w:rsidRPr="0020727A">
        <w:rPr>
          <w:lang w:val="pt-BR"/>
        </w:rPr>
        <w:t>inclusive com relação a alterações nas cláusulas ou condições previstas na Escritura de Emissão que não apresentem outro quórum específico.</w:t>
      </w:r>
    </w:p>
    <w:p w14:paraId="1DEB02BC"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lastRenderedPageBreak/>
        <w:t xml:space="preserve">As seguintes alterações relativas às características das Debêntures, que poderão ser propostas exclusivamente pela Emissora, dependerão da aprovação por Debenturistas que representem, pelo menos, (a) 75% (setenta e cinco por cento) das Debêntures da Primeira Série em Circulação, seja em primeira convocação da Assembleia Geral de Debenturistas ou em segunda convocação subsequente; e (b) 75% (setenta e cinco por cento) das Debêntures da Segunda Série em Circulação, seja em primeira convocação da Assembleia Geral de Debenturistas ou em segunda convocação subsequente: (i) as disposições desta cláusula; (ii) qualquer dos quóruns previstos na Escritura de Emissão; (iii) a Remuneração e/ou as disposições a ela relativas constantes da Escritura de Emissão; (iv) quaisquer das datas de pagamento de quaisquer valores previstos na Escritura de Emissão; (v) o prazo de vencimento das Debêntures; (vi) a espécie das Debêntures; (vii) as disposições relativas ao Resgate Obrigatório e/ou à Oferta de Resgate Antecipado; (viii) os valores e datas de amortização do principal das Debêntures; (ix) de qualquer dos Eventos de Vencimento Antecipado estabelecidos na Cláusula 8 da Escritura de Emissão (este item não inclui eventual solicitação de </w:t>
      </w:r>
      <w:r w:rsidRPr="0020727A">
        <w:rPr>
          <w:i/>
          <w:iCs/>
          <w:lang w:val="pt-BR"/>
        </w:rPr>
        <w:t>waiver</w:t>
      </w:r>
      <w:r w:rsidRPr="0020727A">
        <w:rPr>
          <w:lang w:val="pt-BR"/>
        </w:rPr>
        <w:t xml:space="preserve"> prévio aos Debenturistas, que deverá observar o quórum geral previsto na Cláusula 11.12 da Escritura de Emissão); ou (x) alteração das obrigações adicionais da Emissora estabelecidas na Cláusula 9 da Escritura de Emissão.</w:t>
      </w:r>
    </w:p>
    <w:p w14:paraId="5BD4B951"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 xml:space="preserve">As deliberações tomadas pelos Debenturistas em Assembleias Gerais de Debenturistas, no âmbito de sua competência legal, observados os </w:t>
      </w:r>
      <w:r w:rsidRPr="0020727A">
        <w:rPr>
          <w:i/>
          <w:lang w:val="pt-BR"/>
        </w:rPr>
        <w:t>quóruns</w:t>
      </w:r>
      <w:r w:rsidRPr="0020727A">
        <w:rPr>
          <w:lang w:val="pt-BR"/>
        </w:rPr>
        <w:t xml:space="preserve"> estabelecidos na Escritura de Emissão, serão existentes, válidas e eficazes perante a Emissora e obrigarão a todos os titulares de Debêntures, independentemente de terem comparecido à Assembleia Geral de Debenturistas ou do voto proferido nas Assembleias Gerais de Debenturistas.</w:t>
      </w:r>
    </w:p>
    <w:p w14:paraId="0AD63C29" w14:textId="77777777" w:rsidR="007274FA" w:rsidRPr="0020727A" w:rsidRDefault="007274FA" w:rsidP="009D3810">
      <w:pPr>
        <w:pStyle w:val="HOMEBRBodyText"/>
        <w:keepLines w:val="0"/>
        <w:widowControl w:val="0"/>
        <w:spacing w:after="140" w:line="312" w:lineRule="auto"/>
        <w:jc w:val="both"/>
        <w:rPr>
          <w:lang w:val="pt-BR"/>
        </w:rPr>
      </w:pPr>
      <w:r w:rsidRPr="0020727A">
        <w:rPr>
          <w:lang w:val="pt-BR"/>
        </w:rPr>
        <w:t>Independentemente das formalidades previstas na Lei das Sociedades por Ações e na Escritura de Emissão serão consideradas regulares as deliberações tomadas pelos Debenturistas em Assembleia Geral de Debenturistas a que comparecerem os titulares de todas as Debêntures em Circulação.</w:t>
      </w:r>
    </w:p>
    <w:p w14:paraId="57CE9B4E" w14:textId="77777777" w:rsidR="000C119D" w:rsidRDefault="007274FA" w:rsidP="009D3810">
      <w:pPr>
        <w:pStyle w:val="HOMEBRBodyText"/>
        <w:keepLines w:val="0"/>
        <w:widowControl w:val="0"/>
        <w:spacing w:after="140" w:line="312" w:lineRule="auto"/>
        <w:jc w:val="both"/>
        <w:rPr>
          <w:lang w:val="pt-BR"/>
        </w:rPr>
      </w:pPr>
      <w:r w:rsidRPr="0020727A">
        <w:rPr>
          <w:lang w:val="pt-BR"/>
        </w:rPr>
        <w:t>Sem prejuízo das demais disposições da Escritura de Emissão e deste Prospecto, as Assembleias Gerais de Debenturistas poderão ser realizadas de forma exclusivamente ou parcialmente digital, observadas as disposições da Instrução da CVM n.º 625, de 14 de maio de 2020, conforme alterada (“</w:t>
      </w:r>
      <w:r w:rsidRPr="0020727A">
        <w:rPr>
          <w:u w:val="single"/>
          <w:lang w:val="pt-BR"/>
        </w:rPr>
        <w:t>Instrução CVM 625</w:t>
      </w:r>
      <w:r w:rsidRPr="0020727A">
        <w:rPr>
          <w:lang w:val="pt-BR"/>
        </w:rPr>
        <w:t>”).</w:t>
      </w:r>
    </w:p>
    <w:p w14:paraId="2C28D1D5" w14:textId="77777777" w:rsidR="001A4D54" w:rsidRPr="00566CD3" w:rsidRDefault="000C119D" w:rsidP="00F14CD9">
      <w:r>
        <w:br w:type="page"/>
      </w:r>
      <w:bookmarkStart w:id="288" w:name="_Toc90045140"/>
      <w:bookmarkStart w:id="289" w:name="_Toc460016400"/>
      <w:bookmarkStart w:id="290" w:name="_Toc87002526"/>
      <w:bookmarkStart w:id="291" w:name="_Ref434936059"/>
      <w:bookmarkStart w:id="292" w:name="_Toc428322717"/>
    </w:p>
    <w:p w14:paraId="6BE4ED02" w14:textId="1B728988" w:rsidR="00771C6A" w:rsidRPr="00566CD3" w:rsidRDefault="00771C6A" w:rsidP="00FC06D9">
      <w:pPr>
        <w:pStyle w:val="Ttulo1"/>
        <w:keepNext w:val="0"/>
        <w:pageBreakBefore w:val="0"/>
        <w:widowControl w:val="0"/>
        <w:spacing w:after="140" w:line="290" w:lineRule="auto"/>
        <w:rPr>
          <w:caps w:val="0"/>
        </w:rPr>
      </w:pPr>
      <w:bookmarkStart w:id="293" w:name="_Toc95928456"/>
      <w:r w:rsidRPr="00566CD3">
        <w:rPr>
          <w:caps w:val="0"/>
        </w:rPr>
        <w:lastRenderedPageBreak/>
        <w:t>CARACTERÍSTICAS DA OFERTA</w:t>
      </w:r>
      <w:bookmarkEnd w:id="288"/>
      <w:bookmarkEnd w:id="293"/>
    </w:p>
    <w:p w14:paraId="48654F60" w14:textId="77777777" w:rsidR="00E8286C" w:rsidRPr="00566CD3" w:rsidRDefault="00E8286C" w:rsidP="009E2BE2">
      <w:pPr>
        <w:pStyle w:val="Ttulo3"/>
        <w:spacing w:after="140" w:line="290" w:lineRule="auto"/>
        <w:jc w:val="both"/>
        <w:rPr>
          <w:i/>
        </w:rPr>
      </w:pPr>
      <w:bookmarkStart w:id="294" w:name="_Ref90058848"/>
      <w:bookmarkStart w:id="295" w:name="_Toc90045141"/>
      <w:bookmarkStart w:id="296" w:name="_Toc95928457"/>
      <w:r w:rsidRPr="00566CD3">
        <w:rPr>
          <w:i/>
        </w:rPr>
        <w:t>Oferta Não Institucional</w:t>
      </w:r>
      <w:bookmarkEnd w:id="289"/>
      <w:bookmarkEnd w:id="290"/>
      <w:bookmarkEnd w:id="294"/>
      <w:bookmarkEnd w:id="295"/>
      <w:bookmarkEnd w:id="296"/>
    </w:p>
    <w:p w14:paraId="71A2F435" w14:textId="77777777" w:rsidR="00EE0D0B" w:rsidRPr="00566CD3" w:rsidRDefault="00462105" w:rsidP="009E2BE2">
      <w:pPr>
        <w:pStyle w:val="Body"/>
        <w:jc w:val="both"/>
      </w:pPr>
      <w:r w:rsidRPr="00566CD3">
        <w:t>Os Investidores Não Institucionais, sejam eles considerados ou não Pessoas Vinculadas, interessados em subscrever Debêntures</w:t>
      </w:r>
      <w:r w:rsidR="009D5E3E" w:rsidRPr="00566CD3">
        <w:t xml:space="preserve"> da Primeira Série</w:t>
      </w:r>
      <w:r w:rsidRPr="00566CD3">
        <w:t xml:space="preserve"> </w:t>
      </w:r>
      <w:r w:rsidR="003D6C0D" w:rsidRPr="00566CD3">
        <w:t>deveriam</w:t>
      </w:r>
      <w:r w:rsidRPr="00566CD3">
        <w:t xml:space="preserve"> preencher e apresentar a uma </w:t>
      </w:r>
      <w:r w:rsidR="0085541C" w:rsidRPr="00566CD3">
        <w:t xml:space="preserve">ou mais </w:t>
      </w:r>
      <w:r w:rsidRPr="00566CD3">
        <w:t xml:space="preserve">Instituição Participante da Oferta </w:t>
      </w:r>
      <w:r w:rsidR="0085541C" w:rsidRPr="00566CD3">
        <w:t xml:space="preserve">um ou mais Pedidos de Reserva durante o Período de Reserva, sendo certo que o valor máximo de </w:t>
      </w:r>
      <w:r w:rsidR="003719E2" w:rsidRPr="00566CD3">
        <w:t>R$1.000.000,00 (um milhão de reais)</w:t>
      </w:r>
      <w:r w:rsidR="0085541C" w:rsidRPr="00566CD3">
        <w:t xml:space="preserve"> por Investidor </w:t>
      </w:r>
      <w:r w:rsidR="003719E2" w:rsidRPr="00566CD3">
        <w:t xml:space="preserve">Não </w:t>
      </w:r>
      <w:r w:rsidR="0085541C" w:rsidRPr="00566CD3">
        <w:t>Institucional seja observado.</w:t>
      </w:r>
    </w:p>
    <w:p w14:paraId="137F8965" w14:textId="77777777" w:rsidR="00EE0D0B" w:rsidRPr="00566CD3" w:rsidRDefault="00462105" w:rsidP="009E2BE2">
      <w:pPr>
        <w:pStyle w:val="Body"/>
        <w:jc w:val="both"/>
      </w:pPr>
      <w:bookmarkStart w:id="297" w:name="_DV_C774"/>
      <w:r w:rsidRPr="00566CD3">
        <w:t xml:space="preserve">Os Pedidos de Reserva dos Investidores Não Institucionais, sejam eles considerados ou não Pessoas Vinculadas, não </w:t>
      </w:r>
      <w:r w:rsidR="003D6C0D" w:rsidRPr="00566CD3">
        <w:t>foram</w:t>
      </w:r>
      <w:r w:rsidRPr="00566CD3">
        <w:t xml:space="preserve"> considerados no Procedimento de </w:t>
      </w:r>
      <w:r w:rsidRPr="00566CD3">
        <w:rPr>
          <w:i/>
        </w:rPr>
        <w:t>Bookbuilding</w:t>
      </w:r>
      <w:r w:rsidRPr="00566CD3">
        <w:t xml:space="preserve"> para a definição da Remuneração das Debêntures, e não </w:t>
      </w:r>
      <w:r w:rsidR="003D6C0D" w:rsidRPr="00566CD3">
        <w:t>participaram</w:t>
      </w:r>
      <w:r w:rsidRPr="00566CD3">
        <w:t xml:space="preserve">, portanto, do procedimento de coleta de intenções de investimento que </w:t>
      </w:r>
      <w:r w:rsidR="003D6C0D" w:rsidRPr="00566CD3">
        <w:t>definiu</w:t>
      </w:r>
      <w:r w:rsidRPr="00566CD3">
        <w:t xml:space="preserve"> a Remuneração das Debêntures.</w:t>
      </w:r>
      <w:bookmarkEnd w:id="297"/>
    </w:p>
    <w:p w14:paraId="1EC6B026" w14:textId="77777777" w:rsidR="00024888" w:rsidRPr="00566CD3" w:rsidRDefault="00380430" w:rsidP="009E2BE2">
      <w:pPr>
        <w:pStyle w:val="Body"/>
      </w:pPr>
      <w:r w:rsidRPr="00566CD3">
        <w:t xml:space="preserve">No mínimo 20% (vinte por cento) do Valor Total da Emissão </w:t>
      </w:r>
      <w:r w:rsidR="00024888" w:rsidRPr="00566CD3">
        <w:t>foi</w:t>
      </w:r>
      <w:r w:rsidRPr="00566CD3">
        <w:t xml:space="preserve"> destinado prioritariamente para Investidores Não Institucionais, no âmbito da Oferta Não Institucional, podendo o Coordenador Líder, em comum acordo com a Emissora, manter a quantidade de Debêntures inicialmente destinada à Oferta Não Institucional ou elevar tal quantidade a um patamar compatível com os objetivos da Oferta, de forma a atender, total ou parcialmente, os Pedidos de Reserva. </w:t>
      </w:r>
    </w:p>
    <w:p w14:paraId="47606E15" w14:textId="77777777" w:rsidR="00380430" w:rsidRPr="00566CD3" w:rsidRDefault="00ED61A0" w:rsidP="009E2BE2">
      <w:pPr>
        <w:pStyle w:val="Body"/>
        <w:jc w:val="both"/>
      </w:pPr>
      <w:r w:rsidRPr="00566CD3">
        <w:t>Considerando que</w:t>
      </w:r>
      <w:r w:rsidR="00380430" w:rsidRPr="00566CD3">
        <w:t xml:space="preserve"> o total de Debêntures objeto dos Pedidos de Reserva apresentados pelos Investidores Não Institucionais </w:t>
      </w:r>
      <w:r w:rsidRPr="00566CD3">
        <w:t>foi </w:t>
      </w:r>
      <w:r w:rsidR="004B451F" w:rsidRPr="00566CD3">
        <w:t xml:space="preserve">igual ou </w:t>
      </w:r>
      <w:r w:rsidR="00380430" w:rsidRPr="00566CD3">
        <w:t>inferior a 20% (vinte por cento) das Debêntures objeto da Emissão, todos os Pedidos de Reserva não cancelados serão integralmente atendidos e as Debêntures remanescentes serão destinados aos Investidores Institucionais nos termos da Oferta Institucional</w:t>
      </w:r>
      <w:r w:rsidR="00307A78" w:rsidRPr="00566CD3">
        <w:t>.</w:t>
      </w:r>
      <w:r w:rsidR="00380430" w:rsidRPr="00566CD3">
        <w:t xml:space="preserve"> Após o atendimento dos Pedidos de Reserva realizados no âmbito da Oferta Não Institucional, as Debêntures remanescentes </w:t>
      </w:r>
      <w:r w:rsidRPr="00566CD3">
        <w:t>foram</w:t>
      </w:r>
      <w:r w:rsidR="00380430" w:rsidRPr="00566CD3">
        <w:t xml:space="preserve"> destinados aos Investidores Institucionais.</w:t>
      </w:r>
    </w:p>
    <w:p w14:paraId="596BF205" w14:textId="77777777" w:rsidR="00EE0D0B" w:rsidRPr="00566CD3" w:rsidRDefault="00631058" w:rsidP="009E2BE2">
      <w:pPr>
        <w:pStyle w:val="Body"/>
        <w:jc w:val="both"/>
      </w:pPr>
      <w:r w:rsidRPr="00566CD3">
        <w:t xml:space="preserve">Os Pedidos de Reserva efetuados pelos Investidores Não Institucionais serão irrevogáveis e irretratáveis, exceto pelo disposto nos incisos (ii), </w:t>
      </w:r>
      <w:r w:rsidR="0085541C" w:rsidRPr="00566CD3">
        <w:t xml:space="preserve">(iii) </w:t>
      </w:r>
      <w:r w:rsidRPr="00566CD3">
        <w:t>(</w:t>
      </w:r>
      <w:r w:rsidR="0085541C" w:rsidRPr="00566CD3">
        <w:t>vi</w:t>
      </w:r>
      <w:r w:rsidRPr="00566CD3">
        <w:t>) e (v</w:t>
      </w:r>
      <w:r w:rsidR="0085541C" w:rsidRPr="00566CD3">
        <w:t>ii</w:t>
      </w:r>
      <w:r w:rsidRPr="00566CD3">
        <w:t>) abaixo, e de acordo com as seguintes condições, observados os procedimentos e normas de liquidação da B3:</w:t>
      </w:r>
    </w:p>
    <w:p w14:paraId="1D309438" w14:textId="77777777" w:rsidR="00EE0D0B" w:rsidRPr="00566CD3" w:rsidRDefault="00462105" w:rsidP="00D45D71">
      <w:pPr>
        <w:pStyle w:val="Level4"/>
        <w:widowControl w:val="0"/>
        <w:numPr>
          <w:ilvl w:val="3"/>
          <w:numId w:val="29"/>
        </w:numPr>
        <w:tabs>
          <w:tab w:val="clear" w:pos="2041"/>
          <w:tab w:val="left" w:pos="1361"/>
        </w:tabs>
        <w:spacing w:after="140" w:line="290" w:lineRule="auto"/>
        <w:ind w:left="652"/>
        <w:jc w:val="both"/>
      </w:pPr>
      <w:r w:rsidRPr="00566CD3">
        <w:t>durante o Período de Reserva, cada Investidor Não Institucional, sejam eles considerados ou não Pessoas Vinculadas, interessado em participar da Oferta Não Institucional</w:t>
      </w:r>
      <w:r w:rsidR="0085541C" w:rsidRPr="00566CD3">
        <w:t>,</w:t>
      </w:r>
      <w:r w:rsidRPr="00566CD3">
        <w:t xml:space="preserve"> </w:t>
      </w:r>
      <w:r w:rsidR="0085541C" w:rsidRPr="00566CD3">
        <w:t>realiz</w:t>
      </w:r>
      <w:r w:rsidR="00AE7B3B" w:rsidRPr="00566CD3">
        <w:t>ou</w:t>
      </w:r>
      <w:r w:rsidRPr="00566CD3">
        <w:t xml:space="preserve"> a reserva das Debêntures mediante preenchimento do Pedido de Reserva junto a uma Instituição Participante da Oferta, sendo que todos os Pedidos de Reserva apresentados por um único Investidor </w:t>
      </w:r>
      <w:r w:rsidR="00AE7B3B" w:rsidRPr="00566CD3">
        <w:t>foram</w:t>
      </w:r>
      <w:r w:rsidRPr="00566CD3">
        <w:t xml:space="preserve"> considerados em conjunto para fins do cálculo do Limite Máximo de Pedido de Reserva. Recomend</w:t>
      </w:r>
      <w:r w:rsidR="00AE7B3B" w:rsidRPr="00566CD3">
        <w:t>ou</w:t>
      </w:r>
      <w:r w:rsidR="0085541C" w:rsidRPr="00566CD3">
        <w:t>-</w:t>
      </w:r>
      <w:r w:rsidRPr="00566CD3">
        <w:t>se aos Investidores Não Institucionais que e</w:t>
      </w:r>
      <w:r w:rsidR="0085541C" w:rsidRPr="00566CD3">
        <w:t>nt</w:t>
      </w:r>
      <w:r w:rsidR="0099243D" w:rsidRPr="00566CD3">
        <w:t>r</w:t>
      </w:r>
      <w:r w:rsidR="00AE7B3B" w:rsidRPr="00566CD3">
        <w:t>assem</w:t>
      </w:r>
      <w:r w:rsidRPr="00566CD3">
        <w:t xml:space="preserve"> em contato com a Instituição Participante da Oferta</w:t>
      </w:r>
      <w:r w:rsidRPr="00566CD3" w:rsidDel="00EE3956">
        <w:t xml:space="preserve"> </w:t>
      </w:r>
      <w:r w:rsidRPr="00566CD3">
        <w:t>de sua preferência para verificar os procedimentos adotados pela respectiva Instituição Participante da Oferta para efetivação do Pedido de Reserva, incluindo, sem limitação, eventual necessidade de depósito prévio do investimento pretendido</w:t>
      </w:r>
      <w:r w:rsidR="00631058" w:rsidRPr="00566CD3">
        <w:t>;</w:t>
      </w:r>
    </w:p>
    <w:p w14:paraId="6BB2D91F" w14:textId="77777777" w:rsidR="0085541C" w:rsidRPr="00566CD3" w:rsidRDefault="0085541C" w:rsidP="00D45D71">
      <w:pPr>
        <w:pStyle w:val="Level4"/>
        <w:widowControl w:val="0"/>
        <w:numPr>
          <w:ilvl w:val="3"/>
          <w:numId w:val="29"/>
        </w:numPr>
        <w:tabs>
          <w:tab w:val="clear" w:pos="2041"/>
          <w:tab w:val="left" w:pos="1361"/>
        </w:tabs>
        <w:spacing w:after="140" w:line="290" w:lineRule="auto"/>
        <w:ind w:left="652"/>
        <w:jc w:val="both"/>
      </w:pPr>
      <w:bookmarkStart w:id="298" w:name="_Ref463018457"/>
      <w:bookmarkStart w:id="299" w:name="_Ref470615413"/>
      <w:r w:rsidRPr="00566CD3">
        <w:lastRenderedPageBreak/>
        <w:t xml:space="preserve">os Investidores Não Institucionais que </w:t>
      </w:r>
      <w:r w:rsidR="00AE7B3B" w:rsidRPr="00566CD3">
        <w:t>fossem</w:t>
      </w:r>
      <w:r w:rsidRPr="00566CD3">
        <w:t xml:space="preserve"> Pessoas Vinculadas </w:t>
      </w:r>
      <w:r w:rsidR="00AE7B3B" w:rsidRPr="00566CD3">
        <w:t>deveriam</w:t>
      </w:r>
      <w:r w:rsidRPr="00566CD3">
        <w:t xml:space="preserve"> indicar no respectivo Pedido de Reserva sua qualidade de Pessoa Vinculada, sendo certo que seus Pedidos de Reserva </w:t>
      </w:r>
      <w:r w:rsidR="00AE7B3B" w:rsidRPr="00566CD3">
        <w:t>poderiam ter sido</w:t>
      </w:r>
      <w:r w:rsidRPr="00566CD3">
        <w:t xml:space="preserve"> automaticamente cancelados pela respectiva Instituição Participante da Oferta, caso </w:t>
      </w:r>
      <w:r w:rsidR="00AE7B3B" w:rsidRPr="00566CD3">
        <w:t>fosse</w:t>
      </w:r>
      <w:r w:rsidRPr="00566CD3">
        <w:t xml:space="preserve"> verificado excesso de demanda superior a 1/3 (um terço) das Debêntures incialmente ofertadas (sem considerar as Debêntures Adicionais), nos termos do artigo 55 da Instrução CVM 400;</w:t>
      </w:r>
    </w:p>
    <w:p w14:paraId="47405D9E" w14:textId="77777777" w:rsidR="00EE0D0B" w:rsidRPr="00FC06D9" w:rsidRDefault="00462105" w:rsidP="00D45D71">
      <w:pPr>
        <w:pStyle w:val="Level4"/>
        <w:widowControl w:val="0"/>
        <w:numPr>
          <w:ilvl w:val="3"/>
          <w:numId w:val="29"/>
        </w:numPr>
        <w:tabs>
          <w:tab w:val="clear" w:pos="2041"/>
          <w:tab w:val="left" w:pos="1361"/>
        </w:tabs>
        <w:spacing w:after="140" w:line="290" w:lineRule="auto"/>
        <w:ind w:left="652"/>
        <w:jc w:val="both"/>
        <w:rPr>
          <w:spacing w:val="4"/>
        </w:rPr>
      </w:pPr>
      <w:r w:rsidRPr="00FC06D9">
        <w:rPr>
          <w:spacing w:val="4"/>
        </w:rPr>
        <w:t xml:space="preserve">no Pedido de Reserva, os Investidores Não Institucionais </w:t>
      </w:r>
      <w:r w:rsidR="00AE7B3B" w:rsidRPr="00FC06D9">
        <w:rPr>
          <w:spacing w:val="4"/>
        </w:rPr>
        <w:t>puderam</w:t>
      </w:r>
      <w:r w:rsidRPr="00FC06D9">
        <w:rPr>
          <w:spacing w:val="4"/>
        </w:rPr>
        <w:t xml:space="preserve"> estipular</w:t>
      </w:r>
      <w:r w:rsidR="0085541C" w:rsidRPr="00FC06D9">
        <w:rPr>
          <w:spacing w:val="4"/>
        </w:rPr>
        <w:t>, como condição de eficácia do respectivo Pedido de Reserva e aceitação da Oferta, uma taxa</w:t>
      </w:r>
      <w:r w:rsidRPr="00FC06D9">
        <w:rPr>
          <w:spacing w:val="4"/>
        </w:rPr>
        <w:t xml:space="preserve"> mínima para </w:t>
      </w:r>
      <w:r w:rsidR="0085541C" w:rsidRPr="00FC06D9">
        <w:rPr>
          <w:spacing w:val="4"/>
        </w:rPr>
        <w:t xml:space="preserve">os Juros </w:t>
      </w:r>
      <w:r w:rsidR="0069286C" w:rsidRPr="00FC06D9">
        <w:rPr>
          <w:spacing w:val="4"/>
        </w:rPr>
        <w:t>Remuneratórios</w:t>
      </w:r>
      <w:r w:rsidRPr="00FC06D9">
        <w:rPr>
          <w:spacing w:val="4"/>
        </w:rPr>
        <w:t>, sendo certo que, na ausência de especificação</w:t>
      </w:r>
      <w:r w:rsidR="00AE7B3B" w:rsidRPr="00FC06D9">
        <w:rPr>
          <w:spacing w:val="4"/>
        </w:rPr>
        <w:t>,</w:t>
      </w:r>
      <w:r w:rsidR="0069286C" w:rsidRPr="00FC06D9">
        <w:rPr>
          <w:spacing w:val="4"/>
        </w:rPr>
        <w:t xml:space="preserve"> O Pedido de Reserva </w:t>
      </w:r>
      <w:r w:rsidR="00AE7B3B" w:rsidRPr="00FC06D9">
        <w:rPr>
          <w:spacing w:val="4"/>
        </w:rPr>
        <w:t>deveria ser cancelado pela respectiva Instituição Participante</w:t>
      </w:r>
      <w:r w:rsidR="0069286C" w:rsidRPr="00FC06D9">
        <w:rPr>
          <w:spacing w:val="4"/>
        </w:rPr>
        <w:t xml:space="preserve">. O Pedido de Reserva </w:t>
      </w:r>
      <w:r w:rsidR="00AE7B3B" w:rsidRPr="00FC06D9">
        <w:rPr>
          <w:spacing w:val="4"/>
        </w:rPr>
        <w:t>foi</w:t>
      </w:r>
      <w:r w:rsidR="0069286C" w:rsidRPr="00FC06D9">
        <w:rPr>
          <w:spacing w:val="4"/>
        </w:rPr>
        <w:t xml:space="preserve"> automaticamente cancelado caso </w:t>
      </w:r>
      <w:r w:rsidR="0069286C" w:rsidRPr="00FC06D9">
        <w:rPr>
          <w:b/>
          <w:spacing w:val="4"/>
        </w:rPr>
        <w:t>(a)</w:t>
      </w:r>
      <w:r w:rsidR="0069286C" w:rsidRPr="00FC06D9">
        <w:rPr>
          <w:spacing w:val="4"/>
        </w:rPr>
        <w:t xml:space="preserve"> o Investidor Não Institucional tenha estipulado como taxa mínima para os Juros Remuneratórios uma taxa superior à taxa final dos Juros Remuneratórios</w:t>
      </w:r>
      <w:r w:rsidR="00631058" w:rsidRPr="00FC06D9">
        <w:rPr>
          <w:spacing w:val="4"/>
        </w:rPr>
        <w:t>;</w:t>
      </w:r>
      <w:bookmarkEnd w:id="298"/>
      <w:bookmarkEnd w:id="299"/>
      <w:r w:rsidR="0069286C" w:rsidRPr="00FC06D9">
        <w:rPr>
          <w:spacing w:val="4"/>
        </w:rPr>
        <w:t xml:space="preserve"> </w:t>
      </w:r>
      <w:r w:rsidR="0069286C" w:rsidRPr="00FC06D9">
        <w:rPr>
          <w:b/>
          <w:spacing w:val="4"/>
        </w:rPr>
        <w:t>(b)</w:t>
      </w:r>
      <w:r w:rsidR="0069286C" w:rsidRPr="00FC06D9">
        <w:rPr>
          <w:spacing w:val="4"/>
        </w:rPr>
        <w:t xml:space="preserve"> o Investidor Não Institucional tenha estipulado como taxa mínima para as Debêntures uma taxa superior à taxa máxima de Juros Remuneratórios estipulada no Prospecto Preliminar e no Aviso ao Mercado; ou </w:t>
      </w:r>
      <w:r w:rsidR="0069286C" w:rsidRPr="00FC06D9">
        <w:rPr>
          <w:b/>
          <w:spacing w:val="4"/>
        </w:rPr>
        <w:t>(c)</w:t>
      </w:r>
      <w:r w:rsidR="0069286C" w:rsidRPr="00FC06D9">
        <w:rPr>
          <w:spacing w:val="4"/>
        </w:rPr>
        <w:t xml:space="preserve"> na ausência de especificação de taxa mínima para os Juros Remuneratórios</w:t>
      </w:r>
      <w:r w:rsidR="00034F78" w:rsidRPr="00FC06D9">
        <w:rPr>
          <w:spacing w:val="4"/>
        </w:rPr>
        <w:t>;</w:t>
      </w:r>
    </w:p>
    <w:p w14:paraId="0B544AD9" w14:textId="77777777" w:rsidR="00EE0D0B" w:rsidRPr="00566CD3" w:rsidRDefault="0069286C" w:rsidP="00D45D71">
      <w:pPr>
        <w:pStyle w:val="Level4"/>
        <w:widowControl w:val="0"/>
        <w:numPr>
          <w:ilvl w:val="3"/>
          <w:numId w:val="29"/>
        </w:numPr>
        <w:tabs>
          <w:tab w:val="clear" w:pos="2041"/>
          <w:tab w:val="left" w:pos="1361"/>
        </w:tabs>
        <w:spacing w:after="140" w:line="290" w:lineRule="auto"/>
        <w:ind w:left="652"/>
        <w:jc w:val="both"/>
      </w:pPr>
      <w:bookmarkStart w:id="300" w:name="_Ref530055718"/>
      <w:r w:rsidRPr="00566CD3">
        <w:t xml:space="preserve">Até o final do Dia Útil imediatamente anterior à data de divulgação do Anúncio de Início, serão informados ao Investidor Não Institucional, pela Instituição Participante da Oferta que recebeu o respectivo Pedido de Reserva, por meio de seu respectivo endereço eletrônico, ou, por telefone: </w:t>
      </w:r>
      <w:r w:rsidRPr="00566CD3">
        <w:rPr>
          <w:b/>
        </w:rPr>
        <w:t>(a)</w:t>
      </w:r>
      <w:r w:rsidRPr="00566CD3">
        <w:t xml:space="preserve"> a quantidade de Debêntures alocadas ao Investidor Não Institucional</w:t>
      </w:r>
      <w:r w:rsidR="00DB205D" w:rsidRPr="00566CD3">
        <w:t xml:space="preserve"> após o atendimento do critério de rateio previsto no item “Critérios de Rateio da Oferta Não Institucional” abaixo</w:t>
      </w:r>
      <w:r w:rsidRPr="00566CD3">
        <w:t xml:space="preserve">; </w:t>
      </w:r>
      <w:r w:rsidRPr="00566CD3">
        <w:rPr>
          <w:b/>
        </w:rPr>
        <w:t>(b)</w:t>
      </w:r>
      <w:r w:rsidRPr="00566CD3">
        <w:t xml:space="preserve"> a Primeira Data de Integralização; e </w:t>
      </w:r>
      <w:r w:rsidRPr="00566CD3">
        <w:rPr>
          <w:b/>
        </w:rPr>
        <w:t>(c)</w:t>
      </w:r>
      <w:r w:rsidRPr="00566CD3">
        <w:t xml:space="preserve"> os Juros Remuneratórios definidos no Procedimento de </w:t>
      </w:r>
      <w:r w:rsidRPr="00566CD3">
        <w:rPr>
          <w:i/>
        </w:rPr>
        <w:t>Bookbuilding</w:t>
      </w:r>
      <w:r w:rsidR="00631058" w:rsidRPr="00566CD3">
        <w:t>;</w:t>
      </w:r>
      <w:bookmarkEnd w:id="300"/>
    </w:p>
    <w:p w14:paraId="3BC80F25" w14:textId="77777777" w:rsidR="00EE0D0B" w:rsidRPr="00FC06D9" w:rsidRDefault="00462105" w:rsidP="00D45D71">
      <w:pPr>
        <w:pStyle w:val="Level4"/>
        <w:widowControl w:val="0"/>
        <w:numPr>
          <w:ilvl w:val="3"/>
          <w:numId w:val="29"/>
        </w:numPr>
        <w:tabs>
          <w:tab w:val="clear" w:pos="2041"/>
          <w:tab w:val="left" w:pos="1361"/>
        </w:tabs>
        <w:spacing w:after="140" w:line="290" w:lineRule="auto"/>
        <w:ind w:left="652"/>
        <w:jc w:val="both"/>
        <w:rPr>
          <w:spacing w:val="4"/>
        </w:rPr>
      </w:pPr>
      <w:bookmarkStart w:id="301" w:name="_Ref463018466"/>
      <w:bookmarkStart w:id="302" w:name="_Ref470615429"/>
      <w:r w:rsidRPr="00FC06D9">
        <w:rPr>
          <w:spacing w:val="4"/>
        </w:rPr>
        <w:t>os Investidores Não Institucionais deverão efetuar o pagamento do valor indicado no item (iii) acima junto à Instituição Participante da Oferta com que tenham realizado o respectivo Pedido de Reserva, conforme procedimentos adotados pela respectiva Instituição Participante da Oferta, na respectiva Data de Integralização, conforme instrução da Instituição Participante da Oferta, sob pena de seu Pedido de Reserva ser cancelado</w:t>
      </w:r>
      <w:r w:rsidR="00631058" w:rsidRPr="00FC06D9">
        <w:rPr>
          <w:spacing w:val="4"/>
        </w:rPr>
        <w:t>;</w:t>
      </w:r>
      <w:bookmarkEnd w:id="301"/>
      <w:bookmarkEnd w:id="302"/>
    </w:p>
    <w:p w14:paraId="04F9CDA5" w14:textId="77777777" w:rsidR="0069286C" w:rsidRPr="00566CD3" w:rsidRDefault="0069286C" w:rsidP="00D45D71">
      <w:pPr>
        <w:pStyle w:val="Level4"/>
        <w:widowControl w:val="0"/>
        <w:numPr>
          <w:ilvl w:val="3"/>
          <w:numId w:val="29"/>
        </w:numPr>
        <w:tabs>
          <w:tab w:val="clear" w:pos="2041"/>
          <w:tab w:val="left" w:pos="1361"/>
        </w:tabs>
        <w:spacing w:after="140" w:line="290" w:lineRule="auto"/>
        <w:ind w:left="652"/>
        <w:jc w:val="both"/>
      </w:pPr>
      <w:r w:rsidRPr="00566CD3">
        <w:t xml:space="preserve"> nas hipóteses de: </w:t>
      </w:r>
      <w:r w:rsidRPr="00566CD3">
        <w:rPr>
          <w:b/>
        </w:rPr>
        <w:t xml:space="preserve">(a) </w:t>
      </w:r>
      <w:r w:rsidRPr="00566CD3">
        <w:t xml:space="preserve">identificação de divergência relevante entre as informações constantes deste Prospecto </w:t>
      </w:r>
      <w:r w:rsidR="003568F5" w:rsidRPr="00566CD3">
        <w:t>Definitivo</w:t>
      </w:r>
      <w:r w:rsidRPr="00566CD3">
        <w:t xml:space="preserve"> e do Prospecto </w:t>
      </w:r>
      <w:r w:rsidR="003568F5" w:rsidRPr="00566CD3">
        <w:t>Preliminar</w:t>
      </w:r>
      <w:r w:rsidRPr="00566CD3">
        <w:t xml:space="preserve"> que alterem substancialmente o risco assumido pelo Investidor Não Institucional, ou a sua decisão de investimento; </w:t>
      </w:r>
      <w:r w:rsidRPr="00566CD3">
        <w:rPr>
          <w:b/>
        </w:rPr>
        <w:t>(b)</w:t>
      </w:r>
      <w:r w:rsidRPr="00566CD3">
        <w:t xml:space="preserve"> suspensão da Oferta nos termos do artigo 20 da Instrução CVM 400; ou </w:t>
      </w:r>
      <w:r w:rsidRPr="00566CD3">
        <w:rPr>
          <w:b/>
        </w:rPr>
        <w:t>(c)</w:t>
      </w:r>
      <w:r w:rsidRPr="00566CD3">
        <w:t xml:space="preserve"> modificação da Oferta nos termos do artigo 27 da Instrução CVM 400; poderá o referido Investidor Não Institucional desistir do Pedido de Reserva após o início da Oferta. Nesta hipótese, o Investidor Não Institucional deverá informar sua decisão de desistência do Pedido de Reserva à Instituição </w:t>
      </w:r>
      <w:r w:rsidRPr="00566CD3">
        <w:lastRenderedPageBreak/>
        <w:t>Participante da Oferta que tenha recebido o respectivo Pedido de Reserva, em conformidade com os termos e no prazo previsto no respectivo Pedido de Reserva;</w:t>
      </w:r>
    </w:p>
    <w:p w14:paraId="7E52E630" w14:textId="77777777" w:rsidR="0069286C" w:rsidRPr="00566CD3" w:rsidRDefault="0069286C" w:rsidP="00D45D71">
      <w:pPr>
        <w:pStyle w:val="Level4"/>
        <w:widowControl w:val="0"/>
        <w:numPr>
          <w:ilvl w:val="3"/>
          <w:numId w:val="29"/>
        </w:numPr>
        <w:tabs>
          <w:tab w:val="clear" w:pos="2041"/>
          <w:tab w:val="left" w:pos="1361"/>
        </w:tabs>
        <w:spacing w:after="140" w:line="290" w:lineRule="auto"/>
        <w:ind w:left="652"/>
        <w:jc w:val="both"/>
      </w:pPr>
      <w:r w:rsidRPr="00566CD3">
        <w:t>na hipótese de não haver conclusão da Oferta ou na hipótese de resilição do Contrato de Distribuição, ou, ainda, em qualquer outra hipótese prevista na legislação de não produção de efeitos ou desconsideração de Pedidos de Reserva, estes serão todos cancelados e os respectivos Investidores Não Institucionais serão comunicados sobre o cancelamento da Oferta, o que poderá ocorrer por meio de divulgação, pela Emissora e pelo Coordenador Líder, de comunicado ao mercado;</w:t>
      </w:r>
    </w:p>
    <w:p w14:paraId="4D55C8EE" w14:textId="77777777" w:rsidR="00EE0D0B" w:rsidRPr="00566CD3" w:rsidRDefault="00462105" w:rsidP="00D45D71">
      <w:pPr>
        <w:pStyle w:val="Level4"/>
        <w:widowControl w:val="0"/>
        <w:numPr>
          <w:ilvl w:val="3"/>
          <w:numId w:val="29"/>
        </w:numPr>
        <w:tabs>
          <w:tab w:val="clear" w:pos="2041"/>
          <w:tab w:val="left" w:pos="1361"/>
        </w:tabs>
        <w:spacing w:after="140" w:line="290" w:lineRule="auto"/>
        <w:ind w:left="652"/>
        <w:jc w:val="both"/>
      </w:pPr>
      <w:r w:rsidRPr="00566CD3">
        <w:t xml:space="preserve">na respectiva Data de Integralização, cada Instituição Participante da Oferta junto à qual o Pedido de Reserva tenha sido realizado, entregará a cada Investidor Não Institucional o número de Debêntures alocado a tal Investidor Não Institucional, ressalvadas as hipóteses de cancelamento do Pedido de Reserva descritas nos incisos (ii), </w:t>
      </w:r>
      <w:r w:rsidR="0069286C" w:rsidRPr="00566CD3">
        <w:t xml:space="preserve">(iii), </w:t>
      </w:r>
      <w:r w:rsidRPr="00566CD3">
        <w:t>(</w:t>
      </w:r>
      <w:r w:rsidR="0069286C" w:rsidRPr="00566CD3">
        <w:t>vi</w:t>
      </w:r>
      <w:r w:rsidRPr="00566CD3">
        <w:t>) e (v</w:t>
      </w:r>
      <w:r w:rsidR="0069286C" w:rsidRPr="00566CD3">
        <w:t>ii</w:t>
      </w:r>
      <w:r w:rsidRPr="00566CD3">
        <w:t>) acima e a possibilidade de rateio, nos termos descritos abaixo</w:t>
      </w:r>
      <w:r w:rsidR="00631058" w:rsidRPr="00566CD3">
        <w:t>; e</w:t>
      </w:r>
    </w:p>
    <w:p w14:paraId="6F0A3849" w14:textId="77777777" w:rsidR="00631058" w:rsidRPr="00566CD3" w:rsidRDefault="00462105" w:rsidP="00D45D71">
      <w:pPr>
        <w:pStyle w:val="Level4"/>
        <w:widowControl w:val="0"/>
        <w:numPr>
          <w:ilvl w:val="3"/>
          <w:numId w:val="29"/>
        </w:numPr>
        <w:tabs>
          <w:tab w:val="clear" w:pos="2041"/>
          <w:tab w:val="left" w:pos="1361"/>
        </w:tabs>
        <w:spacing w:after="140" w:line="290" w:lineRule="auto"/>
        <w:ind w:left="652"/>
        <w:jc w:val="both"/>
      </w:pPr>
      <w:r w:rsidRPr="00566CD3">
        <w:t>os Investidores Não Institucionais deverão realizar a integralização das Debêntures pelo Preço de Integralização, mediante o pagamento à vista, na respectiva Data de Integralização, em moeda corrente nacional, em recursos imediatamente disponíveis, de acordo com o procedimento descrito acima</w:t>
      </w:r>
      <w:r w:rsidR="00631058" w:rsidRPr="00566CD3">
        <w:t>.</w:t>
      </w:r>
    </w:p>
    <w:p w14:paraId="761E42F3" w14:textId="77777777" w:rsidR="0069286C" w:rsidRPr="00D8141D" w:rsidRDefault="0069286C" w:rsidP="009E2BE2">
      <w:pPr>
        <w:pStyle w:val="HOMEBRBodyText"/>
        <w:keepLines w:val="0"/>
        <w:widowControl w:val="0"/>
        <w:spacing w:after="140" w:line="290" w:lineRule="auto"/>
        <w:jc w:val="both"/>
        <w:rPr>
          <w:rFonts w:eastAsia="Calibri" w:cs="Calibri"/>
          <w:b/>
          <w:lang w:val="pt-BR"/>
        </w:rPr>
      </w:pPr>
      <w:r w:rsidRPr="00D8141D">
        <w:rPr>
          <w:rFonts w:eastAsia="Calibri" w:cs="Calibri"/>
          <w:b/>
          <w:lang w:val="pt-BR"/>
        </w:rPr>
        <w:t xml:space="preserve">Foi recomendado aos Investidores Não Institucionais interessados na realização de Pedidos de Reserva, que (i) lessem cuidadosamente os termos e condições estipulados no Pedido de Reserva, especialmente no que se refere aos procedimentos relativos à liquidação da Oferta e às informações constantes </w:t>
      </w:r>
      <w:r w:rsidR="0065388F" w:rsidRPr="00391B20">
        <w:rPr>
          <w:rFonts w:eastAsia="Calibri" w:cs="Calibri"/>
          <w:b/>
          <w:lang w:val="pt-BR"/>
        </w:rPr>
        <w:t>do</w:t>
      </w:r>
      <w:r w:rsidRPr="00D8141D">
        <w:rPr>
          <w:rFonts w:eastAsia="Calibri" w:cs="Calibri"/>
          <w:b/>
          <w:lang w:val="pt-BR"/>
        </w:rPr>
        <w:t xml:space="preserve"> Prospecto Preliminar e do Formulário de Referência; (ii) verificassem com a Instituição Participante da Oferta de sua preferência, antes de realizar o seu Pedidos de Reserva, se essa, a seu exclusivo critério, exige a manutenção de recursos em conta corrente nela aberta e/ou mantida, para fins de garantia do Pedido de Reserva, conforme o caso; (iii) verificassem com a Instituição Participante da Oferta de sua preferência, antes da realização do seu Pedidos de Reserva, a possibilidade de débito antecipado da reserva por parte da Instituição Participante da Oferta; e (iv) entrassem em contato com a Instituição Participante da Oferta de sua preferência para obter informações mais detalhadas sobre o prazo estabelecido pela Instituição Participante da Oferta para a formalização do Pedido de Reserva ou, se for o caso, para a realização do cadastro na Instituição Participante da Oferta, tendo em vista os procedimentos operacionais adotados por cada Instituição Participante da Oferta, tais como bloqueio dos recursos necessários à integralização das Debêntures, autorização para débito em conta corrente, eventual garantia exigida e outras cláusulas que dizem respeito à relação jurídica do Investidor Não Institucional com a Instituição Participante da Oferta.</w:t>
      </w:r>
    </w:p>
    <w:p w14:paraId="15B69E2B" w14:textId="77777777" w:rsidR="00FC06D9" w:rsidRDefault="00FC06D9">
      <w:pPr>
        <w:spacing w:after="0" w:line="240" w:lineRule="auto"/>
        <w:rPr>
          <w:rFonts w:eastAsia="Calibri" w:cs="Calibri"/>
          <w:b/>
        </w:rPr>
      </w:pPr>
      <w:r>
        <w:rPr>
          <w:rFonts w:eastAsia="Calibri" w:cs="Calibri"/>
          <w:b/>
        </w:rPr>
        <w:br w:type="page"/>
      </w:r>
    </w:p>
    <w:p w14:paraId="01FB5CFE" w14:textId="180B5C68" w:rsidR="00E8286C" w:rsidRPr="00D8141D" w:rsidRDefault="00E8286C" w:rsidP="009E2BE2">
      <w:pPr>
        <w:pStyle w:val="HOMEBRBodyText"/>
        <w:keepLines w:val="0"/>
        <w:widowControl w:val="0"/>
        <w:spacing w:after="140" w:line="290" w:lineRule="auto"/>
        <w:jc w:val="both"/>
        <w:rPr>
          <w:rFonts w:cs="Calibri"/>
          <w:lang w:val="pt-BR"/>
        </w:rPr>
      </w:pPr>
      <w:r w:rsidRPr="00D8141D">
        <w:rPr>
          <w:rFonts w:eastAsia="Calibri" w:cs="Calibri"/>
          <w:b/>
          <w:lang w:val="pt-BR"/>
        </w:rPr>
        <w:lastRenderedPageBreak/>
        <w:t xml:space="preserve">Para mais informações sobre a participação de Pessoas Vinculadas na Oferta, veja as seções </w:t>
      </w:r>
      <w:r w:rsidR="002A4B8C" w:rsidRPr="00D8141D">
        <w:rPr>
          <w:rFonts w:eastAsia="Calibri" w:cs="Calibri"/>
          <w:b/>
          <w:lang w:val="pt-BR"/>
        </w:rPr>
        <w:t>“</w:t>
      </w:r>
      <w:r w:rsidR="00DB205D" w:rsidRPr="00D8141D">
        <w:rPr>
          <w:rFonts w:eastAsia="Calibri" w:cs="Calibri"/>
          <w:b/>
          <w:lang w:val="pt-BR"/>
        </w:rPr>
        <w:t>Sumário</w:t>
      </w:r>
      <w:r w:rsidRPr="00D8141D">
        <w:rPr>
          <w:rFonts w:eastAsia="Calibri" w:cs="Calibri"/>
          <w:b/>
          <w:lang w:val="pt-BR"/>
        </w:rPr>
        <w:t xml:space="preserve"> da Oferta – </w:t>
      </w:r>
      <w:r w:rsidRPr="00D8141D">
        <w:rPr>
          <w:rFonts w:eastAsia="Calibri" w:cs="Calibri"/>
          <w:b/>
          <w:color w:val="000000"/>
          <w:lang w:val="pt-BR"/>
        </w:rPr>
        <w:t>Pessoas Vinculadas</w:t>
      </w:r>
      <w:r w:rsidR="002A4B8C" w:rsidRPr="00D8141D">
        <w:rPr>
          <w:rFonts w:eastAsia="Calibri" w:cs="Calibri"/>
          <w:b/>
          <w:lang w:val="pt-BR"/>
        </w:rPr>
        <w:t>”</w:t>
      </w:r>
      <w:r w:rsidRPr="00D8141D">
        <w:rPr>
          <w:rFonts w:eastAsia="Calibri" w:cs="Calibri"/>
          <w:b/>
          <w:lang w:val="pt-BR"/>
        </w:rPr>
        <w:t xml:space="preserve"> e </w:t>
      </w:r>
      <w:r w:rsidR="002A4B8C" w:rsidRPr="00D8141D">
        <w:rPr>
          <w:rFonts w:eastAsia="Calibri" w:cs="Calibri"/>
          <w:b/>
          <w:lang w:val="pt-BR"/>
        </w:rPr>
        <w:t>“</w:t>
      </w:r>
      <w:r w:rsidR="00CC7BA6" w:rsidRPr="00D8141D">
        <w:rPr>
          <w:rFonts w:eastAsia="Calibri" w:cs="Calibri"/>
          <w:b/>
          <w:lang w:val="pt-BR"/>
        </w:rPr>
        <w:t xml:space="preserve">Fatores de Risco Relacionados à Oferta e às Debêntures – </w:t>
      </w:r>
      <w:r w:rsidR="00CC7BA6" w:rsidRPr="00D8141D">
        <w:rPr>
          <w:rFonts w:cs="Calibri"/>
          <w:b/>
          <w:bCs/>
          <w:lang w:val="pt-BR"/>
        </w:rPr>
        <w:t>O investimento nas Debêntures por Investidores da Oferta que sejam Pessoas Vinculadas poderá ter um impacto adverso na liquidez das Debêntures no mercado secundário.</w:t>
      </w:r>
      <w:r w:rsidR="00EE0D0B" w:rsidRPr="00D8141D">
        <w:rPr>
          <w:rFonts w:cs="Calibri"/>
          <w:b/>
          <w:spacing w:val="-4"/>
          <w:lang w:val="pt-BR"/>
        </w:rPr>
        <w:t>”</w:t>
      </w:r>
      <w:r w:rsidRPr="00D8141D">
        <w:rPr>
          <w:rFonts w:eastAsia="Calibri" w:cs="Calibri"/>
          <w:b/>
          <w:lang w:val="pt-BR"/>
        </w:rPr>
        <w:t xml:space="preserve">, nas páginas </w:t>
      </w:r>
      <w:r w:rsidR="00476F2C" w:rsidRPr="00D8141D">
        <w:rPr>
          <w:rFonts w:eastAsia="Calibri" w:cs="Calibri"/>
          <w:b/>
          <w:color w:val="FF0000"/>
          <w:lang w:val="pt-BR"/>
        </w:rPr>
        <w:fldChar w:fldCharType="begin"/>
      </w:r>
      <w:r w:rsidR="00476F2C" w:rsidRPr="00D8141D">
        <w:rPr>
          <w:rFonts w:eastAsia="Calibri" w:cs="Calibri"/>
          <w:b/>
          <w:lang w:val="pt-BR"/>
        </w:rPr>
        <w:instrText xml:space="preserve"> PAGEREF _Ref90221919 \h </w:instrText>
      </w:r>
      <w:r w:rsidR="00476F2C" w:rsidRPr="00D8141D">
        <w:rPr>
          <w:rFonts w:eastAsia="Calibri" w:cs="Calibri"/>
          <w:b/>
          <w:color w:val="FF0000"/>
          <w:lang w:val="pt-BR"/>
        </w:rPr>
      </w:r>
      <w:r w:rsidR="00476F2C" w:rsidRPr="00D8141D">
        <w:rPr>
          <w:rFonts w:eastAsia="Calibri" w:cs="Calibri"/>
          <w:b/>
          <w:color w:val="FF0000"/>
          <w:lang w:val="pt-BR"/>
        </w:rPr>
        <w:fldChar w:fldCharType="separate"/>
      </w:r>
      <w:r w:rsidR="001166EA">
        <w:rPr>
          <w:rFonts w:eastAsia="Calibri" w:cs="Calibri"/>
          <w:b/>
          <w:noProof/>
          <w:lang w:val="pt-BR"/>
        </w:rPr>
        <w:t>56</w:t>
      </w:r>
      <w:r w:rsidR="00476F2C" w:rsidRPr="00D8141D">
        <w:rPr>
          <w:rFonts w:eastAsia="Calibri" w:cs="Calibri"/>
          <w:b/>
          <w:color w:val="FF0000"/>
          <w:lang w:val="pt-BR"/>
        </w:rPr>
        <w:fldChar w:fldCharType="end"/>
      </w:r>
      <w:r w:rsidR="00476F2C" w:rsidRPr="00D8141D">
        <w:rPr>
          <w:rFonts w:eastAsia="Calibri" w:cs="Calibri"/>
          <w:b/>
          <w:color w:val="FF0000"/>
          <w:lang w:val="pt-BR"/>
        </w:rPr>
        <w:t xml:space="preserve"> </w:t>
      </w:r>
      <w:r w:rsidRPr="00D8141D">
        <w:rPr>
          <w:rFonts w:eastAsia="Calibri" w:cs="Calibri"/>
          <w:b/>
          <w:lang w:val="pt-BR"/>
        </w:rPr>
        <w:t xml:space="preserve">e </w:t>
      </w:r>
      <w:r w:rsidR="00AA7635" w:rsidRPr="00D8141D">
        <w:rPr>
          <w:rFonts w:eastAsia="Calibri" w:cs="Calibri"/>
          <w:b/>
          <w:noProof/>
          <w:lang w:val="pt-BR"/>
        </w:rPr>
        <w:fldChar w:fldCharType="begin"/>
      </w:r>
      <w:r w:rsidR="00AA7635" w:rsidRPr="00D8141D">
        <w:rPr>
          <w:rFonts w:eastAsia="Calibri" w:cs="Calibri"/>
          <w:b/>
          <w:lang w:val="pt-BR"/>
        </w:rPr>
        <w:instrText xml:space="preserve"> PAGEREF _Ref90059225 \h </w:instrText>
      </w:r>
      <w:r w:rsidR="00AA7635" w:rsidRPr="00D8141D">
        <w:rPr>
          <w:rFonts w:eastAsia="Calibri" w:cs="Calibri"/>
          <w:b/>
          <w:noProof/>
          <w:lang w:val="pt-BR"/>
        </w:rPr>
      </w:r>
      <w:r w:rsidR="00AA7635" w:rsidRPr="00D8141D">
        <w:rPr>
          <w:rFonts w:eastAsia="Calibri" w:cs="Calibri"/>
          <w:b/>
          <w:noProof/>
          <w:lang w:val="pt-BR"/>
        </w:rPr>
        <w:fldChar w:fldCharType="separate"/>
      </w:r>
      <w:r w:rsidR="001166EA">
        <w:rPr>
          <w:rFonts w:eastAsia="Calibri" w:cs="Calibri"/>
          <w:b/>
          <w:noProof/>
          <w:lang w:val="pt-BR"/>
        </w:rPr>
        <w:t>134</w:t>
      </w:r>
      <w:r w:rsidR="00AA7635" w:rsidRPr="00D8141D">
        <w:rPr>
          <w:rFonts w:eastAsia="Calibri" w:cs="Calibri"/>
          <w:b/>
          <w:noProof/>
          <w:lang w:val="pt-BR"/>
        </w:rPr>
        <w:fldChar w:fldCharType="end"/>
      </w:r>
      <w:r w:rsidRPr="00D8141D">
        <w:rPr>
          <w:rFonts w:eastAsia="Calibri" w:cs="Calibri"/>
          <w:b/>
          <w:lang w:val="pt-BR"/>
        </w:rPr>
        <w:t xml:space="preserve"> respectivamente, deste Prospecto.</w:t>
      </w:r>
    </w:p>
    <w:p w14:paraId="232B215D" w14:textId="77777777" w:rsidR="008170A7" w:rsidRPr="00566CD3" w:rsidRDefault="00DB205D" w:rsidP="00FA7194">
      <w:pPr>
        <w:pStyle w:val="Ttulo3"/>
        <w:spacing w:after="140" w:line="290" w:lineRule="auto"/>
        <w:jc w:val="both"/>
        <w:rPr>
          <w:b w:val="0"/>
          <w:i/>
        </w:rPr>
      </w:pPr>
      <w:bookmarkStart w:id="303" w:name="_Toc95928458"/>
      <w:bookmarkStart w:id="304" w:name="_Ref460329260"/>
      <w:bookmarkStart w:id="305" w:name="_Toc87002527"/>
      <w:bookmarkStart w:id="306" w:name="_Toc90045142"/>
      <w:r w:rsidRPr="00566CD3">
        <w:rPr>
          <w:i/>
        </w:rPr>
        <w:t>Critérios de Rateio da Oferta Não Institucional</w:t>
      </w:r>
      <w:bookmarkEnd w:id="303"/>
      <w:r w:rsidRPr="00566CD3">
        <w:rPr>
          <w:i/>
        </w:rPr>
        <w:t xml:space="preserve"> </w:t>
      </w:r>
    </w:p>
    <w:p w14:paraId="48ABC341" w14:textId="77777777" w:rsidR="008170A7" w:rsidRPr="00566CD3" w:rsidRDefault="00ED61A0">
      <w:pPr>
        <w:pStyle w:val="Level4"/>
        <w:widowControl w:val="0"/>
        <w:numPr>
          <w:ilvl w:val="0"/>
          <w:numId w:val="0"/>
        </w:numPr>
        <w:tabs>
          <w:tab w:val="left" w:pos="1560"/>
        </w:tabs>
        <w:spacing w:after="140" w:line="288" w:lineRule="auto"/>
        <w:jc w:val="both"/>
      </w:pPr>
      <w:r w:rsidRPr="00566CD3">
        <w:t>Considerando que</w:t>
      </w:r>
      <w:r w:rsidR="00DB205D" w:rsidRPr="00566CD3">
        <w:t xml:space="preserve"> o total de Debêntures objeto dos Pedidos de Reserva apresentados pelos Investidores Não Institucionais </w:t>
      </w:r>
      <w:r w:rsidRPr="00566CD3">
        <w:t>foi</w:t>
      </w:r>
      <w:r w:rsidR="00DB205D" w:rsidRPr="00566CD3">
        <w:t xml:space="preserve"> igual ou inferior a 20% (vinte por cento) das Debêntures, todos os Pedidos de Reserva não cancelados </w:t>
      </w:r>
      <w:r w:rsidRPr="00566CD3">
        <w:t>foram</w:t>
      </w:r>
      <w:r w:rsidR="00DB205D" w:rsidRPr="00566CD3">
        <w:t xml:space="preserve"> integralmente atendidos e as Debêntures remanescentes </w:t>
      </w:r>
      <w:r w:rsidRPr="00566CD3">
        <w:t>foram</w:t>
      </w:r>
      <w:r w:rsidR="00DB205D" w:rsidRPr="00566CD3">
        <w:t xml:space="preserve"> destinadas aos Investidores Institucionais nos termos da Oferta Institucional, observada a possibilidade de alteração do direcionamento da Oferta Não Institucional. </w:t>
      </w:r>
    </w:p>
    <w:p w14:paraId="006E76A0" w14:textId="77777777" w:rsidR="00D05A75" w:rsidRPr="00566CD3" w:rsidRDefault="00D05A75" w:rsidP="00981963">
      <w:pPr>
        <w:pStyle w:val="Ttulo3"/>
        <w:spacing w:after="140" w:line="290" w:lineRule="auto"/>
        <w:jc w:val="both"/>
        <w:rPr>
          <w:i/>
        </w:rPr>
      </w:pPr>
      <w:bookmarkStart w:id="307" w:name="_Toc95928459"/>
      <w:r w:rsidRPr="00566CD3">
        <w:rPr>
          <w:i/>
        </w:rPr>
        <w:t>Critério de Colocação da Oferta Institucional</w:t>
      </w:r>
      <w:bookmarkEnd w:id="307"/>
    </w:p>
    <w:p w14:paraId="28C97BB8" w14:textId="77777777" w:rsidR="00981963" w:rsidRPr="00566CD3" w:rsidRDefault="00AE7B3B" w:rsidP="00765EF1">
      <w:pPr>
        <w:pStyle w:val="Body"/>
        <w:jc w:val="both"/>
        <w:rPr>
          <w:kern w:val="20"/>
        </w:rPr>
      </w:pPr>
      <w:r w:rsidRPr="00566CD3">
        <w:t>Considerando que</w:t>
      </w:r>
      <w:r w:rsidR="00981963" w:rsidRPr="00566CD3">
        <w:rPr>
          <w:kern w:val="20"/>
        </w:rPr>
        <w:t xml:space="preserve"> os Pedidos de Reserva e/ou as intenções de investimento apresentadas pelos Investidores Institucionais </w:t>
      </w:r>
      <w:r w:rsidR="00981963" w:rsidRPr="00566CD3">
        <w:t>exced</w:t>
      </w:r>
      <w:r w:rsidRPr="00566CD3">
        <w:t>eram</w:t>
      </w:r>
      <w:r w:rsidR="00981963" w:rsidRPr="00566CD3">
        <w:rPr>
          <w:kern w:val="20"/>
        </w:rPr>
        <w:t xml:space="preserve"> o total de Debêntures remanescentes após o atendimento da Oferta Não Institucional, </w:t>
      </w:r>
      <w:r w:rsidRPr="00566CD3">
        <w:t>foi</w:t>
      </w:r>
      <w:r w:rsidR="00981963" w:rsidRPr="00566CD3">
        <w:rPr>
          <w:kern w:val="20"/>
        </w:rPr>
        <w:t xml:space="preserve"> necessário aplicar o critério de colocação estabelecido nos documentos da Oferta, de acordo com os quais o Coordenador Líder </w:t>
      </w:r>
      <w:r w:rsidR="00ED61A0" w:rsidRPr="00566CD3">
        <w:t>deu</w:t>
      </w:r>
      <w:r w:rsidR="00981963" w:rsidRPr="00566CD3">
        <w:rPr>
          <w:kern w:val="20"/>
        </w:rPr>
        <w:t xml:space="preserve"> prioridade aos Investidores Institucionais que, no entender do Coordenador Líder, em comum acordo com a Emissora, melhor </w:t>
      </w:r>
      <w:r w:rsidR="00981963" w:rsidRPr="00566CD3">
        <w:t>atend</w:t>
      </w:r>
      <w:r w:rsidR="00ED61A0" w:rsidRPr="00566CD3">
        <w:t>iam</w:t>
      </w:r>
      <w:r w:rsidR="00981963" w:rsidRPr="00566CD3">
        <w:rPr>
          <w:kern w:val="20"/>
        </w:rPr>
        <w:t xml:space="preserve"> os objetivos da Oferta, quais sejam, constituir uma base diversificada de investidores, integrada por investidores com diferentes critérios de avaliação das perspectivas da Emissora e a conjuntura macroeconômica brasileira e internacional, bem como criar condições para o desenvolvimento do mercado local de títulos corporativos de renda fixa.</w:t>
      </w:r>
    </w:p>
    <w:p w14:paraId="549C0009" w14:textId="77777777" w:rsidR="00E8286C" w:rsidRPr="00566CD3" w:rsidRDefault="00E8286C" w:rsidP="009E2BE2">
      <w:pPr>
        <w:pStyle w:val="Ttulo3"/>
        <w:spacing w:after="140" w:line="290" w:lineRule="auto"/>
        <w:jc w:val="both"/>
        <w:rPr>
          <w:i/>
        </w:rPr>
      </w:pPr>
      <w:bookmarkStart w:id="308" w:name="_Toc95928460"/>
      <w:r w:rsidRPr="00566CD3">
        <w:rPr>
          <w:i/>
        </w:rPr>
        <w:t>Oferta Institucional</w:t>
      </w:r>
      <w:bookmarkEnd w:id="291"/>
      <w:bookmarkEnd w:id="304"/>
      <w:bookmarkEnd w:id="305"/>
      <w:bookmarkEnd w:id="306"/>
      <w:bookmarkEnd w:id="308"/>
    </w:p>
    <w:p w14:paraId="7FBA3577" w14:textId="77777777" w:rsidR="00EE0D0B" w:rsidRPr="00566CD3" w:rsidRDefault="00462105" w:rsidP="009E2BE2">
      <w:pPr>
        <w:spacing w:after="140" w:line="290" w:lineRule="auto"/>
        <w:jc w:val="both"/>
      </w:pPr>
      <w:bookmarkStart w:id="309" w:name="_Toc427852320"/>
      <w:bookmarkStart w:id="310" w:name="_Toc428322720"/>
      <w:bookmarkEnd w:id="292"/>
      <w:r w:rsidRPr="00566CD3">
        <w:t xml:space="preserve">Os Investidores Institucionais, sejam eles considerados ou não Pessoas Vinculadas, observados o </w:t>
      </w:r>
      <w:r w:rsidR="00AC4477" w:rsidRPr="00566CD3">
        <w:t>público-alvo</w:t>
      </w:r>
      <w:r w:rsidRPr="00566CD3">
        <w:t xml:space="preserve"> da Oferta e a Oferta Não Institucional, interessados em adquirir as Debêntures, </w:t>
      </w:r>
      <w:r w:rsidR="00AE7B3B" w:rsidRPr="00566CD3">
        <w:t>deveriam</w:t>
      </w:r>
      <w:r w:rsidRPr="00566CD3">
        <w:t xml:space="preserve"> observar os seguintes procedimentos</w:t>
      </w:r>
      <w:r w:rsidR="00EE0D0B" w:rsidRPr="00566CD3">
        <w:t xml:space="preserve">: </w:t>
      </w:r>
    </w:p>
    <w:p w14:paraId="25A216CF" w14:textId="77777777" w:rsidR="00EE0D0B" w:rsidRPr="00566CD3" w:rsidRDefault="00462105" w:rsidP="00D45D71">
      <w:pPr>
        <w:pStyle w:val="Level4"/>
        <w:widowControl w:val="0"/>
        <w:numPr>
          <w:ilvl w:val="3"/>
          <w:numId w:val="32"/>
        </w:numPr>
        <w:tabs>
          <w:tab w:val="clear" w:pos="2041"/>
          <w:tab w:val="left" w:pos="1361"/>
        </w:tabs>
        <w:spacing w:after="140" w:line="290" w:lineRule="auto"/>
        <w:ind w:left="652"/>
        <w:jc w:val="both"/>
      </w:pPr>
      <w:r w:rsidRPr="00566CD3">
        <w:t xml:space="preserve">os Investidores Institucionais interessados em subscrever Debêntures </w:t>
      </w:r>
      <w:r w:rsidR="00AE7B3B" w:rsidRPr="00566CD3">
        <w:t>deveriam</w:t>
      </w:r>
      <w:r w:rsidR="00A22772" w:rsidRPr="00566CD3">
        <w:t xml:space="preserve"> </w:t>
      </w:r>
      <w:r w:rsidRPr="00566CD3">
        <w:t xml:space="preserve">apresentar </w:t>
      </w:r>
      <w:r w:rsidRPr="00566CD3">
        <w:rPr>
          <w:b/>
        </w:rPr>
        <w:t>(a)</w:t>
      </w:r>
      <w:r w:rsidRPr="00566CD3">
        <w:t xml:space="preserve"> Pedidos de Reserva durante o Período de Reserva; e/ou </w:t>
      </w:r>
      <w:r w:rsidRPr="00566CD3">
        <w:rPr>
          <w:b/>
        </w:rPr>
        <w:t>(b)</w:t>
      </w:r>
      <w:r w:rsidRPr="00566CD3">
        <w:t xml:space="preserve"> sua intenção de investimento ao </w:t>
      </w:r>
      <w:r w:rsidR="00D42D4F" w:rsidRPr="00566CD3">
        <w:t>Coordenador Líder</w:t>
      </w:r>
      <w:r w:rsidRPr="00566CD3">
        <w:t xml:space="preserve">, na data de realização do Procedimento de </w:t>
      </w:r>
      <w:r w:rsidRPr="00566CD3">
        <w:rPr>
          <w:i/>
        </w:rPr>
        <w:t>Bookbuilding</w:t>
      </w:r>
      <w:r w:rsidRPr="00566CD3">
        <w:t>, conforme cronograma indicado nos Prospectos, indicando a quantidade de Debêntures a ser adquirida em diferentes níveis de taxa de juros, inexistindo recebimento de reserva ou limites máximos de investimento. Recomend</w:t>
      </w:r>
      <w:r w:rsidR="00AE7B3B" w:rsidRPr="00566CD3">
        <w:t>ou</w:t>
      </w:r>
      <w:r w:rsidRPr="00566CD3">
        <w:t>-se aos Investidores Institucionais que entr</w:t>
      </w:r>
      <w:r w:rsidR="00A22772" w:rsidRPr="00566CD3">
        <w:t>em</w:t>
      </w:r>
      <w:r w:rsidRPr="00566CD3">
        <w:t xml:space="preserve"> em contato com a Instituição Participante da Oferta</w:t>
      </w:r>
      <w:r w:rsidRPr="00566CD3" w:rsidDel="00EE3956">
        <w:t xml:space="preserve"> </w:t>
      </w:r>
      <w:r w:rsidRPr="00566CD3">
        <w:t>de sua preferência para verificar os procedimentos adotados pela respectiva Instituição Participante da Oferta para efetivação do Pedido de Reserva e/ou de sua intenção de investimento, conforme o caso, incluindo, sem limitação, eventual necessidade de depósito prévio do investimento pretendido</w:t>
      </w:r>
      <w:r w:rsidR="00EE0D0B" w:rsidRPr="00566CD3">
        <w:t xml:space="preserve">; </w:t>
      </w:r>
    </w:p>
    <w:p w14:paraId="5651D159" w14:textId="77777777" w:rsidR="002D240A" w:rsidRPr="00566CD3" w:rsidRDefault="00462105" w:rsidP="00D45D71">
      <w:pPr>
        <w:pStyle w:val="Level4"/>
        <w:widowControl w:val="0"/>
        <w:numPr>
          <w:ilvl w:val="3"/>
          <w:numId w:val="32"/>
        </w:numPr>
        <w:tabs>
          <w:tab w:val="clear" w:pos="2041"/>
          <w:tab w:val="left" w:pos="1361"/>
        </w:tabs>
        <w:spacing w:after="140" w:line="290" w:lineRule="auto"/>
        <w:ind w:left="652"/>
        <w:jc w:val="both"/>
      </w:pPr>
      <w:bookmarkStart w:id="311" w:name="_Ref464133843"/>
      <w:r w:rsidRPr="00566CD3">
        <w:lastRenderedPageBreak/>
        <w:t>no Pedido de Reserva e/ou nas intenções de investimento, os Investidores Institucionais deve</w:t>
      </w:r>
      <w:r w:rsidR="00A22772" w:rsidRPr="00566CD3">
        <w:t>m</w:t>
      </w:r>
      <w:r w:rsidRPr="00566CD3">
        <w:t xml:space="preserve">, como condição de eficácia de seu Pedido de Reserva e/ou de sua intenção de investimento e aceitação da Oferta, estipular uma taxa mínima para </w:t>
      </w:r>
      <w:r w:rsidR="00A22772" w:rsidRPr="00566CD3">
        <w:t>os Juros Remuneratórios</w:t>
      </w:r>
      <w:r w:rsidRPr="00566CD3">
        <w:t xml:space="preserve"> das Debêntures, sendo certo que, na ausência de especificação, o Pedido de Reserva e/ou a intenção de investimento </w:t>
      </w:r>
      <w:r w:rsidR="00AE7B3B" w:rsidRPr="00566CD3">
        <w:t>foi</w:t>
      </w:r>
      <w:r w:rsidRPr="00566CD3">
        <w:t xml:space="preserve"> cancelad</w:t>
      </w:r>
      <w:r w:rsidR="00AE7B3B" w:rsidRPr="00566CD3">
        <w:t>a</w:t>
      </w:r>
      <w:r w:rsidRPr="00566CD3">
        <w:t xml:space="preserve"> pela respectiva Instituição Participante. O Investidor Institucional p</w:t>
      </w:r>
      <w:r w:rsidR="00AE7B3B" w:rsidRPr="00566CD3">
        <w:t>ô</w:t>
      </w:r>
      <w:r w:rsidRPr="00566CD3">
        <w:t xml:space="preserve">de efetuar um ou mais Pedidos de Reserva e/ou intenções de investimento, sem limitação, em diferentes níveis de taxa de juros para um mesmo Pedido de Reserva e/ou intenção de investimento ou em diferentes Pedidos de Reserva e/ou intenções de investimento. O Pedido de Reserva e/ou a intenção de investimento </w:t>
      </w:r>
      <w:r w:rsidR="00AE7B3B" w:rsidRPr="00566CD3">
        <w:t>foi</w:t>
      </w:r>
      <w:r w:rsidR="00A22772" w:rsidRPr="00566CD3">
        <w:t xml:space="preserve"> </w:t>
      </w:r>
      <w:r w:rsidRPr="00566CD3">
        <w:t>automaticamente cancelado</w:t>
      </w:r>
      <w:r w:rsidR="00A22772" w:rsidRPr="00566CD3">
        <w:t>,</w:t>
      </w:r>
      <w:r w:rsidRPr="00566CD3">
        <w:t xml:space="preserve"> caso </w:t>
      </w:r>
      <w:r w:rsidRPr="00566CD3">
        <w:rPr>
          <w:b/>
        </w:rPr>
        <w:t>(a)</w:t>
      </w:r>
      <w:r w:rsidRPr="00566CD3">
        <w:t> </w:t>
      </w:r>
      <w:r w:rsidR="00A22772" w:rsidRPr="00566CD3">
        <w:t>o Juros Remuneratórios</w:t>
      </w:r>
      <w:r w:rsidRPr="00566CD3">
        <w:t xml:space="preserve"> referente às Debêntures, fixad</w:t>
      </w:r>
      <w:r w:rsidR="00A22772" w:rsidRPr="00566CD3">
        <w:t>o</w:t>
      </w:r>
      <w:r w:rsidRPr="00566CD3">
        <w:t xml:space="preserve"> após o Procedimento de </w:t>
      </w:r>
      <w:r w:rsidRPr="00566CD3">
        <w:rPr>
          <w:i/>
        </w:rPr>
        <w:t>Bookbuilding</w:t>
      </w:r>
      <w:r w:rsidRPr="00566CD3">
        <w:t xml:space="preserve">, </w:t>
      </w:r>
      <w:r w:rsidR="00AE7B3B" w:rsidRPr="00566CD3">
        <w:t>fosse</w:t>
      </w:r>
      <w:r w:rsidRPr="00566CD3">
        <w:t xml:space="preserve"> inferior à taxa estabelecida pelo Investidor Institucional; </w:t>
      </w:r>
      <w:r w:rsidRPr="00566CD3">
        <w:rPr>
          <w:b/>
        </w:rPr>
        <w:t>(b)</w:t>
      </w:r>
      <w:r w:rsidRPr="00566CD3">
        <w:t xml:space="preserve"> o Investidor Institucional tenha estipulado como taxa mínima para as Debêntures uma taxa superior à taxa máxima estipulada no Aviso ao Mercado; e/ou </w:t>
      </w:r>
      <w:r w:rsidRPr="00566CD3">
        <w:rPr>
          <w:b/>
        </w:rPr>
        <w:t>(c)</w:t>
      </w:r>
      <w:r w:rsidRPr="00566CD3">
        <w:t> na ausência de especificação de uma taxa mínima para a Remuneração das Debêntures;</w:t>
      </w:r>
    </w:p>
    <w:p w14:paraId="1BD92E7B" w14:textId="77777777" w:rsidR="00EE0D0B" w:rsidRPr="00566CD3" w:rsidRDefault="00462105" w:rsidP="00D45D71">
      <w:pPr>
        <w:pStyle w:val="Level4"/>
        <w:widowControl w:val="0"/>
        <w:numPr>
          <w:ilvl w:val="3"/>
          <w:numId w:val="32"/>
        </w:numPr>
        <w:tabs>
          <w:tab w:val="clear" w:pos="2041"/>
          <w:tab w:val="left" w:pos="1361"/>
        </w:tabs>
        <w:spacing w:after="140" w:line="290" w:lineRule="auto"/>
        <w:ind w:left="652"/>
        <w:jc w:val="both"/>
      </w:pPr>
      <w:r w:rsidRPr="00566CD3">
        <w:t xml:space="preserve">somente </w:t>
      </w:r>
      <w:r w:rsidR="00AE7B3B" w:rsidRPr="00566CD3">
        <w:t>foram</w:t>
      </w:r>
      <w:r w:rsidRPr="00566CD3">
        <w:t xml:space="preserve"> considerad</w:t>
      </w:r>
      <w:r w:rsidR="00A22772" w:rsidRPr="00566CD3">
        <w:t>o</w:t>
      </w:r>
      <w:r w:rsidRPr="00566CD3">
        <w:t>s os Pedidos de Reserva e/ou as intenções de investimento, conforme o caso, daqueles Investidores Institucionais que preenche</w:t>
      </w:r>
      <w:r w:rsidR="00A22772" w:rsidRPr="00566CD3">
        <w:t>rem</w:t>
      </w:r>
      <w:r w:rsidRPr="00566CD3">
        <w:t xml:space="preserve"> os requisitos para participar da Oferta Institucional</w:t>
      </w:r>
      <w:r w:rsidR="00EE0D0B" w:rsidRPr="00566CD3">
        <w:t>;</w:t>
      </w:r>
      <w:bookmarkEnd w:id="311"/>
    </w:p>
    <w:p w14:paraId="75D8F4C7" w14:textId="77777777" w:rsidR="00EE0D0B" w:rsidRPr="00566CD3" w:rsidRDefault="00462105" w:rsidP="00D45D71">
      <w:pPr>
        <w:pStyle w:val="Level4"/>
        <w:widowControl w:val="0"/>
        <w:numPr>
          <w:ilvl w:val="3"/>
          <w:numId w:val="32"/>
        </w:numPr>
        <w:tabs>
          <w:tab w:val="clear" w:pos="2041"/>
          <w:tab w:val="left" w:pos="1361"/>
        </w:tabs>
        <w:spacing w:after="140" w:line="290" w:lineRule="auto"/>
        <w:ind w:left="652"/>
        <w:jc w:val="both"/>
      </w:pPr>
      <w:bookmarkStart w:id="312" w:name="_Ref480474947"/>
      <w:r w:rsidRPr="00566CD3">
        <w:t xml:space="preserve">os Investidores Institucionais que </w:t>
      </w:r>
      <w:r w:rsidR="00AE7B3B" w:rsidRPr="00566CD3">
        <w:t>fossem</w:t>
      </w:r>
      <w:r w:rsidRPr="00566CD3">
        <w:t xml:space="preserve"> Pessoas Vinculadas deve</w:t>
      </w:r>
      <w:r w:rsidR="00A22772" w:rsidRPr="00566CD3">
        <w:t>m</w:t>
      </w:r>
      <w:r w:rsidRPr="00566CD3">
        <w:t xml:space="preserve"> indicar, obrigatoriamente, no seu Pedido de Reserva e/ou na sua intenção de investimento, sua qualidade de Pessoa Vinculada, sob pena de seu Pedido de Reserva e/ou sua intenção de investimento se</w:t>
      </w:r>
      <w:r w:rsidR="00100A02" w:rsidRPr="00566CD3">
        <w:t>r</w:t>
      </w:r>
      <w:r w:rsidRPr="00566CD3">
        <w:t xml:space="preserve"> cancelado pela respectiva Instituição Participante da Oferta</w:t>
      </w:r>
      <w:r w:rsidR="00EE0D0B" w:rsidRPr="00566CD3">
        <w:t>;</w:t>
      </w:r>
      <w:bookmarkEnd w:id="312"/>
    </w:p>
    <w:p w14:paraId="1F337D2B" w14:textId="77777777" w:rsidR="00EE0D0B" w:rsidRPr="00566CD3" w:rsidRDefault="00100A02" w:rsidP="00D45D71">
      <w:pPr>
        <w:pStyle w:val="Level4"/>
        <w:widowControl w:val="0"/>
        <w:numPr>
          <w:ilvl w:val="3"/>
          <w:numId w:val="32"/>
        </w:numPr>
        <w:tabs>
          <w:tab w:val="clear" w:pos="2041"/>
          <w:tab w:val="left" w:pos="1361"/>
        </w:tabs>
        <w:spacing w:after="140" w:line="290" w:lineRule="auto"/>
        <w:ind w:left="652"/>
        <w:jc w:val="both"/>
      </w:pPr>
      <w:bookmarkStart w:id="313" w:name="_Ref480474952"/>
      <w:r w:rsidRPr="00566CD3">
        <w:t>considerando que</w:t>
      </w:r>
      <w:r w:rsidR="00462105" w:rsidRPr="00566CD3">
        <w:t xml:space="preserve"> os Pedidos de Reserva e/ou a intenção de investimento apresentada pelos Investidores Institucionais </w:t>
      </w:r>
      <w:r w:rsidRPr="00566CD3">
        <w:t xml:space="preserve">excederam </w:t>
      </w:r>
      <w:r w:rsidR="00462105" w:rsidRPr="00566CD3">
        <w:t xml:space="preserve"> o total de Debêntures remanescentes após o atendimento da Oferta Não Institucional, o </w:t>
      </w:r>
      <w:r w:rsidR="00D42D4F" w:rsidRPr="00566CD3">
        <w:t>Coordenador Líder</w:t>
      </w:r>
      <w:r w:rsidR="00462105" w:rsidRPr="00566CD3">
        <w:t xml:space="preserve"> </w:t>
      </w:r>
      <w:r w:rsidRPr="00566CD3">
        <w:t>deu</w:t>
      </w:r>
      <w:r w:rsidR="00462105" w:rsidRPr="00566CD3">
        <w:t xml:space="preserve"> prioridade aos Investidores Institucionais que, no entender do </w:t>
      </w:r>
      <w:r w:rsidR="00D42D4F" w:rsidRPr="00566CD3">
        <w:t>Coordenador Líder</w:t>
      </w:r>
      <w:r w:rsidR="00462105" w:rsidRPr="00566CD3">
        <w:t>, em comum acordo com a Emissora, melhor atendam os objetivos da Oferta, quais sejam, constituir uma base diversificada de investidores, integrada por investidores com diferentes critérios de avaliação das perspectivas da Emissora e a conjuntura macroeconômica brasileira e internacional, bem como criar condições para o desenvolvimento do mercado local de títulos corporativos de renda fixa</w:t>
      </w:r>
      <w:r w:rsidR="00EE0D0B" w:rsidRPr="00566CD3">
        <w:t>;</w:t>
      </w:r>
      <w:bookmarkEnd w:id="313"/>
      <w:r w:rsidR="00EE0D0B" w:rsidRPr="00566CD3">
        <w:t xml:space="preserve"> </w:t>
      </w:r>
    </w:p>
    <w:p w14:paraId="15558C4D" w14:textId="77777777" w:rsidR="00EE0D0B" w:rsidRPr="00566CD3" w:rsidRDefault="00462105" w:rsidP="00D45D71">
      <w:pPr>
        <w:pStyle w:val="Level4"/>
        <w:widowControl w:val="0"/>
        <w:numPr>
          <w:ilvl w:val="3"/>
          <w:numId w:val="32"/>
        </w:numPr>
        <w:tabs>
          <w:tab w:val="clear" w:pos="2041"/>
          <w:tab w:val="left" w:pos="1361"/>
        </w:tabs>
        <w:spacing w:after="140" w:line="290" w:lineRule="auto"/>
        <w:ind w:left="652"/>
        <w:jc w:val="both"/>
      </w:pPr>
      <w:r w:rsidRPr="00566CD3">
        <w:t xml:space="preserve">até o final do Dia Útil imediatamente anterior à data de divulgação do Anúncio de Início, o </w:t>
      </w:r>
      <w:r w:rsidR="00D42D4F" w:rsidRPr="00566CD3">
        <w:t>Coordenador Líder</w:t>
      </w:r>
      <w:r w:rsidRPr="00566CD3">
        <w:t xml:space="preserve"> </w:t>
      </w:r>
      <w:r w:rsidR="00A22772" w:rsidRPr="00566CD3">
        <w:t>informará</w:t>
      </w:r>
      <w:r w:rsidRPr="00566CD3">
        <w:t xml:space="preserve"> aos Investidores Institucionais, por meio do seu respectivo endereço eletrônico ou, na sua ausência, por telefone ou fac-símile: </w:t>
      </w:r>
      <w:r w:rsidRPr="00566CD3">
        <w:rPr>
          <w:b/>
        </w:rPr>
        <w:t>(a)</w:t>
      </w:r>
      <w:r w:rsidRPr="00566CD3">
        <w:t xml:space="preserve"> a respectiva Data de Integralização e horário limite; </w:t>
      </w:r>
      <w:r w:rsidRPr="00566CD3">
        <w:rPr>
          <w:b/>
        </w:rPr>
        <w:t>(b)</w:t>
      </w:r>
      <w:r w:rsidRPr="00566CD3">
        <w:t> </w:t>
      </w:r>
      <w:r w:rsidR="00A22772" w:rsidRPr="00566CD3">
        <w:t>os Juros Remuneratórios</w:t>
      </w:r>
      <w:r w:rsidRPr="00566CD3">
        <w:t xml:space="preserve"> definid</w:t>
      </w:r>
      <w:r w:rsidR="00A22772" w:rsidRPr="00566CD3">
        <w:t>o</w:t>
      </w:r>
      <w:r w:rsidRPr="00566CD3">
        <w:t xml:space="preserve"> no Procedimento de </w:t>
      </w:r>
      <w:r w:rsidRPr="00566CD3">
        <w:rPr>
          <w:i/>
        </w:rPr>
        <w:t>Bookbuilding</w:t>
      </w:r>
      <w:r w:rsidRPr="00566CD3">
        <w:t xml:space="preserve">; e </w:t>
      </w:r>
      <w:r w:rsidRPr="00566CD3">
        <w:rPr>
          <w:b/>
        </w:rPr>
        <w:t>(c)</w:t>
      </w:r>
      <w:r w:rsidRPr="00566CD3">
        <w:t xml:space="preserve"> a quantidade de Debêntures alocadas ao referido investidor. Os Investidores Institucionais integralizarão as Debêntures pelo Preço de Integralização, </w:t>
      </w:r>
      <w:r w:rsidRPr="00566CD3">
        <w:lastRenderedPageBreak/>
        <w:t>mediante pagamento à vista, em moeda corrente nacional, em recursos imediatamente disponíveis, na respectiva Data de Integralização, de acordo com as normas de liquidação e procedimentos aplicáveis da B3</w:t>
      </w:r>
      <w:r w:rsidR="00EE0D0B" w:rsidRPr="00566CD3">
        <w:t xml:space="preserve">; e </w:t>
      </w:r>
    </w:p>
    <w:p w14:paraId="0DF429DC" w14:textId="77777777" w:rsidR="00CC7BA6" w:rsidRPr="00566CD3" w:rsidRDefault="00462105" w:rsidP="00216CEF">
      <w:pPr>
        <w:pStyle w:val="Level4"/>
        <w:widowControl w:val="0"/>
        <w:numPr>
          <w:ilvl w:val="3"/>
          <w:numId w:val="32"/>
        </w:numPr>
        <w:tabs>
          <w:tab w:val="clear" w:pos="2041"/>
          <w:tab w:val="left" w:pos="1361"/>
        </w:tabs>
        <w:spacing w:after="140"/>
        <w:ind w:left="652"/>
        <w:jc w:val="both"/>
      </w:pPr>
      <w:r w:rsidRPr="00566CD3">
        <w:t xml:space="preserve">na respectiva Data de Integralização, </w:t>
      </w:r>
      <w:r w:rsidR="00A22772" w:rsidRPr="00566CD3">
        <w:t xml:space="preserve">o </w:t>
      </w:r>
      <w:r w:rsidRPr="00566CD3">
        <w:t xml:space="preserve">Coordenador </w:t>
      </w:r>
      <w:r w:rsidR="00A22772" w:rsidRPr="00566CD3">
        <w:t xml:space="preserve">Líder, </w:t>
      </w:r>
      <w:r w:rsidRPr="00566CD3">
        <w:t>junto ao qual a ordem de investimento tenha sido apresentada</w:t>
      </w:r>
      <w:r w:rsidR="00034F78" w:rsidRPr="00566CD3">
        <w:t>,</w:t>
      </w:r>
      <w:r w:rsidRPr="00566CD3">
        <w:t xml:space="preserve"> entregará a cada Investidor Institucional o número de Debêntures alocado a tal Investidor Institucional, ressalvadas as hipóteses de cancelamento da ordem de investimento, nos termos dos itens </w:t>
      </w:r>
      <w:r w:rsidR="00CC7BA6" w:rsidRPr="00566CD3">
        <w:t>(ii), (</w:t>
      </w:r>
      <w:r w:rsidR="00AD1349" w:rsidRPr="00566CD3">
        <w:t>iv</w:t>
      </w:r>
      <w:r w:rsidR="00CC7BA6" w:rsidRPr="00566CD3">
        <w:t>) e (v) acima</w:t>
      </w:r>
      <w:r w:rsidR="00DB205D" w:rsidRPr="00566CD3">
        <w:t>.</w:t>
      </w:r>
    </w:p>
    <w:p w14:paraId="6AF6A620" w14:textId="77777777" w:rsidR="008170A7" w:rsidRPr="00566CD3" w:rsidRDefault="00DB205D">
      <w:pPr>
        <w:pStyle w:val="Level4"/>
        <w:widowControl w:val="0"/>
        <w:numPr>
          <w:ilvl w:val="0"/>
          <w:numId w:val="0"/>
        </w:numPr>
        <w:tabs>
          <w:tab w:val="left" w:pos="1361"/>
        </w:tabs>
        <w:spacing w:after="140" w:line="290" w:lineRule="auto"/>
        <w:ind w:left="-28"/>
        <w:jc w:val="both"/>
      </w:pPr>
      <w:r w:rsidRPr="00566CD3">
        <w:t xml:space="preserve">Os Pedidos de Reserva e/ou a intenção de investimento dos Investidores Institucionais que sejam considerados Pessoas Vinculadas não </w:t>
      </w:r>
      <w:r w:rsidR="00100A02" w:rsidRPr="00566CD3">
        <w:t>foram</w:t>
      </w:r>
      <w:r w:rsidRPr="00566CD3">
        <w:t xml:space="preserve"> considerados no Procedimento de </w:t>
      </w:r>
      <w:r w:rsidRPr="00566CD3">
        <w:rPr>
          <w:i/>
        </w:rPr>
        <w:t>Bookbuilding</w:t>
      </w:r>
      <w:r w:rsidRPr="00566CD3">
        <w:t xml:space="preserve"> para a definição da Remuneração das Debêntures, e não </w:t>
      </w:r>
      <w:r w:rsidR="00100A02" w:rsidRPr="00566CD3">
        <w:t>participaram</w:t>
      </w:r>
      <w:r w:rsidRPr="00566CD3">
        <w:t xml:space="preserve">, portanto, do procedimento de coleta de intenções de investimento que </w:t>
      </w:r>
      <w:r w:rsidR="00100A02" w:rsidRPr="00566CD3">
        <w:t>definiu</w:t>
      </w:r>
      <w:r w:rsidRPr="00566CD3">
        <w:t xml:space="preserve"> os Juros Remuneratórios das Debêntures.</w:t>
      </w:r>
    </w:p>
    <w:p w14:paraId="1350053A" w14:textId="4B438DC4" w:rsidR="00E8286C" w:rsidRPr="00566CD3" w:rsidRDefault="00A22772" w:rsidP="009E2BE2">
      <w:pPr>
        <w:pStyle w:val="Level4"/>
        <w:widowControl w:val="0"/>
        <w:numPr>
          <w:ilvl w:val="0"/>
          <w:numId w:val="0"/>
        </w:numPr>
        <w:tabs>
          <w:tab w:val="left" w:pos="1361"/>
        </w:tabs>
        <w:spacing w:after="140" w:line="290" w:lineRule="auto"/>
        <w:ind w:left="-28"/>
        <w:jc w:val="both"/>
      </w:pPr>
      <w:r w:rsidRPr="00566CD3">
        <w:t xml:space="preserve">Nos termos do artigo 55 da Instrução CVM 400, </w:t>
      </w:r>
      <w:r w:rsidR="00032A25">
        <w:rPr>
          <w:rFonts w:cs="Calibri"/>
        </w:rPr>
        <w:t>foi aceita</w:t>
      </w:r>
      <w:r w:rsidRPr="00566CD3">
        <w:t xml:space="preserve"> a participação de Investidores da Oferta que </w:t>
      </w:r>
      <w:r w:rsidR="00100A02" w:rsidRPr="00566CD3">
        <w:t>fossem</w:t>
      </w:r>
      <w:r w:rsidRPr="00566CD3">
        <w:t xml:space="preserve"> Pessoas Vinculadas. Caso </w:t>
      </w:r>
      <w:r w:rsidR="00100A02" w:rsidRPr="00566CD3">
        <w:t>fosse</w:t>
      </w:r>
      <w:r w:rsidRPr="00566CD3">
        <w:t xml:space="preserve"> verificado excesso de demanda superior em 1/3 (um terço) à quantidade de Debêntures inicialmente ofertada (sem considerar as Debêntures Adicionais), não </w:t>
      </w:r>
      <w:r w:rsidR="004E6600" w:rsidRPr="00566CD3">
        <w:t>seria</w:t>
      </w:r>
      <w:r w:rsidRPr="00566CD3">
        <w:t xml:space="preserve"> permitida a colocação de Debêntures junto aos Investidores da Oferta que </w:t>
      </w:r>
      <w:r w:rsidR="00100A02" w:rsidRPr="00566CD3">
        <w:t>fossem</w:t>
      </w:r>
      <w:r w:rsidRPr="00566CD3">
        <w:t xml:space="preserve"> Pessoas Vinculadas</w:t>
      </w:r>
      <w:r w:rsidR="00100A02" w:rsidRPr="00566CD3">
        <w:t>.</w:t>
      </w:r>
      <w:r w:rsidRPr="00566CD3">
        <w:t>, sendo suas ordens de investimento ou Pedidos de Reserva, conforme o caso, automaticamente cancelados.</w:t>
      </w:r>
    </w:p>
    <w:p w14:paraId="7FE52F40" w14:textId="77777777" w:rsidR="00611EBC" w:rsidRPr="00566CD3" w:rsidRDefault="00611EBC" w:rsidP="009E2BE2">
      <w:pPr>
        <w:pStyle w:val="Ttulo3"/>
        <w:spacing w:after="140" w:line="290" w:lineRule="auto"/>
        <w:jc w:val="both"/>
        <w:rPr>
          <w:i/>
        </w:rPr>
      </w:pPr>
      <w:bookmarkStart w:id="314" w:name="_Toc87002530"/>
      <w:bookmarkStart w:id="315" w:name="_Toc90045143"/>
      <w:bookmarkStart w:id="316" w:name="_Toc95928461"/>
      <w:r w:rsidRPr="00566CD3">
        <w:rPr>
          <w:i/>
        </w:rPr>
        <w:t>Distribuição Parcial</w:t>
      </w:r>
      <w:bookmarkEnd w:id="314"/>
      <w:bookmarkEnd w:id="315"/>
      <w:bookmarkEnd w:id="316"/>
    </w:p>
    <w:p w14:paraId="16529866" w14:textId="77777777" w:rsidR="00E8286C" w:rsidRPr="00566CD3" w:rsidRDefault="00CC7BA6" w:rsidP="009E2BE2">
      <w:pPr>
        <w:spacing w:after="140" w:line="290" w:lineRule="auto"/>
        <w:jc w:val="both"/>
      </w:pPr>
      <w:r w:rsidRPr="00566CD3">
        <w:t>Não será admitida a distribuição parcial das Debêntures</w:t>
      </w:r>
      <w:r w:rsidR="006478A5" w:rsidRPr="00566CD3">
        <w:t>.</w:t>
      </w:r>
    </w:p>
    <w:p w14:paraId="79AD3520" w14:textId="77777777" w:rsidR="00E8286C" w:rsidRPr="00566CD3" w:rsidRDefault="00E8286C" w:rsidP="009E2BE2">
      <w:pPr>
        <w:pStyle w:val="Ttulo3"/>
        <w:spacing w:after="140" w:line="290" w:lineRule="auto"/>
        <w:jc w:val="both"/>
        <w:rPr>
          <w:i/>
        </w:rPr>
      </w:pPr>
      <w:bookmarkStart w:id="317" w:name="_Toc460016404"/>
      <w:bookmarkStart w:id="318" w:name="_Toc87002531"/>
      <w:bookmarkStart w:id="319" w:name="_Toc90045144"/>
      <w:bookmarkStart w:id="320" w:name="_Toc95928462"/>
      <w:bookmarkStart w:id="321" w:name="_Toc427852321"/>
      <w:bookmarkStart w:id="322" w:name="_Toc428322721"/>
      <w:bookmarkStart w:id="323" w:name="_Ref434936386"/>
      <w:bookmarkEnd w:id="309"/>
      <w:bookmarkEnd w:id="310"/>
      <w:r w:rsidRPr="00566CD3">
        <w:rPr>
          <w:i/>
        </w:rPr>
        <w:t>Inadequação da Oferta a Certos Investidores</w:t>
      </w:r>
      <w:bookmarkEnd w:id="317"/>
      <w:bookmarkEnd w:id="318"/>
      <w:bookmarkEnd w:id="319"/>
      <w:bookmarkEnd w:id="320"/>
    </w:p>
    <w:p w14:paraId="04DC160C" w14:textId="77777777" w:rsidR="00CC7BA6" w:rsidRPr="00D8141D" w:rsidRDefault="00CC7BA6" w:rsidP="009E2BE2">
      <w:pPr>
        <w:pStyle w:val="HOMEBRBodyText"/>
        <w:keepLines w:val="0"/>
        <w:widowControl w:val="0"/>
        <w:spacing w:after="140" w:line="290" w:lineRule="auto"/>
        <w:jc w:val="both"/>
        <w:rPr>
          <w:rFonts w:cs="Calibri"/>
          <w:b/>
          <w:lang w:val="pt-BR"/>
        </w:rPr>
      </w:pPr>
      <w:r w:rsidRPr="00D8141D">
        <w:rPr>
          <w:rFonts w:cs="Calibri"/>
          <w:b/>
          <w:lang w:val="pt-BR"/>
        </w:rPr>
        <w:t>O investimento nas Debêntures não é adequado a investidores que: (i) não tenham profundo conhecimento dos riscos envolvidos na operação ou que não tenham acesso a consultoria especializada; (ii) necessitem de liquidez com relação às Debêntures a serem subscritas, tendo em vista a possibilidade de serem pequenas ou inexistentes as negociações das Debêntures no mercado secundário; e/ou (iii) não estejam dispostos a correr o risco de crédito de empresa do setor privado e/ou dos setores em que a Emissora atua, em particular na transmissão de energia elétrica.</w:t>
      </w:r>
      <w:r w:rsidR="00E8286C" w:rsidRPr="00D8141D">
        <w:rPr>
          <w:rFonts w:cs="Calibri"/>
          <w:b/>
          <w:lang w:val="pt-BR"/>
        </w:rPr>
        <w:t xml:space="preserve"> </w:t>
      </w:r>
    </w:p>
    <w:p w14:paraId="0A4682EF" w14:textId="64D1295F" w:rsidR="00E8286C" w:rsidRPr="00D8141D" w:rsidRDefault="00E8286C" w:rsidP="009E2BE2">
      <w:pPr>
        <w:pStyle w:val="HOMEBRBodyText"/>
        <w:keepLines w:val="0"/>
        <w:widowControl w:val="0"/>
        <w:spacing w:after="140" w:line="290" w:lineRule="auto"/>
        <w:jc w:val="both"/>
        <w:rPr>
          <w:rFonts w:cs="Calibri"/>
          <w:lang w:val="pt-BR"/>
        </w:rPr>
      </w:pPr>
      <w:r w:rsidRPr="00D8141D">
        <w:rPr>
          <w:rFonts w:cs="Calibri"/>
          <w:b/>
          <w:lang w:val="pt-BR"/>
        </w:rPr>
        <w:t xml:space="preserve">Para uma avaliação adequada dos riscos associados ao investimento nas Debêntures, os investidores deverão ler a seção </w:t>
      </w:r>
      <w:r w:rsidR="002A4B8C" w:rsidRPr="00D8141D">
        <w:rPr>
          <w:rFonts w:cs="Calibri"/>
          <w:b/>
          <w:lang w:val="pt-BR"/>
        </w:rPr>
        <w:t>“</w:t>
      </w:r>
      <w:r w:rsidRPr="00D8141D">
        <w:rPr>
          <w:rFonts w:cs="Calibri"/>
          <w:b/>
          <w:lang w:val="pt-BR"/>
        </w:rPr>
        <w:t>Fatores de Risco Relacionados à Oferta e às Debêntures</w:t>
      </w:r>
      <w:r w:rsidR="002A4B8C" w:rsidRPr="00D8141D">
        <w:rPr>
          <w:rFonts w:cs="Calibri"/>
          <w:b/>
          <w:lang w:val="pt-BR"/>
        </w:rPr>
        <w:t>”</w:t>
      </w:r>
      <w:r w:rsidRPr="00D8141D">
        <w:rPr>
          <w:rFonts w:cs="Calibri"/>
          <w:b/>
          <w:lang w:val="pt-BR"/>
        </w:rPr>
        <w:t xml:space="preserve">, nas páginas </w:t>
      </w:r>
      <w:r w:rsidR="00AA7635" w:rsidRPr="00D8141D">
        <w:rPr>
          <w:rFonts w:cs="Calibri"/>
          <w:b/>
          <w:bCs/>
          <w:noProof/>
          <w:lang w:val="pt-BR"/>
        </w:rPr>
        <w:fldChar w:fldCharType="begin"/>
      </w:r>
      <w:r w:rsidR="00AA7635" w:rsidRPr="00D8141D">
        <w:rPr>
          <w:rFonts w:cs="Calibri"/>
          <w:b/>
          <w:lang w:val="pt-BR"/>
        </w:rPr>
        <w:instrText xml:space="preserve"> PAGEREF _Ref90060511 \h </w:instrText>
      </w:r>
      <w:r w:rsidR="00AA7635" w:rsidRPr="00D8141D">
        <w:rPr>
          <w:rFonts w:cs="Calibri"/>
          <w:b/>
          <w:bCs/>
          <w:noProof/>
          <w:lang w:val="pt-BR"/>
        </w:rPr>
      </w:r>
      <w:r w:rsidR="00AA7635" w:rsidRPr="00D8141D">
        <w:rPr>
          <w:rFonts w:cs="Calibri"/>
          <w:b/>
          <w:bCs/>
          <w:noProof/>
          <w:lang w:val="pt-BR"/>
        </w:rPr>
        <w:fldChar w:fldCharType="separate"/>
      </w:r>
      <w:r w:rsidR="001166EA">
        <w:rPr>
          <w:rFonts w:cs="Calibri"/>
          <w:b/>
          <w:noProof/>
          <w:lang w:val="pt-BR"/>
        </w:rPr>
        <w:t>128</w:t>
      </w:r>
      <w:r w:rsidR="00AA7635" w:rsidRPr="00D8141D">
        <w:rPr>
          <w:rFonts w:cs="Calibri"/>
          <w:b/>
          <w:bCs/>
          <w:noProof/>
          <w:lang w:val="pt-BR"/>
        </w:rPr>
        <w:fldChar w:fldCharType="end"/>
      </w:r>
      <w:r w:rsidRPr="00D8141D">
        <w:rPr>
          <w:rFonts w:cs="Calibri"/>
          <w:b/>
          <w:bCs/>
          <w:lang w:val="pt-BR"/>
        </w:rPr>
        <w:t xml:space="preserve"> a </w:t>
      </w:r>
      <w:r w:rsidR="00137FB1">
        <w:rPr>
          <w:rFonts w:cs="Calibri"/>
          <w:b/>
          <w:bCs/>
          <w:noProof/>
          <w:lang w:val="pt-BR"/>
        </w:rPr>
        <w:fldChar w:fldCharType="begin"/>
      </w:r>
      <w:r w:rsidR="00137FB1">
        <w:rPr>
          <w:rFonts w:cs="Calibri"/>
          <w:b/>
          <w:bCs/>
          <w:lang w:val="pt-BR"/>
        </w:rPr>
        <w:instrText xml:space="preserve"> PAGEREF fator_de_risco_taxa_subs \h </w:instrText>
      </w:r>
      <w:r w:rsidR="00137FB1">
        <w:rPr>
          <w:rFonts w:cs="Calibri"/>
          <w:b/>
          <w:bCs/>
          <w:noProof/>
          <w:lang w:val="pt-BR"/>
        </w:rPr>
      </w:r>
      <w:r w:rsidR="00137FB1">
        <w:rPr>
          <w:rFonts w:cs="Calibri"/>
          <w:b/>
          <w:bCs/>
          <w:noProof/>
          <w:lang w:val="pt-BR"/>
        </w:rPr>
        <w:fldChar w:fldCharType="separate"/>
      </w:r>
      <w:r w:rsidR="001166EA">
        <w:rPr>
          <w:rFonts w:cs="Calibri"/>
          <w:b/>
          <w:bCs/>
          <w:noProof/>
          <w:lang w:val="pt-BR"/>
        </w:rPr>
        <w:t>138</w:t>
      </w:r>
      <w:r w:rsidR="00137FB1">
        <w:rPr>
          <w:rFonts w:cs="Calibri"/>
          <w:b/>
          <w:bCs/>
          <w:noProof/>
          <w:lang w:val="pt-BR"/>
        </w:rPr>
        <w:fldChar w:fldCharType="end"/>
      </w:r>
      <w:r w:rsidRPr="00D8141D">
        <w:rPr>
          <w:rFonts w:cs="Calibri"/>
          <w:b/>
          <w:lang w:val="pt-BR"/>
        </w:rPr>
        <w:t xml:space="preserve"> deste Prospecto, bem como o item </w:t>
      </w:r>
      <w:r w:rsidR="002A4B8C" w:rsidRPr="00D8141D">
        <w:rPr>
          <w:rFonts w:cs="Calibri"/>
          <w:b/>
          <w:lang w:val="pt-BR"/>
        </w:rPr>
        <w:t>“</w:t>
      </w:r>
      <w:r w:rsidRPr="00D8141D">
        <w:rPr>
          <w:rFonts w:cs="Calibri"/>
          <w:b/>
          <w:lang w:val="pt-BR"/>
        </w:rPr>
        <w:t>4. Fatores de Risco</w:t>
      </w:r>
      <w:r w:rsidR="002A4B8C" w:rsidRPr="00D8141D">
        <w:rPr>
          <w:rFonts w:cs="Calibri"/>
          <w:b/>
          <w:lang w:val="pt-BR"/>
        </w:rPr>
        <w:t>”</w:t>
      </w:r>
      <w:r w:rsidRPr="00D8141D">
        <w:rPr>
          <w:rFonts w:cs="Calibri"/>
          <w:b/>
          <w:lang w:val="pt-BR"/>
        </w:rPr>
        <w:t xml:space="preserve"> do Formulário de Referência antes de aceitar a Oferta.</w:t>
      </w:r>
    </w:p>
    <w:p w14:paraId="4E19C39F" w14:textId="77777777" w:rsidR="00E8286C" w:rsidRPr="00566CD3" w:rsidRDefault="00E8286C" w:rsidP="009E2BE2">
      <w:pPr>
        <w:pStyle w:val="Ttulo3"/>
        <w:spacing w:after="140" w:line="290" w:lineRule="auto"/>
        <w:jc w:val="both"/>
        <w:rPr>
          <w:i/>
        </w:rPr>
      </w:pPr>
      <w:bookmarkStart w:id="324" w:name="_Toc460016405"/>
      <w:bookmarkStart w:id="325" w:name="_Toc87002532"/>
      <w:bookmarkStart w:id="326" w:name="_Toc90045145"/>
      <w:bookmarkStart w:id="327" w:name="_Toc95928463"/>
      <w:bookmarkStart w:id="328" w:name="_Toc427852322"/>
      <w:bookmarkStart w:id="329" w:name="_Toc428322722"/>
      <w:bookmarkEnd w:id="321"/>
      <w:bookmarkEnd w:id="322"/>
      <w:bookmarkEnd w:id="323"/>
      <w:r w:rsidRPr="00566CD3">
        <w:rPr>
          <w:i/>
        </w:rPr>
        <w:t>Modificação da Oferta</w:t>
      </w:r>
      <w:bookmarkEnd w:id="324"/>
      <w:bookmarkEnd w:id="325"/>
      <w:bookmarkEnd w:id="326"/>
      <w:bookmarkEnd w:id="327"/>
    </w:p>
    <w:p w14:paraId="4D727876" w14:textId="77777777" w:rsidR="00E8286C" w:rsidRDefault="00CC7BA6" w:rsidP="009E2BE2">
      <w:pPr>
        <w:pStyle w:val="HOMEBRBodyText"/>
        <w:keepLines w:val="0"/>
        <w:widowControl w:val="0"/>
        <w:spacing w:after="140" w:line="290" w:lineRule="auto"/>
        <w:jc w:val="both"/>
        <w:rPr>
          <w:rFonts w:cs="Calibri"/>
          <w:lang w:val="pt-BR"/>
        </w:rPr>
      </w:pPr>
      <w:r w:rsidRPr="00D8141D">
        <w:rPr>
          <w:rFonts w:cs="Calibri"/>
          <w:lang w:val="pt-BR"/>
        </w:rPr>
        <w:t xml:space="preserve">Nos termos do artigo 25 e seguintes da Instrução CVM 400, havendo, a juízo da CVM, alteração substancial, posterior e imprevisível nas circunstâncias de fato existentes quando da apresentação </w:t>
      </w:r>
      <w:r w:rsidRPr="00D8141D">
        <w:rPr>
          <w:rFonts w:cs="Calibri"/>
          <w:lang w:val="pt-BR"/>
        </w:rPr>
        <w:lastRenderedPageBreak/>
        <w:t xml:space="preserve">do pedido de registro da Oferta, ou que o fundamentem, acarretando aumento relevante dos riscos assumidos pela Emissora e inerentes à própria Oferta, a CVM poderá acolher pleito de modificação da Oferta. O pleito de modificação da Oferta presumir-se-á deferido caso não haja manifestação da CVM em sentido contrário no prazo de 10 (dez) Dias Úteis, contado do seu protocolo na CVM. Tendo sido deferida a modificação, a CVM poderá, por sua própria iniciativa ou a requerimento do ofertante, prorrogar o prazo da Oferta por até 90 (noventa) dias. É sempre permitida a modificação da Oferta para melhorá-la em favor dos investidores ou para renúncia a condição da Oferta estabelecida pela Emissora. Caso a Oferta seja modificada, nos termos dos artigos 25 a 27 da Instrução CVM 400: </w:t>
      </w:r>
      <w:r w:rsidRPr="00D8141D">
        <w:rPr>
          <w:rFonts w:cs="Calibri"/>
          <w:b/>
          <w:lang w:val="pt-BR"/>
        </w:rPr>
        <w:t>(i)</w:t>
      </w:r>
      <w:r w:rsidRPr="00D8141D">
        <w:rPr>
          <w:rFonts w:cs="Calibri"/>
          <w:lang w:val="pt-BR"/>
        </w:rPr>
        <w:t xml:space="preserve"> a modificação deverá ser divulgada imediatamente através de meios ao menos iguais aos utilizados para a divulgação da Oferta; </w:t>
      </w:r>
      <w:r w:rsidRPr="00D8141D">
        <w:rPr>
          <w:rFonts w:cs="Calibri"/>
          <w:b/>
          <w:lang w:val="pt-BR"/>
        </w:rPr>
        <w:t>(ii)</w:t>
      </w:r>
      <w:r w:rsidRPr="00D8141D">
        <w:rPr>
          <w:rFonts w:cs="Calibri"/>
          <w:lang w:val="pt-BR"/>
        </w:rPr>
        <w:t> </w:t>
      </w:r>
      <w:r w:rsidR="00483D36" w:rsidRPr="00D8141D">
        <w:rPr>
          <w:rFonts w:cs="Calibri"/>
          <w:lang w:val="pt-BR"/>
        </w:rPr>
        <w:t>as Instituições Participantes da Oferta</w:t>
      </w:r>
      <w:r w:rsidRPr="00D8141D">
        <w:rPr>
          <w:rFonts w:cs="Calibri"/>
          <w:lang w:val="pt-BR"/>
        </w:rPr>
        <w:t xml:space="preserve"> deverão se acautelar e se certificar, no momento do recebimento das aceitações da Oferta, de que o investidor está ciente de que a Oferta foi alterada e de que tem conhecimento das novas condições; e </w:t>
      </w:r>
      <w:r w:rsidRPr="00D8141D">
        <w:rPr>
          <w:rFonts w:cs="Calibri"/>
          <w:b/>
          <w:lang w:val="pt-BR"/>
        </w:rPr>
        <w:t>(iii)</w:t>
      </w:r>
      <w:r w:rsidRPr="00D8141D">
        <w:rPr>
          <w:rFonts w:cs="Calibri"/>
          <w:lang w:val="pt-BR"/>
        </w:rPr>
        <w:t> os investidores que já tiverem aderido à Oferta deverão ser comunicados diretamente, por correio eletrônico, correspondência física ou qualquer outra forma de comunicação passível de comprovação, a respeito da modificação efetuada, para que confirmem, até as 16h00 (dezesseis horas) do 5º (quinto) Dia Útil subsequente à data em que foi comunicada ao investidor a modificação da Oferta, o interesse em revogar sua aceitação à Oferta, presumindo-se, na falta da manifestação, o interesse do investidor em não revogar sua aceitação. Se o investidor revogar sua aceitação e se o investidor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da respectiva revogação.</w:t>
      </w:r>
    </w:p>
    <w:p w14:paraId="009F8244" w14:textId="77777777" w:rsidR="00E8286C" w:rsidRPr="00566CD3" w:rsidRDefault="00E8286C" w:rsidP="009E2BE2">
      <w:pPr>
        <w:pStyle w:val="Ttulo3"/>
        <w:spacing w:after="140" w:line="290" w:lineRule="auto"/>
        <w:jc w:val="both"/>
        <w:rPr>
          <w:i/>
        </w:rPr>
      </w:pPr>
      <w:bookmarkStart w:id="330" w:name="_Toc460016406"/>
      <w:bookmarkStart w:id="331" w:name="_Toc87002533"/>
      <w:bookmarkStart w:id="332" w:name="_Toc90045146"/>
      <w:bookmarkStart w:id="333" w:name="_Toc95928464"/>
      <w:bookmarkStart w:id="334" w:name="_Toc427852323"/>
      <w:bookmarkStart w:id="335" w:name="_Toc428322723"/>
      <w:bookmarkEnd w:id="328"/>
      <w:bookmarkEnd w:id="329"/>
      <w:r w:rsidRPr="00566CD3">
        <w:rPr>
          <w:i/>
        </w:rPr>
        <w:t>Suspensão da Oferta</w:t>
      </w:r>
      <w:bookmarkEnd w:id="330"/>
      <w:r w:rsidR="006478A5" w:rsidRPr="00566CD3">
        <w:rPr>
          <w:i/>
        </w:rPr>
        <w:t xml:space="preserve"> ou Verificação de Divergência Relevante entre este Prospecto </w:t>
      </w:r>
      <w:r w:rsidR="003568F5" w:rsidRPr="00566CD3">
        <w:rPr>
          <w:i/>
        </w:rPr>
        <w:t>Definitivo</w:t>
      </w:r>
      <w:r w:rsidR="006478A5" w:rsidRPr="00566CD3">
        <w:rPr>
          <w:i/>
        </w:rPr>
        <w:t xml:space="preserve"> e o Prospecto </w:t>
      </w:r>
      <w:r w:rsidR="003568F5" w:rsidRPr="00566CD3">
        <w:rPr>
          <w:i/>
        </w:rPr>
        <w:t>Preliminar</w:t>
      </w:r>
      <w:bookmarkEnd w:id="331"/>
      <w:bookmarkEnd w:id="332"/>
      <w:bookmarkEnd w:id="333"/>
    </w:p>
    <w:p w14:paraId="02552680" w14:textId="77777777" w:rsidR="00E8286C" w:rsidRPr="00D8141D" w:rsidRDefault="00CC7BA6" w:rsidP="009E2BE2">
      <w:pPr>
        <w:pStyle w:val="HOMEBRBodyText"/>
        <w:keepLines w:val="0"/>
        <w:widowControl w:val="0"/>
        <w:spacing w:after="140" w:line="290" w:lineRule="auto"/>
        <w:jc w:val="both"/>
        <w:rPr>
          <w:rFonts w:cs="Calibri"/>
          <w:spacing w:val="-6"/>
          <w:lang w:val="pt-BR"/>
        </w:rPr>
      </w:pPr>
      <w:r w:rsidRPr="00D8141D">
        <w:rPr>
          <w:rFonts w:cs="Calibri"/>
          <w:spacing w:val="-6"/>
          <w:lang w:val="pt-BR"/>
        </w:rPr>
        <w:t xml:space="preserve">Nos termos do artigo 19 da Instrução CVM 400, a CVM: </w:t>
      </w:r>
      <w:r w:rsidRPr="00D8141D">
        <w:rPr>
          <w:rFonts w:cs="Calibri"/>
          <w:b/>
          <w:spacing w:val="-6"/>
          <w:lang w:val="pt-BR"/>
        </w:rPr>
        <w:t>(i)</w:t>
      </w:r>
      <w:r w:rsidRPr="00D8141D">
        <w:rPr>
          <w:rFonts w:cs="Calibri"/>
          <w:spacing w:val="-6"/>
          <w:lang w:val="pt-BR"/>
        </w:rPr>
        <w:t xml:space="preserve"> poderá suspender, a qualquer tempo, a Oferta se: </w:t>
      </w:r>
      <w:r w:rsidRPr="00D8141D">
        <w:rPr>
          <w:rFonts w:cs="Calibri"/>
          <w:b/>
          <w:spacing w:val="-6"/>
          <w:lang w:val="pt-BR"/>
        </w:rPr>
        <w:t>(a)</w:t>
      </w:r>
      <w:r w:rsidRPr="00D8141D">
        <w:rPr>
          <w:rFonts w:cs="Calibri"/>
          <w:spacing w:val="-6"/>
          <w:lang w:val="pt-BR"/>
        </w:rPr>
        <w:t xml:space="preserve"> estiver se processando em condições diversas das constantes da Instrução CVM 400 ou do registro da Oferta; ou </w:t>
      </w:r>
      <w:r w:rsidRPr="00D8141D">
        <w:rPr>
          <w:rFonts w:cs="Calibri"/>
          <w:b/>
          <w:spacing w:val="-6"/>
          <w:lang w:val="pt-BR"/>
        </w:rPr>
        <w:t>(b)</w:t>
      </w:r>
      <w:r w:rsidRPr="00D8141D">
        <w:rPr>
          <w:rFonts w:cs="Calibri"/>
          <w:spacing w:val="-6"/>
          <w:lang w:val="pt-BR"/>
        </w:rPr>
        <w:t xml:space="preserve"> for havida por ilegal, contrária à regulamentação da CVM ou fraudulenta, ainda que após obtido o respectivo registro da Oferta; e </w:t>
      </w:r>
      <w:r w:rsidRPr="00D8141D">
        <w:rPr>
          <w:rFonts w:cs="Calibri"/>
          <w:b/>
          <w:spacing w:val="-6"/>
          <w:lang w:val="pt-BR"/>
        </w:rPr>
        <w:t>(ii)</w:t>
      </w:r>
      <w:r w:rsidRPr="00D8141D">
        <w:rPr>
          <w:rFonts w:cs="Calibri"/>
          <w:spacing w:val="-6"/>
          <w:lang w:val="pt-BR"/>
        </w:rPr>
        <w:t xml:space="preserve"> deverá suspender a Oferta quando verificar ilegalidade ou violação de regulamento sanáveis.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 Emissora deverá dar conhecimento da suspensão diretamente aos investidores que já tenham aceitado a Oferta, ao menos pelos meios utilizados para a divulgação da Oferta, facultando-lhes a possibilidade de revogar a aceitação até às 16h00 (dezesseis horas) do 5º (quinto) Dia Útil subsequente à data em que foi comunicada ao investidor a suspensão da Oferta, presumindo-se, na falta da manifestação, o interesse do investidor em não revogar sua aceitação. Se o investidor revogar sua aceitação e se o investidor já tiver efetuado o pagamento do Preço de Integralização, o referido Preço de </w:t>
      </w:r>
      <w:r w:rsidRPr="00D8141D">
        <w:rPr>
          <w:rFonts w:cs="Calibri"/>
          <w:spacing w:val="-6"/>
          <w:lang w:val="pt-BR"/>
        </w:rPr>
        <w:lastRenderedPageBreak/>
        <w:t>Integralização será devolvido sem juros ou correção monetária, sem reembolso e com dedução dos valores relativos aos tributos e encargos incidentes, se existentes, no prazo de 5 (cinco) Dias Úteis contados da data da respectiva revogação.</w:t>
      </w:r>
    </w:p>
    <w:p w14:paraId="17B2AE08" w14:textId="77777777" w:rsidR="006478A5" w:rsidRPr="00566CD3" w:rsidRDefault="006478A5" w:rsidP="006478A5">
      <w:pPr>
        <w:autoSpaceDE w:val="0"/>
        <w:autoSpaceDN w:val="0"/>
        <w:adjustRightInd w:val="0"/>
        <w:spacing w:line="290" w:lineRule="auto"/>
        <w:jc w:val="both"/>
      </w:pPr>
      <w:r w:rsidRPr="00566CD3">
        <w:t xml:space="preserve">Caso </w:t>
      </w:r>
      <w:r w:rsidRPr="00566CD3">
        <w:rPr>
          <w:b/>
        </w:rPr>
        <w:t xml:space="preserve">(a) </w:t>
      </w:r>
      <w:r w:rsidRPr="00566CD3">
        <w:t xml:space="preserve">a Oferta seja suspensa, conforme disposto no parágrafo acima e nos termos dos artigos 19 e 20 da Instrução CVM 400, ou </w:t>
      </w:r>
      <w:r w:rsidRPr="00566CD3">
        <w:rPr>
          <w:b/>
        </w:rPr>
        <w:t>(b)</w:t>
      </w:r>
      <w:r w:rsidRPr="00566CD3">
        <w:t xml:space="preserve"> caso seja verificada divergência relevante entre as informações constantes deste Prospecto </w:t>
      </w:r>
      <w:r w:rsidR="003568F5" w:rsidRPr="00566CD3">
        <w:t>Definitivo</w:t>
      </w:r>
      <w:r w:rsidRPr="00566CD3">
        <w:t xml:space="preserve"> e do Prospecto </w:t>
      </w:r>
      <w:r w:rsidR="003568F5" w:rsidRPr="00566CD3">
        <w:t>Preliminar</w:t>
      </w:r>
      <w:r w:rsidRPr="00566CD3">
        <w:t xml:space="preserve"> que altere substancialmente o risco assumido pelo investidor ou a sua decisão de investimento, o investidor que já tiver aderido à Oferta deverá ser diretamente comunicado, por correio eletrônico, correspondência física ou qualquer forma de comunicação passível de comprovação, a respeito e poderá revogar sua aceitação à Oferta, devendo, para tanto, informar sua decisão à Instituição Participante da Oferta com quem tenha realizado sua intenção de investimento (i) até o 5º (quinto) Dia Útil subsequente à data de disponibilização </w:t>
      </w:r>
      <w:r w:rsidR="004749FB" w:rsidRPr="00566CD3">
        <w:t xml:space="preserve">deste </w:t>
      </w:r>
      <w:r w:rsidRPr="00566CD3">
        <w:t>Prospecto Definitivo, no caso da alínea (b) acima; e (ii) até o 5º (quinto) Dia Útil subsequente à data em que foi diretamente comunicado por escrito sobre a suspensão da Oferta, no caso da alínea (a) acima, presumindo-se, na falta da manifestação, o interesse do investidor em não revogar sua aceitação. Se o investidor revogar sua aceitação e se o investidor já tiver efetuado o pagamento do Preço de Subscrição das Debêntures que houver subscrito, referido Preço de Subscrição será devolvido sem juros ou correção monetária, sem reembolso e com dedução dos valores relativos aos tributos e encargos incidentes, se existentes, no prazo de 5 (cinco) Dias Úteis contados da data da respectiva revogação.</w:t>
      </w:r>
    </w:p>
    <w:p w14:paraId="5924AE26" w14:textId="77777777" w:rsidR="00E8286C" w:rsidRPr="00566CD3" w:rsidRDefault="00E8286C" w:rsidP="009E2BE2">
      <w:pPr>
        <w:pStyle w:val="Ttulo3"/>
        <w:spacing w:after="140" w:line="290" w:lineRule="auto"/>
        <w:jc w:val="both"/>
        <w:rPr>
          <w:i/>
        </w:rPr>
      </w:pPr>
      <w:bookmarkStart w:id="336" w:name="_Toc460016407"/>
      <w:bookmarkStart w:id="337" w:name="_Toc87002534"/>
      <w:bookmarkStart w:id="338" w:name="_Ref90060094"/>
      <w:bookmarkStart w:id="339" w:name="_Toc90045147"/>
      <w:bookmarkStart w:id="340" w:name="_Toc95928465"/>
      <w:bookmarkStart w:id="341" w:name="_Toc428322724"/>
      <w:bookmarkEnd w:id="334"/>
      <w:bookmarkEnd w:id="335"/>
      <w:r w:rsidRPr="00566CD3">
        <w:rPr>
          <w:i/>
        </w:rPr>
        <w:t>Cancelamento</w:t>
      </w:r>
      <w:r w:rsidR="006478A5" w:rsidRPr="00566CD3">
        <w:rPr>
          <w:i/>
        </w:rPr>
        <w:t xml:space="preserve">, </w:t>
      </w:r>
      <w:r w:rsidRPr="00566CD3">
        <w:rPr>
          <w:i/>
        </w:rPr>
        <w:t>Revogação da Oferta</w:t>
      </w:r>
      <w:bookmarkEnd w:id="336"/>
      <w:r w:rsidR="006478A5" w:rsidRPr="00566CD3">
        <w:rPr>
          <w:i/>
        </w:rPr>
        <w:t xml:space="preserve"> ou Resilição do Contrato de Distribuição</w:t>
      </w:r>
      <w:bookmarkEnd w:id="337"/>
      <w:bookmarkEnd w:id="338"/>
      <w:bookmarkEnd w:id="339"/>
      <w:bookmarkEnd w:id="340"/>
    </w:p>
    <w:p w14:paraId="6F39DC17" w14:textId="77777777" w:rsidR="00E8286C" w:rsidRPr="00FC06D9" w:rsidRDefault="00CC7BA6" w:rsidP="00747830">
      <w:pPr>
        <w:pStyle w:val="HOMEBRBodyText"/>
        <w:keepLines w:val="0"/>
        <w:widowControl w:val="0"/>
        <w:spacing w:after="140" w:line="276" w:lineRule="auto"/>
        <w:jc w:val="both"/>
        <w:rPr>
          <w:rFonts w:cs="Calibri"/>
          <w:spacing w:val="-4"/>
          <w:lang w:val="pt-BR"/>
        </w:rPr>
      </w:pPr>
      <w:r w:rsidRPr="00FC06D9">
        <w:rPr>
          <w:rFonts w:cs="Calibri"/>
          <w:spacing w:val="-4"/>
          <w:lang w:val="pt-BR"/>
        </w:rPr>
        <w:t xml:space="preserve">Nos termos dos artigos 19 e 20 da Instrução CVM 400, a CVM poderá cancelar, a qualquer tempo, a Oferta que: </w:t>
      </w:r>
      <w:r w:rsidRPr="00FC06D9">
        <w:rPr>
          <w:rFonts w:cs="Calibri"/>
          <w:b/>
          <w:spacing w:val="-4"/>
          <w:lang w:val="pt-BR"/>
        </w:rPr>
        <w:t>(i)</w:t>
      </w:r>
      <w:r w:rsidRPr="00FC06D9">
        <w:rPr>
          <w:rFonts w:cs="Calibri"/>
          <w:spacing w:val="-4"/>
          <w:lang w:val="pt-BR"/>
        </w:rPr>
        <w:t xml:space="preserve"> estiver se processando em condições diversas das constantes da Instrução CVM 400 ou do registro da Oferta; ou </w:t>
      </w:r>
      <w:r w:rsidRPr="00FC06D9">
        <w:rPr>
          <w:rFonts w:cs="Calibri"/>
          <w:b/>
          <w:spacing w:val="-4"/>
          <w:lang w:val="pt-BR"/>
        </w:rPr>
        <w:t>(ii)</w:t>
      </w:r>
      <w:r w:rsidRPr="00FC06D9">
        <w:rPr>
          <w:rFonts w:cs="Calibri"/>
          <w:spacing w:val="-4"/>
          <w:lang w:val="pt-BR"/>
        </w:rPr>
        <w:t> for havida por ilegal, contrária à regulamentação da CVM ou fraudulenta, ainda que após obtido o respectivo registro da Oferta. Adicionalmente, a rescisão do Contrato de Distribuição também importará no cancelamento do registro da Oferta. Nos termos do artigo 25 e seguintes da Instrução CVM 400, havendo, a juízo da CVM, alteração substancial, posterior e imprevisível nas circunstâncias de fato existentes quando da apresentação do pedido de registro da Oferta, ou que o fundamentem, acarretando aumento relevante dos riscos assumidos pela Emissora e inerentes à própria Oferta, a CVM poderá acolher pleito de revogação da Oferta.</w:t>
      </w:r>
    </w:p>
    <w:p w14:paraId="19BD5AF7" w14:textId="77777777" w:rsidR="00E8286C" w:rsidRPr="00D8141D" w:rsidRDefault="00CC7BA6" w:rsidP="009E2BE2">
      <w:pPr>
        <w:pStyle w:val="HOMEBRBodyText"/>
        <w:keepLines w:val="0"/>
        <w:widowControl w:val="0"/>
        <w:spacing w:after="140" w:line="290" w:lineRule="auto"/>
        <w:jc w:val="both"/>
        <w:rPr>
          <w:rFonts w:cs="Calibri"/>
          <w:lang w:val="pt-BR"/>
        </w:rPr>
      </w:pPr>
      <w:r w:rsidRPr="00D8141D">
        <w:rPr>
          <w:rFonts w:cs="Calibri"/>
          <w:lang w:val="pt-BR"/>
        </w:rPr>
        <w:t>Em caso de cancelamento ou revogação da Oferta ou caso o investidor revogue sua aceitação e, em ambos os casos, se o investidor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do cancelamento da Oferta ou respectiva revogação, conforme o caso.</w:t>
      </w:r>
    </w:p>
    <w:p w14:paraId="1079C338" w14:textId="77777777" w:rsidR="00FF0334" w:rsidRDefault="00FF0334">
      <w:pPr>
        <w:spacing w:after="0" w:line="240" w:lineRule="auto"/>
        <w:rPr>
          <w:rFonts w:eastAsia="MS Mincho" w:cs="Calibri"/>
        </w:rPr>
      </w:pPr>
      <w:r>
        <w:rPr>
          <w:rFonts w:cs="Calibri"/>
        </w:rPr>
        <w:br w:type="page"/>
      </w:r>
    </w:p>
    <w:p w14:paraId="10576BE8" w14:textId="1DCB0489" w:rsidR="006478A5" w:rsidRPr="00D8141D" w:rsidRDefault="006478A5" w:rsidP="006478A5">
      <w:pPr>
        <w:pStyle w:val="HOMEBRBodyText"/>
        <w:keepLines w:val="0"/>
        <w:widowControl w:val="0"/>
        <w:spacing w:after="140" w:line="290" w:lineRule="auto"/>
        <w:jc w:val="both"/>
        <w:rPr>
          <w:rFonts w:cs="Calibri"/>
          <w:lang w:val="pt-BR"/>
        </w:rPr>
      </w:pPr>
      <w:r w:rsidRPr="00D8141D">
        <w:rPr>
          <w:rFonts w:cs="Calibri"/>
          <w:lang w:val="pt-BR"/>
        </w:rPr>
        <w:lastRenderedPageBreak/>
        <w:t>No caso de resilição do Contrato de Distribuição, deverá ser submetido à análise prévia da CVM pleito justificado de cancelamento do registro da Oferta, para que seja apreciada a aplicabilidade do artigo 19, §4º da Instrução CVM 400.</w:t>
      </w:r>
    </w:p>
    <w:p w14:paraId="04D36346" w14:textId="6B5BC1E7" w:rsidR="00E8286C" w:rsidRPr="00D8141D" w:rsidRDefault="00E8286C" w:rsidP="009E2BE2">
      <w:pPr>
        <w:pStyle w:val="Ttulo2"/>
        <w:keepNext w:val="0"/>
        <w:keepLines w:val="0"/>
        <w:spacing w:after="140" w:line="290" w:lineRule="auto"/>
        <w:jc w:val="both"/>
        <w:rPr>
          <w:rFonts w:eastAsia="Times New Roman" w:cs="Calibri"/>
          <w:b/>
          <w:caps/>
          <w:szCs w:val="24"/>
          <w:lang w:val="pt-BR"/>
        </w:rPr>
      </w:pPr>
      <w:bookmarkStart w:id="342" w:name="_Toc87002535"/>
      <w:bookmarkStart w:id="343" w:name="_Toc90045148"/>
      <w:bookmarkStart w:id="344" w:name="_Toc95928466"/>
      <w:r w:rsidRPr="00D8141D">
        <w:rPr>
          <w:rFonts w:eastAsia="Times New Roman" w:cs="Calibri"/>
          <w:b/>
          <w:szCs w:val="24"/>
          <w:lang w:val="pt-BR"/>
        </w:rPr>
        <w:t>CONTRATO DE DISTRIBUIÇÃO</w:t>
      </w:r>
      <w:bookmarkEnd w:id="341"/>
      <w:bookmarkEnd w:id="342"/>
      <w:bookmarkEnd w:id="343"/>
      <w:bookmarkEnd w:id="344"/>
    </w:p>
    <w:p w14:paraId="3C942C8D" w14:textId="77777777" w:rsidR="00E8286C" w:rsidRPr="00566CD3" w:rsidRDefault="00E8286C" w:rsidP="009E2BE2">
      <w:pPr>
        <w:pStyle w:val="Ttulo3"/>
        <w:spacing w:after="140" w:line="290" w:lineRule="auto"/>
        <w:jc w:val="both"/>
        <w:rPr>
          <w:i/>
        </w:rPr>
      </w:pPr>
      <w:bookmarkStart w:id="345" w:name="_Ref434934462"/>
      <w:bookmarkStart w:id="346" w:name="_Ref434935716"/>
      <w:bookmarkStart w:id="347" w:name="_Ref434936129"/>
      <w:bookmarkStart w:id="348" w:name="_Ref434936408"/>
      <w:bookmarkStart w:id="349" w:name="_Ref434936547"/>
      <w:bookmarkStart w:id="350" w:name="_Toc87002536"/>
      <w:bookmarkStart w:id="351" w:name="_Toc90045149"/>
      <w:bookmarkStart w:id="352" w:name="_Toc95928467"/>
      <w:r w:rsidRPr="00566CD3">
        <w:rPr>
          <w:i/>
        </w:rPr>
        <w:t>Regime de Colocação</w:t>
      </w:r>
      <w:bookmarkEnd w:id="345"/>
      <w:bookmarkEnd w:id="346"/>
      <w:bookmarkEnd w:id="347"/>
      <w:bookmarkEnd w:id="348"/>
      <w:bookmarkEnd w:id="349"/>
      <w:bookmarkEnd w:id="350"/>
      <w:bookmarkEnd w:id="351"/>
      <w:bookmarkEnd w:id="352"/>
    </w:p>
    <w:p w14:paraId="1B7DF8F0" w14:textId="46060003" w:rsidR="00E8286C" w:rsidRPr="00D8141D" w:rsidRDefault="0040307F" w:rsidP="009E2BE2">
      <w:pPr>
        <w:pStyle w:val="HOMEBRBodyText"/>
        <w:keepLines w:val="0"/>
        <w:widowControl w:val="0"/>
        <w:spacing w:after="140" w:line="290" w:lineRule="auto"/>
        <w:jc w:val="both"/>
        <w:rPr>
          <w:rFonts w:cs="Calibri"/>
          <w:lang w:val="pt-BR"/>
        </w:rPr>
      </w:pPr>
      <w:r w:rsidRPr="00D8141D">
        <w:rPr>
          <w:rFonts w:cs="Calibri"/>
          <w:lang w:val="pt-BR"/>
        </w:rPr>
        <w:t xml:space="preserve">Cumpridas as Condições Precedentes </w:t>
      </w:r>
      <w:r w:rsidR="00F211A3" w:rsidRPr="00D8141D">
        <w:rPr>
          <w:rFonts w:cs="Calibri"/>
          <w:lang w:val="pt-BR"/>
        </w:rPr>
        <w:t>elencadas</w:t>
      </w:r>
      <w:r w:rsidR="00626E5B" w:rsidRPr="00D8141D">
        <w:rPr>
          <w:rFonts w:cs="Calibri"/>
          <w:lang w:val="pt-BR"/>
        </w:rPr>
        <w:t xml:space="preserve"> no</w:t>
      </w:r>
      <w:r w:rsidRPr="00D8141D">
        <w:rPr>
          <w:rFonts w:cs="Calibri"/>
          <w:lang w:val="pt-BR"/>
        </w:rPr>
        <w:t xml:space="preserve"> Contrato de Distribuição</w:t>
      </w:r>
      <w:r w:rsidR="00626E5B" w:rsidRPr="00D8141D">
        <w:rPr>
          <w:rFonts w:cs="Calibri"/>
          <w:lang w:val="pt-BR"/>
        </w:rPr>
        <w:t xml:space="preserve"> e no Primeiro Aditamento ao</w:t>
      </w:r>
      <w:r w:rsidRPr="00D8141D">
        <w:rPr>
          <w:rFonts w:cs="Calibri"/>
          <w:lang w:val="pt-BR"/>
        </w:rPr>
        <w:t xml:space="preserve"> Contrato de Distribuição, </w:t>
      </w:r>
      <w:r w:rsidR="00F211A3" w:rsidRPr="00D8141D">
        <w:rPr>
          <w:rFonts w:cs="Calibri"/>
          <w:lang w:val="pt-BR"/>
        </w:rPr>
        <w:t xml:space="preserve">nos termos da legislação aplicável, </w:t>
      </w:r>
      <w:r w:rsidR="00D42D4F" w:rsidRPr="00D8141D">
        <w:rPr>
          <w:rFonts w:cs="Calibri"/>
          <w:lang w:val="pt-BR"/>
        </w:rPr>
        <w:t xml:space="preserve">o </w:t>
      </w:r>
      <w:r w:rsidR="00D42D4F" w:rsidRPr="00D8141D">
        <w:rPr>
          <w:rFonts w:eastAsia="Calibri" w:cs="Calibri"/>
          <w:lang w:val="pt-BR"/>
        </w:rPr>
        <w:t>Coordenador Líder</w:t>
      </w:r>
      <w:r w:rsidR="00D42D4F" w:rsidRPr="00D8141D">
        <w:rPr>
          <w:rFonts w:cs="Calibri"/>
          <w:lang w:val="pt-BR"/>
        </w:rPr>
        <w:t xml:space="preserve"> </w:t>
      </w:r>
      <w:r w:rsidR="00F211A3" w:rsidRPr="00D8141D">
        <w:rPr>
          <w:rFonts w:cs="Calibri"/>
          <w:lang w:val="pt-BR"/>
        </w:rPr>
        <w:t>por si e/ou por qualquer filial, controlada, sociedade sob controle comum ou controladora (“</w:t>
      </w:r>
      <w:r w:rsidR="00F211A3" w:rsidRPr="00D8141D">
        <w:rPr>
          <w:rFonts w:cs="Calibri"/>
          <w:u w:val="single"/>
          <w:lang w:val="pt-BR"/>
        </w:rPr>
        <w:t>Afiliadas</w:t>
      </w:r>
      <w:r w:rsidR="00F211A3" w:rsidRPr="00D8141D">
        <w:rPr>
          <w:rFonts w:cs="Calibri"/>
          <w:lang w:val="pt-BR"/>
        </w:rPr>
        <w:t xml:space="preserve">”), a distribuição das Debêntures em regime de garantia firme de colocação, para o </w:t>
      </w:r>
      <w:r w:rsidR="003A7AEE" w:rsidRPr="00D8141D">
        <w:rPr>
          <w:rFonts w:cs="Calibri"/>
          <w:lang w:val="pt-BR"/>
        </w:rPr>
        <w:t>montante total de R$ 1.000.000.000,00 (um bilhão de reais</w:t>
      </w:r>
      <w:r w:rsidR="00F211A3" w:rsidRPr="00D8141D">
        <w:rPr>
          <w:rFonts w:cs="Calibri"/>
          <w:lang w:val="pt-BR"/>
        </w:rPr>
        <w:t xml:space="preserve">), com a intermediação de outras instituição financeiras, autorizadas a operar no mercado de capitais para participarem da colocação das Debêntures junto a potenciais investidores e clientes. A oferta das Debêntures </w:t>
      </w:r>
      <w:r w:rsidR="00032A25">
        <w:rPr>
          <w:rFonts w:cs="Calibri"/>
          <w:lang w:val="pt-BR"/>
        </w:rPr>
        <w:t>oriundas</w:t>
      </w:r>
      <w:r w:rsidR="00F211A3" w:rsidRPr="00D8141D">
        <w:rPr>
          <w:rFonts w:cs="Calibri"/>
          <w:lang w:val="pt-BR"/>
        </w:rPr>
        <w:t xml:space="preserve"> do exercício de Debêntures Adicionais será conduzida sob o regime de melhores esforços.</w:t>
      </w:r>
    </w:p>
    <w:p w14:paraId="4AC3CF40" w14:textId="77777777" w:rsidR="00E8286C" w:rsidRPr="00D8141D" w:rsidRDefault="00F211A3" w:rsidP="009E2BE2">
      <w:pPr>
        <w:pStyle w:val="HOMEBRBodyText"/>
        <w:keepLines w:val="0"/>
        <w:widowControl w:val="0"/>
        <w:spacing w:after="140" w:line="290" w:lineRule="auto"/>
        <w:jc w:val="both"/>
        <w:rPr>
          <w:rFonts w:cs="Calibri"/>
          <w:lang w:val="pt-BR"/>
        </w:rPr>
      </w:pPr>
      <w:r w:rsidRPr="00D8141D">
        <w:rPr>
          <w:rFonts w:cs="Calibri"/>
          <w:iCs/>
          <w:lang w:val="pt-BR"/>
        </w:rPr>
        <w:t xml:space="preserve">Na hipótese descrita no parágrafo acima, o Coordenador Líder integralizará a quantidade correspondente à diferença entre </w:t>
      </w:r>
      <w:r w:rsidRPr="00D8141D">
        <w:rPr>
          <w:rFonts w:cs="Calibri"/>
          <w:b/>
          <w:bCs/>
          <w:iCs/>
          <w:lang w:val="pt-BR"/>
        </w:rPr>
        <w:t>(i)</w:t>
      </w:r>
      <w:r w:rsidRPr="00D8141D">
        <w:rPr>
          <w:rFonts w:cs="Calibri"/>
          <w:iCs/>
          <w:lang w:val="pt-BR"/>
        </w:rPr>
        <w:t xml:space="preserve"> </w:t>
      </w:r>
      <w:r w:rsidR="00285D70" w:rsidRPr="00D8141D">
        <w:rPr>
          <w:rFonts w:cs="Calibri"/>
          <w:iCs/>
          <w:lang w:val="pt-BR"/>
        </w:rPr>
        <w:t>as</w:t>
      </w:r>
      <w:r w:rsidRPr="00D8141D">
        <w:rPr>
          <w:rFonts w:cs="Calibri"/>
          <w:iCs/>
          <w:lang w:val="pt-BR"/>
        </w:rPr>
        <w:t xml:space="preserve"> Debêntures</w:t>
      </w:r>
      <w:r w:rsidR="00285D70" w:rsidRPr="00D8141D">
        <w:rPr>
          <w:rFonts w:cs="Calibri"/>
          <w:iCs/>
          <w:lang w:val="pt-BR"/>
        </w:rPr>
        <w:t xml:space="preserve"> emitidas</w:t>
      </w:r>
      <w:r w:rsidRPr="00D8141D">
        <w:rPr>
          <w:rFonts w:cs="Calibri"/>
          <w:iCs/>
          <w:lang w:val="pt-BR"/>
        </w:rPr>
        <w:t xml:space="preserve">, e </w:t>
      </w:r>
      <w:r w:rsidRPr="00D8141D">
        <w:rPr>
          <w:rFonts w:cs="Calibri"/>
          <w:b/>
          <w:bCs/>
          <w:iCs/>
          <w:lang w:val="pt-BR"/>
        </w:rPr>
        <w:t>(ii)</w:t>
      </w:r>
      <w:r w:rsidRPr="00D8141D">
        <w:rPr>
          <w:rFonts w:cs="Calibri"/>
          <w:iCs/>
          <w:lang w:val="pt-BR"/>
        </w:rPr>
        <w:t xml:space="preserve"> a quantidade das Debêntures integralizadas até aquele momento. A integralização ocorrerá com base no Preço de Integralização das Debêntures na data do exercício da Garantia Firme</w:t>
      </w:r>
      <w:r w:rsidR="00285D70" w:rsidRPr="00D8141D">
        <w:rPr>
          <w:rFonts w:cs="Calibri"/>
          <w:iCs/>
          <w:lang w:val="pt-BR"/>
        </w:rPr>
        <w:t>.</w:t>
      </w:r>
    </w:p>
    <w:p w14:paraId="54F2AFB4" w14:textId="77777777" w:rsidR="00E8286C" w:rsidRPr="00D8141D" w:rsidRDefault="00F211A3" w:rsidP="009E2BE2">
      <w:pPr>
        <w:pStyle w:val="HOMEBRBodyText"/>
        <w:keepLines w:val="0"/>
        <w:widowControl w:val="0"/>
        <w:spacing w:after="140" w:line="290" w:lineRule="auto"/>
        <w:jc w:val="both"/>
        <w:rPr>
          <w:rFonts w:cs="Calibri"/>
          <w:lang w:val="pt-BR"/>
        </w:rPr>
      </w:pPr>
      <w:r w:rsidRPr="00D8141D">
        <w:rPr>
          <w:rFonts w:cs="Calibri"/>
          <w:lang w:val="pt-BR"/>
        </w:rPr>
        <w:t xml:space="preserve">Observados os requisitos determinados nos incisos </w:t>
      </w:r>
      <w:r w:rsidRPr="00D8141D">
        <w:rPr>
          <w:rFonts w:cs="Calibri"/>
          <w:b/>
          <w:bCs/>
          <w:lang w:val="pt-BR"/>
        </w:rPr>
        <w:t>(i)</w:t>
      </w:r>
      <w:r w:rsidRPr="00D8141D">
        <w:rPr>
          <w:rFonts w:cs="Calibri"/>
          <w:lang w:val="pt-BR"/>
        </w:rPr>
        <w:t xml:space="preserve"> e </w:t>
      </w:r>
      <w:r w:rsidRPr="00D8141D">
        <w:rPr>
          <w:rFonts w:cs="Calibri"/>
          <w:b/>
          <w:bCs/>
          <w:lang w:val="pt-BR"/>
        </w:rPr>
        <w:t>(ii)</w:t>
      </w:r>
      <w:r w:rsidRPr="00D8141D">
        <w:rPr>
          <w:rFonts w:cs="Calibri"/>
          <w:lang w:val="pt-BR"/>
        </w:rPr>
        <w:t xml:space="preserve"> do item acima, a</w:t>
      </w:r>
      <w:r w:rsidRPr="00D8141D">
        <w:rPr>
          <w:rFonts w:cs="Calibri"/>
          <w:iCs/>
          <w:lang w:val="pt-BR"/>
        </w:rPr>
        <w:t xml:space="preserve"> Garantia </w:t>
      </w:r>
      <w:r w:rsidRPr="00D8141D">
        <w:rPr>
          <w:rFonts w:cs="Calibri"/>
          <w:lang w:val="pt-BR"/>
        </w:rPr>
        <w:t>Firme</w:t>
      </w:r>
      <w:r w:rsidRPr="00D8141D">
        <w:rPr>
          <w:rFonts w:cs="Calibri"/>
          <w:iCs/>
          <w:lang w:val="pt-BR"/>
        </w:rPr>
        <w:t xml:space="preserve"> deverá ser exercida pelo Coordenador Líder (e/ou suas afiliadas, conforme oportunamente indicadas) exclusivamente sobre o saldo das Debêntures objeto da Garantia Firme e não distribuídos, considerando a Remuneração</w:t>
      </w:r>
      <w:r w:rsidR="00773837" w:rsidRPr="00D8141D">
        <w:rPr>
          <w:rFonts w:cs="Calibri"/>
          <w:lang w:val="pt-BR"/>
        </w:rPr>
        <w:t>.</w:t>
      </w:r>
    </w:p>
    <w:p w14:paraId="7D4B63FA" w14:textId="77777777" w:rsidR="00E8286C" w:rsidRPr="00D8141D" w:rsidRDefault="00F211A3" w:rsidP="009E2BE2">
      <w:pPr>
        <w:pStyle w:val="HOMEBRBodyText"/>
        <w:keepLines w:val="0"/>
        <w:widowControl w:val="0"/>
        <w:spacing w:after="140" w:line="290" w:lineRule="auto"/>
        <w:jc w:val="both"/>
        <w:rPr>
          <w:rFonts w:cs="Calibri"/>
          <w:lang w:val="pt-BR"/>
        </w:rPr>
      </w:pPr>
      <w:r w:rsidRPr="00D8141D">
        <w:rPr>
          <w:rFonts w:cs="Calibri"/>
          <w:color w:val="000000"/>
          <w:lang w:val="pt-BR"/>
        </w:rPr>
        <w:t>A Garantia Firme prevista no Contrato de Distribuição</w:t>
      </w:r>
      <w:r w:rsidR="00626E5B" w:rsidRPr="00D8141D">
        <w:rPr>
          <w:rFonts w:cs="Calibri"/>
          <w:color w:val="000000"/>
          <w:lang w:val="pt-BR"/>
        </w:rPr>
        <w:t xml:space="preserve"> e </w:t>
      </w:r>
      <w:r w:rsidR="00626E5B" w:rsidRPr="00D8141D">
        <w:rPr>
          <w:rFonts w:cs="Calibri"/>
          <w:lang w:val="pt-BR"/>
        </w:rPr>
        <w:t>no Primeiro Aditamento ao</w:t>
      </w:r>
      <w:r w:rsidRPr="00D8141D">
        <w:rPr>
          <w:rFonts w:cs="Calibri"/>
          <w:color w:val="000000"/>
          <w:lang w:val="pt-BR"/>
        </w:rPr>
        <w:t xml:space="preserve"> Contrato de Distribuição será válida até </w:t>
      </w:r>
      <w:r w:rsidR="00285D70" w:rsidRPr="00D8141D">
        <w:rPr>
          <w:rFonts w:cs="Calibri"/>
          <w:color w:val="000000"/>
          <w:lang w:val="pt-BR"/>
        </w:rPr>
        <w:t>31 de março de 2022</w:t>
      </w:r>
      <w:r w:rsidRPr="00D8141D">
        <w:rPr>
          <w:rFonts w:cs="Calibri"/>
          <w:color w:val="000000"/>
          <w:lang w:val="pt-BR"/>
        </w:rPr>
        <w:t xml:space="preserve"> (“</w:t>
      </w:r>
      <w:r w:rsidRPr="00D8141D">
        <w:rPr>
          <w:rFonts w:cs="Calibri"/>
          <w:color w:val="000000"/>
          <w:u w:val="single"/>
          <w:lang w:val="pt-BR"/>
        </w:rPr>
        <w:t>Prazo de Validade da Garantia Firme</w:t>
      </w:r>
      <w:r w:rsidRPr="00D8141D">
        <w:rPr>
          <w:rFonts w:cs="Calibri"/>
          <w:color w:val="000000"/>
          <w:lang w:val="pt-BR"/>
        </w:rPr>
        <w:t>”)</w:t>
      </w:r>
      <w:r w:rsidR="00773837" w:rsidRPr="00D8141D">
        <w:rPr>
          <w:rFonts w:cs="Calibri"/>
          <w:lang w:val="pt-BR"/>
        </w:rPr>
        <w:t>.</w:t>
      </w:r>
    </w:p>
    <w:p w14:paraId="50477AFC" w14:textId="77777777" w:rsidR="00E8286C" w:rsidRPr="00D8141D" w:rsidRDefault="00F211A3" w:rsidP="009E2BE2">
      <w:pPr>
        <w:pStyle w:val="HOMEBRBodyText"/>
        <w:keepLines w:val="0"/>
        <w:spacing w:after="140" w:line="290" w:lineRule="auto"/>
        <w:jc w:val="both"/>
        <w:rPr>
          <w:rFonts w:cs="Calibri"/>
          <w:spacing w:val="-6"/>
          <w:lang w:val="pt-BR"/>
        </w:rPr>
      </w:pPr>
      <w:bookmarkStart w:id="353" w:name="_Toc427852315"/>
      <w:bookmarkStart w:id="354" w:name="_Toc428322726"/>
      <w:bookmarkStart w:id="355" w:name="_Ref434935237"/>
      <w:bookmarkStart w:id="356" w:name="_Ref434936717"/>
      <w:bookmarkStart w:id="357" w:name="_Ref434936730"/>
      <w:r w:rsidRPr="00D8141D">
        <w:rPr>
          <w:rFonts w:cs="Calibri"/>
          <w:color w:val="000000"/>
          <w:spacing w:val="-6"/>
          <w:lang w:val="pt-BR"/>
        </w:rPr>
        <w:t>O fato de o Coordenador Líder, eventualmente, continuar a discutir com a Emissora a realização da Oferta após tal prazo não implica em concordância tácita com relação à extensão do período de Garantia Firme acordado</w:t>
      </w:r>
      <w:r w:rsidRPr="00D8141D">
        <w:rPr>
          <w:rFonts w:cs="Calibri"/>
          <w:iCs/>
          <w:spacing w:val="-6"/>
          <w:lang w:val="pt-BR"/>
        </w:rPr>
        <w:t>. Caso seja necessário o exercício da Garantia Firme por parte do Coordenador Líder, este a exercerá</w:t>
      </w:r>
      <w:r w:rsidRPr="00D8141D">
        <w:rPr>
          <w:rFonts w:cs="Calibri"/>
          <w:i/>
          <w:iCs/>
          <w:spacing w:val="-6"/>
          <w:lang w:val="pt-BR"/>
        </w:rPr>
        <w:t xml:space="preserve"> </w:t>
      </w:r>
      <w:r w:rsidRPr="00D8141D">
        <w:rPr>
          <w:rFonts w:cs="Calibri"/>
          <w:iCs/>
          <w:spacing w:val="-6"/>
          <w:lang w:val="pt-BR"/>
        </w:rPr>
        <w:t>pela Remuneração</w:t>
      </w:r>
      <w:r w:rsidRPr="00D8141D">
        <w:rPr>
          <w:rFonts w:cs="Calibri"/>
          <w:spacing w:val="-6"/>
          <w:lang w:val="pt-BR"/>
        </w:rPr>
        <w:t xml:space="preserve">. A Garantia Firme terá validade até </w:t>
      </w:r>
      <w:r w:rsidR="00DB48F4" w:rsidRPr="00D8141D">
        <w:rPr>
          <w:rFonts w:cs="Calibri"/>
          <w:spacing w:val="-6"/>
          <w:lang w:val="pt-BR"/>
        </w:rPr>
        <w:t xml:space="preserve">: (i) a data de encerramento da Oferta perante a CVM; (ii) 6 (seis) meses a partir da celebração deste Contrato, caso não haja o início da Oferta; (iii) em caso de rescisão, as hipóteses previstas neste Contrato; </w:t>
      </w:r>
      <w:r w:rsidRPr="00D8141D">
        <w:rPr>
          <w:rFonts w:cs="Calibri"/>
          <w:spacing w:val="-6"/>
          <w:lang w:val="pt-BR"/>
        </w:rPr>
        <w:t xml:space="preserve">ou </w:t>
      </w:r>
      <w:r w:rsidR="00DB48F4" w:rsidRPr="00D8141D">
        <w:rPr>
          <w:rFonts w:cs="Calibri"/>
          <w:spacing w:val="-6"/>
          <w:lang w:val="pt-BR"/>
        </w:rPr>
        <w:t xml:space="preserve">(iv) </w:t>
      </w:r>
      <w:r w:rsidRPr="00D8141D">
        <w:rPr>
          <w:rFonts w:cs="Calibri"/>
          <w:spacing w:val="-6"/>
          <w:lang w:val="pt-BR"/>
        </w:rPr>
        <w:t>até que o Contrato de Distribuição não esteja mais em vigor, o que ocorrer primeiro, podendo tal prazo ser prorrogado a exclusivo critério dos Coordenador Líder, desde que por solicitação da Emissora</w:t>
      </w:r>
      <w:r w:rsidR="00773837" w:rsidRPr="00D8141D">
        <w:rPr>
          <w:rFonts w:cs="Calibri"/>
          <w:spacing w:val="-6"/>
          <w:lang w:val="pt-BR"/>
        </w:rPr>
        <w:t>.</w:t>
      </w:r>
    </w:p>
    <w:p w14:paraId="15B40C36" w14:textId="77777777" w:rsidR="0093266F" w:rsidRDefault="0093266F">
      <w:pPr>
        <w:spacing w:after="0" w:line="240" w:lineRule="auto"/>
        <w:rPr>
          <w:rFonts w:eastAsia="MS Mincho"/>
          <w:b/>
          <w:bCs/>
          <w:i/>
          <w:szCs w:val="26"/>
        </w:rPr>
      </w:pPr>
      <w:bookmarkStart w:id="358" w:name="_Ref515314869"/>
      <w:bookmarkStart w:id="359" w:name="_Ref515316299"/>
      <w:bookmarkStart w:id="360" w:name="_Ref515316310"/>
      <w:bookmarkStart w:id="361" w:name="_Ref515316341"/>
      <w:bookmarkStart w:id="362" w:name="_Toc87002537"/>
      <w:bookmarkStart w:id="363" w:name="_Ref90051615"/>
      <w:bookmarkStart w:id="364" w:name="_Ref90061004"/>
      <w:bookmarkStart w:id="365" w:name="_Ref90061053"/>
      <w:bookmarkStart w:id="366" w:name="_Ref90061088"/>
      <w:bookmarkStart w:id="367" w:name="_Ref90223367"/>
      <w:bookmarkStart w:id="368" w:name="_Toc90045150"/>
      <w:bookmarkStart w:id="369" w:name="_Toc95928468"/>
      <w:r>
        <w:rPr>
          <w:i/>
        </w:rPr>
        <w:br w:type="page"/>
      </w:r>
    </w:p>
    <w:p w14:paraId="6145F77A" w14:textId="2EE1562F" w:rsidR="00E8286C" w:rsidRPr="00566CD3" w:rsidRDefault="00E8286C" w:rsidP="009E2BE2">
      <w:pPr>
        <w:pStyle w:val="Ttulo3"/>
        <w:spacing w:after="140" w:line="290" w:lineRule="auto"/>
        <w:jc w:val="both"/>
        <w:rPr>
          <w:i/>
        </w:rPr>
      </w:pPr>
      <w:r w:rsidRPr="00566CD3">
        <w:rPr>
          <w:i/>
        </w:rPr>
        <w:lastRenderedPageBreak/>
        <w:t xml:space="preserve">Comissionamento do </w:t>
      </w:r>
      <w:bookmarkEnd w:id="353"/>
      <w:bookmarkEnd w:id="354"/>
      <w:bookmarkEnd w:id="355"/>
      <w:bookmarkEnd w:id="356"/>
      <w:bookmarkEnd w:id="357"/>
      <w:bookmarkEnd w:id="358"/>
      <w:bookmarkEnd w:id="359"/>
      <w:bookmarkEnd w:id="360"/>
      <w:bookmarkEnd w:id="361"/>
      <w:r w:rsidR="00D42D4F" w:rsidRPr="00566CD3">
        <w:rPr>
          <w:i/>
        </w:rPr>
        <w:t>Coordenador Líder</w:t>
      </w:r>
      <w:bookmarkEnd w:id="362"/>
      <w:bookmarkEnd w:id="363"/>
      <w:bookmarkEnd w:id="364"/>
      <w:bookmarkEnd w:id="365"/>
      <w:bookmarkEnd w:id="366"/>
      <w:bookmarkEnd w:id="367"/>
      <w:bookmarkEnd w:id="368"/>
      <w:bookmarkEnd w:id="369"/>
    </w:p>
    <w:p w14:paraId="5433ECAB" w14:textId="77777777" w:rsidR="00E8286C" w:rsidRPr="00D8141D" w:rsidRDefault="00773837" w:rsidP="009E2BE2">
      <w:pPr>
        <w:pStyle w:val="HOMEBRBodyText"/>
        <w:keepLines w:val="0"/>
        <w:widowControl w:val="0"/>
        <w:spacing w:after="140" w:line="290" w:lineRule="auto"/>
        <w:jc w:val="both"/>
        <w:rPr>
          <w:rFonts w:cs="Calibri"/>
          <w:lang w:val="pt-BR"/>
        </w:rPr>
      </w:pPr>
      <w:bookmarkStart w:id="370" w:name="_Ref14703588"/>
      <w:bookmarkStart w:id="371" w:name="_Ref421121169"/>
      <w:r w:rsidRPr="00D8141D">
        <w:rPr>
          <w:rFonts w:cs="Calibri"/>
          <w:lang w:val="pt-BR"/>
        </w:rPr>
        <w:t xml:space="preserve">A título de remuneração pelos serviços de coordenação, estruturação, colocação da Emissão e Garantia Firme, a Emissora pagará </w:t>
      </w:r>
      <w:r w:rsidR="00D42D4F" w:rsidRPr="00D8141D">
        <w:rPr>
          <w:rFonts w:cs="Calibri"/>
          <w:lang w:val="pt-BR"/>
        </w:rPr>
        <w:t xml:space="preserve">ao </w:t>
      </w:r>
      <w:r w:rsidR="00D42D4F" w:rsidRPr="00D8141D">
        <w:rPr>
          <w:rFonts w:eastAsia="Calibri" w:cs="Calibri"/>
          <w:lang w:val="pt-BR"/>
        </w:rPr>
        <w:t>Coordenador Líder</w:t>
      </w:r>
      <w:bookmarkEnd w:id="370"/>
      <w:bookmarkEnd w:id="371"/>
      <w:r w:rsidR="00F211A3" w:rsidRPr="00D8141D">
        <w:rPr>
          <w:rFonts w:eastAsia="Calibri" w:cs="Calibri"/>
          <w:lang w:val="pt-BR"/>
        </w:rPr>
        <w:t xml:space="preserve">, </w:t>
      </w:r>
      <w:r w:rsidR="00F211A3" w:rsidRPr="00D8141D">
        <w:rPr>
          <w:rFonts w:cs="Calibri"/>
          <w:lang w:val="pt-BR"/>
        </w:rPr>
        <w:t>diretamente, à vista e em moeda corrente nacional, na Data de Liquidação, em conta corrente indicada pelo Coordenador Líder (exceto quanto à Comissão de Descontinuidade, abaixo definida, se for o caso) o comissionamento especificado nesta seção, composto pela Comissão de Estruturação, pela Comissão de Garantia Firme e Compromisso de Subscrição e pela Comissão Distribuição, abaixo qualificados</w:t>
      </w:r>
      <w:r w:rsidR="00D42D4F" w:rsidRPr="00D8141D">
        <w:rPr>
          <w:rFonts w:cs="Calibri"/>
          <w:lang w:val="pt-BR"/>
        </w:rPr>
        <w:t>:</w:t>
      </w:r>
    </w:p>
    <w:p w14:paraId="670B44CB" w14:textId="77777777" w:rsidR="00E8286C" w:rsidRPr="00D8141D" w:rsidRDefault="00773837" w:rsidP="00D45D71">
      <w:pPr>
        <w:pStyle w:val="HOMEBRBodyText"/>
        <w:keepLines w:val="0"/>
        <w:widowControl w:val="0"/>
        <w:numPr>
          <w:ilvl w:val="0"/>
          <w:numId w:val="15"/>
        </w:numPr>
        <w:spacing w:after="140" w:line="290" w:lineRule="auto"/>
        <w:ind w:hanging="720"/>
        <w:jc w:val="both"/>
        <w:rPr>
          <w:rFonts w:cs="Calibri"/>
          <w:lang w:val="pt-BR"/>
        </w:rPr>
      </w:pPr>
      <w:r w:rsidRPr="00D8141D">
        <w:rPr>
          <w:rFonts w:cs="Calibri"/>
          <w:b/>
          <w:u w:val="single"/>
          <w:lang w:val="pt-BR"/>
        </w:rPr>
        <w:t>Comissão de</w:t>
      </w:r>
      <w:r w:rsidR="00285D70" w:rsidRPr="00D8141D">
        <w:rPr>
          <w:rFonts w:cs="Calibri"/>
          <w:b/>
          <w:u w:val="single"/>
          <w:lang w:val="pt-BR"/>
        </w:rPr>
        <w:t xml:space="preserve"> Coordenação e</w:t>
      </w:r>
      <w:r w:rsidRPr="00D8141D">
        <w:rPr>
          <w:rFonts w:cs="Calibri"/>
          <w:b/>
          <w:u w:val="single"/>
          <w:lang w:val="pt-BR"/>
        </w:rPr>
        <w:t xml:space="preserve"> Estruturação</w:t>
      </w:r>
      <w:r w:rsidRPr="00D8141D">
        <w:rPr>
          <w:rFonts w:cs="Calibri"/>
          <w:b/>
          <w:bCs/>
          <w:lang w:val="pt-BR"/>
        </w:rPr>
        <w:t xml:space="preserve">: </w:t>
      </w:r>
      <w:r w:rsidR="00F211A3" w:rsidRPr="00D8141D">
        <w:rPr>
          <w:rFonts w:cs="Calibri"/>
          <w:color w:val="000000"/>
          <w:lang w:val="pt-BR"/>
        </w:rPr>
        <w:t xml:space="preserve">a este título, será devido pela </w:t>
      </w:r>
      <w:r w:rsidR="00F211A3" w:rsidRPr="00D8141D">
        <w:rPr>
          <w:rFonts w:cs="Calibri"/>
          <w:lang w:val="pt-BR"/>
        </w:rPr>
        <w:t>Emissora</w:t>
      </w:r>
      <w:r w:rsidR="00F211A3" w:rsidRPr="00D8141D">
        <w:rPr>
          <w:rFonts w:cs="Calibri"/>
          <w:color w:val="000000"/>
          <w:lang w:val="pt-BR"/>
        </w:rPr>
        <w:t xml:space="preserve"> ao Coordenador Líder, na última Data de Liquidação da Emissão, uma comissão de </w:t>
      </w:r>
      <w:r w:rsidR="00285D70" w:rsidRPr="00D8141D">
        <w:rPr>
          <w:rFonts w:cs="Calibri"/>
          <w:color w:val="000000"/>
          <w:lang w:val="pt-BR"/>
        </w:rPr>
        <w:t>0,40% (quarenta centésimos</w:t>
      </w:r>
      <w:r w:rsidR="00F211A3" w:rsidRPr="00D8141D">
        <w:rPr>
          <w:rFonts w:cs="Calibri"/>
          <w:color w:val="000000"/>
          <w:lang w:val="pt-BR"/>
        </w:rPr>
        <w:t xml:space="preserve"> por cento), multiplicado pelo volume financeiro total de Debêntures efetivamente emitida e distribuída ("</w:t>
      </w:r>
      <w:r w:rsidR="00F211A3" w:rsidRPr="00D8141D">
        <w:rPr>
          <w:rFonts w:cs="Calibri"/>
          <w:color w:val="000000"/>
          <w:u w:val="single"/>
          <w:lang w:val="pt-BR"/>
        </w:rPr>
        <w:t>Comissão de Estruturação</w:t>
      </w:r>
      <w:r w:rsidR="00F211A3" w:rsidRPr="00D8141D">
        <w:rPr>
          <w:rFonts w:cs="Calibri"/>
          <w:color w:val="000000"/>
          <w:lang w:val="pt-BR"/>
        </w:rPr>
        <w:t>")</w:t>
      </w:r>
      <w:r w:rsidRPr="00D8141D">
        <w:rPr>
          <w:rFonts w:cs="Calibri"/>
          <w:lang w:val="pt-BR"/>
        </w:rPr>
        <w:t>;</w:t>
      </w:r>
    </w:p>
    <w:p w14:paraId="365B166F" w14:textId="77777777" w:rsidR="00E8286C" w:rsidRPr="00D8141D" w:rsidRDefault="00773837" w:rsidP="00D45D71">
      <w:pPr>
        <w:pStyle w:val="HOMEBRBodyText"/>
        <w:keepLines w:val="0"/>
        <w:widowControl w:val="0"/>
        <w:numPr>
          <w:ilvl w:val="0"/>
          <w:numId w:val="15"/>
        </w:numPr>
        <w:spacing w:after="140" w:line="290" w:lineRule="auto"/>
        <w:ind w:hanging="720"/>
        <w:jc w:val="both"/>
        <w:rPr>
          <w:rFonts w:cs="Calibri"/>
          <w:lang w:val="pt-BR"/>
        </w:rPr>
      </w:pPr>
      <w:r w:rsidRPr="00D8141D">
        <w:rPr>
          <w:rFonts w:cs="Calibri"/>
          <w:b/>
          <w:u w:val="single"/>
          <w:lang w:val="pt-BR"/>
        </w:rPr>
        <w:t xml:space="preserve">Comissão de </w:t>
      </w:r>
      <w:r w:rsidR="00F211A3" w:rsidRPr="00D8141D">
        <w:rPr>
          <w:rFonts w:cs="Calibri"/>
          <w:b/>
          <w:u w:val="single"/>
          <w:lang w:val="pt-BR"/>
        </w:rPr>
        <w:t>Garantia Firme</w:t>
      </w:r>
      <w:r w:rsidRPr="00D8141D">
        <w:rPr>
          <w:rFonts w:cs="Calibri"/>
          <w:b/>
          <w:lang w:val="pt-BR"/>
        </w:rPr>
        <w:t>:</w:t>
      </w:r>
      <w:r w:rsidRPr="00D8141D">
        <w:rPr>
          <w:rFonts w:cs="Calibri"/>
          <w:lang w:val="pt-BR"/>
        </w:rPr>
        <w:t xml:space="preserve"> </w:t>
      </w:r>
      <w:r w:rsidR="00F211A3" w:rsidRPr="00D8141D">
        <w:rPr>
          <w:rFonts w:cs="Calibri"/>
          <w:color w:val="000000"/>
          <w:lang w:val="pt-BR"/>
        </w:rPr>
        <w:t xml:space="preserve">no valor equivalente ao percentual de </w:t>
      </w:r>
      <w:r w:rsidR="00DB205D" w:rsidRPr="00D8141D">
        <w:rPr>
          <w:rFonts w:cs="Calibri"/>
          <w:color w:val="000000"/>
          <w:lang w:val="pt-BR"/>
        </w:rPr>
        <w:t>0,10</w:t>
      </w:r>
      <w:r w:rsidR="00285D70" w:rsidRPr="00D8141D">
        <w:rPr>
          <w:rFonts w:cs="Calibri"/>
          <w:color w:val="000000"/>
          <w:lang w:val="pt-BR"/>
        </w:rPr>
        <w:t xml:space="preserve">% (dez centésimos por cento) </w:t>
      </w:r>
      <w:r w:rsidR="00873E04" w:rsidRPr="00D8141D">
        <w:rPr>
          <w:rFonts w:cs="Calibri"/>
          <w:color w:val="000000"/>
          <w:lang w:val="pt-BR"/>
        </w:rPr>
        <w:t xml:space="preserve">multiplicado pelo volume financeiro total de Debêntures </w:t>
      </w:r>
      <w:r w:rsidR="00DB205D" w:rsidRPr="00D8141D">
        <w:rPr>
          <w:rFonts w:cs="Calibri"/>
          <w:color w:val="000000"/>
        </w:rPr>
        <w:t>objeto de Garantia Firme</w:t>
      </w:r>
      <w:r w:rsidR="00873E04" w:rsidRPr="00D8141D">
        <w:rPr>
          <w:rFonts w:cs="Calibri"/>
          <w:color w:val="000000"/>
          <w:lang w:val="pt-BR"/>
        </w:rPr>
        <w:t>, independentemente do seu exercício</w:t>
      </w:r>
      <w:r w:rsidR="00285D70" w:rsidRPr="00D8141D">
        <w:rPr>
          <w:rFonts w:cs="Calibri"/>
          <w:color w:val="000000"/>
          <w:lang w:val="pt-BR"/>
        </w:rPr>
        <w:t xml:space="preserve"> (“</w:t>
      </w:r>
      <w:r w:rsidR="00285D70" w:rsidRPr="00D8141D">
        <w:rPr>
          <w:rFonts w:cs="Calibri"/>
          <w:color w:val="000000"/>
          <w:u w:val="single"/>
          <w:lang w:val="pt-BR"/>
        </w:rPr>
        <w:t>Comissão de Garantia Firme</w:t>
      </w:r>
      <w:r w:rsidR="00285D70" w:rsidRPr="00D8141D">
        <w:rPr>
          <w:rFonts w:cs="Calibri"/>
          <w:color w:val="000000"/>
          <w:lang w:val="pt-BR"/>
        </w:rPr>
        <w:t>”)</w:t>
      </w:r>
      <w:r w:rsidR="00285D70" w:rsidRPr="00D8141D">
        <w:rPr>
          <w:rFonts w:cs="Calibri"/>
          <w:lang w:val="pt-BR"/>
        </w:rPr>
        <w:t>;</w:t>
      </w:r>
    </w:p>
    <w:p w14:paraId="5F786F5F" w14:textId="77777777" w:rsidR="00E8286C" w:rsidRPr="00D8141D" w:rsidRDefault="00285D70" w:rsidP="00D45D71">
      <w:pPr>
        <w:pStyle w:val="HOMEBRBodyText"/>
        <w:keepLines w:val="0"/>
        <w:widowControl w:val="0"/>
        <w:numPr>
          <w:ilvl w:val="0"/>
          <w:numId w:val="15"/>
        </w:numPr>
        <w:spacing w:after="140" w:line="290" w:lineRule="auto"/>
        <w:ind w:hanging="720"/>
        <w:jc w:val="both"/>
        <w:rPr>
          <w:rFonts w:cs="Calibri"/>
          <w:lang w:val="pt-BR"/>
        </w:rPr>
      </w:pPr>
      <w:r w:rsidRPr="00D8141D">
        <w:rPr>
          <w:rFonts w:cs="Calibri"/>
          <w:b/>
          <w:u w:val="single"/>
          <w:lang w:val="pt-BR"/>
        </w:rPr>
        <w:t>Comissão de Sucesso</w:t>
      </w:r>
      <w:r w:rsidRPr="00D8141D">
        <w:rPr>
          <w:rFonts w:cs="Calibri"/>
          <w:lang w:val="pt-BR"/>
        </w:rPr>
        <w:t>: no valor equivalente a 30% (trinta</w:t>
      </w:r>
      <w:r w:rsidR="00F211A3" w:rsidRPr="00D8141D">
        <w:rPr>
          <w:rFonts w:cs="Calibri"/>
          <w:color w:val="000000"/>
          <w:lang w:val="pt-BR"/>
        </w:rPr>
        <w:t xml:space="preserve"> por cento) incidente sobre o </w:t>
      </w:r>
      <w:r w:rsidRPr="00D8141D">
        <w:rPr>
          <w:rFonts w:cs="Calibri"/>
          <w:lang w:val="pt-BR"/>
        </w:rPr>
        <w:t xml:space="preserve">produto entre (i) o prazo médio dos referidos debêntures, (ii) a diferença entre a taxa teto de remuneração do investidor, e a taxa final de remuneração conforme definida no Procedimento de </w:t>
      </w:r>
      <w:r w:rsidRPr="00D8141D">
        <w:rPr>
          <w:rFonts w:cs="Calibri"/>
          <w:i/>
          <w:iCs/>
          <w:lang w:val="pt-BR"/>
        </w:rPr>
        <w:t>Bookbuilding</w:t>
      </w:r>
      <w:r w:rsidRPr="00D8141D">
        <w:rPr>
          <w:rFonts w:cs="Calibri"/>
          <w:lang w:val="pt-BR"/>
        </w:rPr>
        <w:t>, e (iii) o valor nominal</w:t>
      </w:r>
      <w:r w:rsidR="00F211A3" w:rsidRPr="00D8141D">
        <w:rPr>
          <w:rFonts w:cs="Calibri"/>
          <w:color w:val="000000"/>
          <w:lang w:val="pt-BR"/>
        </w:rPr>
        <w:t xml:space="preserve"> da </w:t>
      </w:r>
      <w:r w:rsidRPr="00D8141D">
        <w:rPr>
          <w:rFonts w:cs="Calibri"/>
          <w:lang w:val="pt-BR"/>
        </w:rPr>
        <w:t>totalidade das Debêntures efetivamente subscritas e integralizadas; e</w:t>
      </w:r>
    </w:p>
    <w:p w14:paraId="2A55818E" w14:textId="77777777" w:rsidR="00E8286C" w:rsidRPr="00D8141D" w:rsidRDefault="00773837" w:rsidP="00D45D71">
      <w:pPr>
        <w:pStyle w:val="HOMEBRBodyText"/>
        <w:keepLines w:val="0"/>
        <w:widowControl w:val="0"/>
        <w:numPr>
          <w:ilvl w:val="0"/>
          <w:numId w:val="15"/>
        </w:numPr>
        <w:spacing w:after="140" w:line="290" w:lineRule="auto"/>
        <w:ind w:hanging="720"/>
        <w:jc w:val="both"/>
        <w:rPr>
          <w:rFonts w:cs="Calibri"/>
          <w:lang w:val="pt-BR"/>
        </w:rPr>
      </w:pPr>
      <w:r w:rsidRPr="00D8141D">
        <w:rPr>
          <w:rFonts w:cs="Calibri"/>
          <w:b/>
          <w:u w:val="single"/>
          <w:lang w:val="pt-BR"/>
        </w:rPr>
        <w:t xml:space="preserve">Comissão de </w:t>
      </w:r>
      <w:r w:rsidR="00CA6844" w:rsidRPr="00D8141D">
        <w:rPr>
          <w:rFonts w:cs="Calibri"/>
          <w:b/>
          <w:u w:val="single"/>
          <w:lang w:val="pt-BR"/>
        </w:rPr>
        <w:t>Remuneração dos canais de distribuição</w:t>
      </w:r>
      <w:r w:rsidRPr="00D8141D">
        <w:rPr>
          <w:rFonts w:cs="Calibri"/>
          <w:b/>
          <w:lang w:val="pt-BR"/>
        </w:rPr>
        <w:t xml:space="preserve">: </w:t>
      </w:r>
      <w:r w:rsidR="00CA6844" w:rsidRPr="00D8141D">
        <w:rPr>
          <w:rFonts w:cs="Calibri"/>
          <w:color w:val="000000"/>
          <w:lang w:val="pt-BR"/>
        </w:rPr>
        <w:t xml:space="preserve">no valor equivalente ao percentual de </w:t>
      </w:r>
      <w:r w:rsidR="00285D70" w:rsidRPr="00D8141D">
        <w:rPr>
          <w:rFonts w:cs="Calibri"/>
          <w:color w:val="000000"/>
          <w:lang w:val="pt-BR"/>
        </w:rPr>
        <w:t>0,25% a.a. (vinte e cinco centésimos</w:t>
      </w:r>
      <w:r w:rsidR="00CA6844" w:rsidRPr="00D8141D">
        <w:rPr>
          <w:rFonts w:cs="Calibri"/>
          <w:color w:val="000000"/>
          <w:lang w:val="pt-BR"/>
        </w:rPr>
        <w:t xml:space="preserve"> </w:t>
      </w:r>
      <w:r w:rsidR="00CA6844" w:rsidRPr="00D8141D">
        <w:rPr>
          <w:rFonts w:cs="Calibri"/>
          <w:lang w:val="pt-BR"/>
        </w:rPr>
        <w:t>por cento</w:t>
      </w:r>
      <w:r w:rsidR="00285D70" w:rsidRPr="00D8141D">
        <w:rPr>
          <w:rFonts w:cs="Calibri"/>
          <w:lang w:val="pt-BR"/>
        </w:rPr>
        <w:t xml:space="preserve"> ao ano</w:t>
      </w:r>
      <w:r w:rsidR="00285D70" w:rsidRPr="00D8141D">
        <w:rPr>
          <w:rFonts w:cs="Calibri"/>
          <w:color w:val="000000"/>
          <w:lang w:val="pt-BR"/>
        </w:rPr>
        <w:t xml:space="preserve">), sobre o </w:t>
      </w:r>
      <w:r w:rsidR="00CA6844" w:rsidRPr="00D8141D">
        <w:rPr>
          <w:rFonts w:cs="Calibri"/>
          <w:color w:val="000000"/>
          <w:lang w:val="pt-BR"/>
        </w:rPr>
        <w:t xml:space="preserve">volume financeiro total de Debêntures efetivamente </w:t>
      </w:r>
      <w:r w:rsidR="00285D70" w:rsidRPr="00D8141D">
        <w:rPr>
          <w:rFonts w:cs="Calibri"/>
          <w:color w:val="000000"/>
          <w:lang w:val="pt-BR"/>
        </w:rPr>
        <w:t xml:space="preserve">emitidas e distribuídas, multiplicado pelo prazo médio </w:t>
      </w:r>
      <w:r w:rsidR="00DB205D" w:rsidRPr="00D8141D">
        <w:rPr>
          <w:rFonts w:cs="Calibri"/>
          <w:color w:val="000000"/>
          <w:lang w:val="pt-BR"/>
        </w:rPr>
        <w:t>da operação</w:t>
      </w:r>
      <w:r w:rsidR="00CA6844" w:rsidRPr="00D8141D">
        <w:rPr>
          <w:rFonts w:cs="Calibri"/>
          <w:color w:val="000000"/>
          <w:lang w:val="pt-BR"/>
        </w:rPr>
        <w:t xml:space="preserve"> (“</w:t>
      </w:r>
      <w:r w:rsidR="00CA6844" w:rsidRPr="00D8141D">
        <w:rPr>
          <w:rFonts w:cs="Calibri"/>
          <w:color w:val="000000"/>
          <w:u w:val="single"/>
          <w:lang w:val="pt-BR"/>
        </w:rPr>
        <w:t>Comissão de Distribuição</w:t>
      </w:r>
      <w:r w:rsidR="00CA6844" w:rsidRPr="00D8141D">
        <w:rPr>
          <w:rFonts w:cs="Calibri"/>
          <w:color w:val="000000"/>
          <w:lang w:val="pt-BR"/>
        </w:rPr>
        <w:t>”).</w:t>
      </w:r>
    </w:p>
    <w:p w14:paraId="2D57E999" w14:textId="77777777" w:rsidR="00E8286C" w:rsidRPr="00D8141D" w:rsidRDefault="00CA6844" w:rsidP="009E2BE2">
      <w:pPr>
        <w:pStyle w:val="HOMEBRBodyText"/>
        <w:keepLines w:val="0"/>
        <w:widowControl w:val="0"/>
        <w:spacing w:after="140" w:line="290" w:lineRule="auto"/>
        <w:jc w:val="both"/>
        <w:rPr>
          <w:rFonts w:cs="Calibri"/>
          <w:lang w:val="pt-BR"/>
        </w:rPr>
      </w:pPr>
      <w:r w:rsidRPr="00D8141D">
        <w:rPr>
          <w:rFonts w:cs="Calibri"/>
          <w:lang w:val="pt-BR"/>
        </w:rPr>
        <w:t>O Comissionamento será devido integralmente e ainda que não seja necessário o exercício da Garantia Firme, desde que cumpridas as obrigações do Coordenador Líder descritas no Contrato de Distribuição</w:t>
      </w:r>
      <w:r w:rsidR="00773837" w:rsidRPr="00D8141D">
        <w:rPr>
          <w:rFonts w:cs="Calibri"/>
          <w:lang w:val="pt-BR"/>
        </w:rPr>
        <w:t>.</w:t>
      </w:r>
    </w:p>
    <w:p w14:paraId="20A95139" w14:textId="77777777" w:rsidR="00DB3617" w:rsidRPr="00D8141D" w:rsidRDefault="00CA6844" w:rsidP="00D42D4F">
      <w:pPr>
        <w:pStyle w:val="HOMEBRBodyText"/>
        <w:keepLines w:val="0"/>
        <w:widowControl w:val="0"/>
        <w:spacing w:after="140" w:line="290" w:lineRule="auto"/>
        <w:jc w:val="both"/>
        <w:rPr>
          <w:rFonts w:cs="Calibri"/>
          <w:lang w:val="pt-BR"/>
        </w:rPr>
      </w:pPr>
      <w:bookmarkStart w:id="372" w:name="_Ref460914767"/>
      <w:r w:rsidRPr="00D8141D">
        <w:rPr>
          <w:rFonts w:cs="Calibri"/>
          <w:color w:val="000000"/>
          <w:lang w:val="pt-BR"/>
        </w:rPr>
        <w:t>A Comissão de Distribuição poderá ser repassada, no todo ou em parte, conforme definido pelo Coordenador Líder, aos Participantes Especiais. Neste caso, o Coordenador Líder poderá instruir a Emissora a pagar diretamente os Participantes Especiais, deduzindo os montantes dos valores devidos ao Coordenador Líder. Não haverá nenhum incremento nos custos para a Emissora, já que toda e qualquer remuneração dos canais de distribuição será descontada integralmente desta Comissão de Distribuição paga ao Coordenador</w:t>
      </w:r>
      <w:r w:rsidR="00773837" w:rsidRPr="00D8141D">
        <w:rPr>
          <w:rFonts w:cs="Calibri"/>
          <w:lang w:val="pt-BR"/>
        </w:rPr>
        <w:t xml:space="preserve">. </w:t>
      </w:r>
      <w:bookmarkEnd w:id="372"/>
    </w:p>
    <w:p w14:paraId="774963BA" w14:textId="77777777" w:rsidR="0093266F" w:rsidRDefault="0093266F">
      <w:pPr>
        <w:spacing w:after="0" w:line="240" w:lineRule="auto"/>
        <w:rPr>
          <w:rFonts w:eastAsia="MS Mincho" w:cs="Calibri"/>
        </w:rPr>
      </w:pPr>
      <w:bookmarkStart w:id="373" w:name="_Ref491262920"/>
      <w:r>
        <w:rPr>
          <w:rFonts w:cs="Calibri"/>
        </w:rPr>
        <w:br w:type="page"/>
      </w:r>
    </w:p>
    <w:p w14:paraId="1A9DCBDB" w14:textId="374543DE" w:rsidR="00FA0F3E" w:rsidRPr="00D8141D" w:rsidRDefault="00CA6844" w:rsidP="009E2BE2">
      <w:pPr>
        <w:pStyle w:val="HOMEBRBodyText"/>
        <w:keepLines w:val="0"/>
        <w:widowControl w:val="0"/>
        <w:spacing w:after="140" w:line="290" w:lineRule="auto"/>
        <w:jc w:val="both"/>
        <w:rPr>
          <w:rFonts w:cs="Calibri"/>
          <w:lang w:val="pt-BR"/>
        </w:rPr>
      </w:pPr>
      <w:r w:rsidRPr="00D8141D">
        <w:rPr>
          <w:rFonts w:cs="Calibri"/>
          <w:lang w:val="pt-BR"/>
        </w:rPr>
        <w:lastRenderedPageBreak/>
        <w:t>Para fins de ranking ANBIMA de originação e distribuição, serão computados os valores de acordo com a metodologia do ranking ANBIMA.</w:t>
      </w:r>
      <w:bookmarkEnd w:id="373"/>
    </w:p>
    <w:p w14:paraId="32A2435C" w14:textId="77777777" w:rsidR="00CA6844" w:rsidRPr="00D8141D" w:rsidRDefault="00CA6844" w:rsidP="009E2BE2">
      <w:pPr>
        <w:pStyle w:val="HOMEBRBodyText"/>
        <w:keepLines w:val="0"/>
        <w:widowControl w:val="0"/>
        <w:spacing w:after="140" w:line="290" w:lineRule="auto"/>
        <w:jc w:val="both"/>
        <w:rPr>
          <w:rFonts w:cs="Calibri"/>
          <w:lang w:val="pt-BR"/>
        </w:rPr>
      </w:pPr>
      <w:r w:rsidRPr="00D8141D">
        <w:rPr>
          <w:rFonts w:cs="Calibri"/>
          <w:lang w:val="pt-BR"/>
        </w:rPr>
        <w:t xml:space="preserve">Os </w:t>
      </w:r>
      <w:r w:rsidRPr="00D8141D">
        <w:rPr>
          <w:rFonts w:eastAsia="Calibri" w:cs="Calibri"/>
          <w:lang w:val="pt-BR"/>
        </w:rPr>
        <w:t xml:space="preserve">Participantes Especiais </w:t>
      </w:r>
      <w:r w:rsidRPr="00D8141D">
        <w:rPr>
          <w:rFonts w:cs="Calibri"/>
          <w:lang w:val="pt-BR"/>
        </w:rPr>
        <w:t>não farão jus à Comissão de Estruturação ou à Comissão de Garantia Firme e Compromisso de Subscrição.</w:t>
      </w:r>
    </w:p>
    <w:p w14:paraId="15FF001C" w14:textId="77777777" w:rsidR="00E8286C" w:rsidRPr="00566CD3" w:rsidRDefault="00E8286C" w:rsidP="009E2BE2">
      <w:pPr>
        <w:pStyle w:val="Ttulo3"/>
        <w:spacing w:after="140" w:line="290" w:lineRule="auto"/>
        <w:jc w:val="both"/>
        <w:rPr>
          <w:i/>
        </w:rPr>
      </w:pPr>
      <w:bookmarkStart w:id="374" w:name="_Toc427852317"/>
      <w:bookmarkStart w:id="375" w:name="_Toc428322728"/>
      <w:bookmarkStart w:id="376" w:name="_Toc87002539"/>
      <w:bookmarkStart w:id="377" w:name="_Toc90045151"/>
      <w:bookmarkStart w:id="378" w:name="_Toc95928469"/>
      <w:r w:rsidRPr="00566CD3">
        <w:rPr>
          <w:i/>
        </w:rPr>
        <w:t>Cópia do Contrato de Distribuição</w:t>
      </w:r>
      <w:bookmarkEnd w:id="374"/>
      <w:bookmarkEnd w:id="375"/>
      <w:bookmarkEnd w:id="376"/>
      <w:bookmarkEnd w:id="377"/>
      <w:bookmarkEnd w:id="378"/>
    </w:p>
    <w:p w14:paraId="72B3E3EC" w14:textId="26F80333" w:rsidR="00E8286C" w:rsidRPr="00D8141D" w:rsidRDefault="00E8286C" w:rsidP="009E2BE2">
      <w:pPr>
        <w:pStyle w:val="HOMEBRBodyText"/>
        <w:keepLines w:val="0"/>
        <w:widowControl w:val="0"/>
        <w:spacing w:after="140" w:line="290" w:lineRule="auto"/>
        <w:jc w:val="both"/>
        <w:rPr>
          <w:rFonts w:cs="Calibri"/>
          <w:lang w:val="pt-BR"/>
        </w:rPr>
      </w:pPr>
      <w:r w:rsidRPr="00D8141D">
        <w:rPr>
          <w:rFonts w:cs="Calibri"/>
          <w:lang w:val="pt-BR"/>
        </w:rPr>
        <w:t xml:space="preserve">A cópia do Contrato de Distribuição estará disponível aos investidores, para consulta ou reprodução, na CVM, na sede da Emissora e </w:t>
      </w:r>
      <w:r w:rsidR="00D42D4F" w:rsidRPr="00D8141D">
        <w:rPr>
          <w:rFonts w:cs="Calibri"/>
          <w:lang w:val="pt-BR"/>
        </w:rPr>
        <w:t>do Coordenador Líder</w:t>
      </w:r>
      <w:r w:rsidRPr="00D8141D">
        <w:rPr>
          <w:rFonts w:cs="Calibri"/>
          <w:lang w:val="pt-BR"/>
        </w:rPr>
        <w:t xml:space="preserve">, nos endereços informados na seção </w:t>
      </w:r>
      <w:r w:rsidR="002A4B8C" w:rsidRPr="00D8141D">
        <w:rPr>
          <w:rFonts w:cs="Calibri"/>
          <w:lang w:val="pt-BR"/>
        </w:rPr>
        <w:t>“</w:t>
      </w:r>
      <w:r w:rsidRPr="00D8141D">
        <w:rPr>
          <w:rFonts w:cs="Calibri"/>
          <w:lang w:val="pt-BR"/>
        </w:rPr>
        <w:t>Informações Adicionais</w:t>
      </w:r>
      <w:r w:rsidR="002A4B8C" w:rsidRPr="00D8141D">
        <w:rPr>
          <w:rFonts w:cs="Calibri"/>
          <w:lang w:val="pt-BR"/>
        </w:rPr>
        <w:t>”</w:t>
      </w:r>
      <w:r w:rsidRPr="00D8141D">
        <w:rPr>
          <w:rFonts w:cs="Calibri"/>
          <w:lang w:val="pt-BR"/>
        </w:rPr>
        <w:t xml:space="preserve"> na página </w:t>
      </w:r>
      <w:r w:rsidR="00AA68D4" w:rsidRPr="00D8141D">
        <w:rPr>
          <w:rFonts w:cs="Calibri"/>
          <w:noProof/>
          <w:lang w:val="pt-BR"/>
        </w:rPr>
        <w:fldChar w:fldCharType="begin"/>
      </w:r>
      <w:r w:rsidR="00AA68D4" w:rsidRPr="00D8141D">
        <w:rPr>
          <w:rFonts w:cs="Calibri"/>
          <w:lang w:val="pt-BR"/>
        </w:rPr>
        <w:instrText xml:space="preserve"> PAGEREF _Ref90060553 \h </w:instrText>
      </w:r>
      <w:r w:rsidR="00AA68D4" w:rsidRPr="00D8141D">
        <w:rPr>
          <w:rFonts w:cs="Calibri"/>
          <w:noProof/>
          <w:lang w:val="pt-BR"/>
        </w:rPr>
      </w:r>
      <w:r w:rsidR="00AA68D4" w:rsidRPr="00D8141D">
        <w:rPr>
          <w:rFonts w:cs="Calibri"/>
          <w:noProof/>
          <w:lang w:val="pt-BR"/>
        </w:rPr>
        <w:fldChar w:fldCharType="separate"/>
      </w:r>
      <w:r w:rsidR="001166EA">
        <w:rPr>
          <w:rFonts w:cs="Calibri"/>
          <w:noProof/>
          <w:lang w:val="pt-BR"/>
        </w:rPr>
        <w:t>119</w:t>
      </w:r>
      <w:r w:rsidR="00AA68D4" w:rsidRPr="00D8141D">
        <w:rPr>
          <w:rFonts w:cs="Calibri"/>
          <w:noProof/>
          <w:lang w:val="pt-BR"/>
        </w:rPr>
        <w:fldChar w:fldCharType="end"/>
      </w:r>
      <w:r w:rsidRPr="00D8141D">
        <w:rPr>
          <w:rFonts w:cs="Calibri"/>
          <w:lang w:val="pt-BR"/>
        </w:rPr>
        <w:t xml:space="preserve"> deste Prospecto</w:t>
      </w:r>
      <w:r w:rsidR="00626E5B" w:rsidRPr="00D8141D">
        <w:rPr>
          <w:rFonts w:cs="Calibri"/>
          <w:lang w:val="pt-BR"/>
        </w:rPr>
        <w:t>, bem como o Primeiro Aditamento ao Contrato de Distribuição</w:t>
      </w:r>
      <w:r w:rsidRPr="00D8141D">
        <w:rPr>
          <w:rFonts w:cs="Calibri"/>
          <w:lang w:val="pt-BR"/>
        </w:rPr>
        <w:t>.</w:t>
      </w:r>
    </w:p>
    <w:p w14:paraId="19DE864E" w14:textId="77777777" w:rsidR="00FC06D9" w:rsidRPr="00566CD3" w:rsidRDefault="009E5F9A" w:rsidP="00FC06D9">
      <w:pPr>
        <w:spacing w:before="220" w:after="220"/>
        <w:jc w:val="center"/>
      </w:pPr>
      <w:bookmarkStart w:id="379" w:name="_DV_M10"/>
      <w:bookmarkStart w:id="380" w:name="_DV_M13"/>
      <w:bookmarkStart w:id="381" w:name="_DV_M14"/>
      <w:bookmarkStart w:id="382" w:name="_DV_M15"/>
      <w:bookmarkStart w:id="383" w:name="_DV_M18"/>
      <w:bookmarkStart w:id="384" w:name="_DV_M19"/>
      <w:bookmarkStart w:id="385" w:name="_DV_M20"/>
      <w:bookmarkStart w:id="386" w:name="_DV_M21"/>
      <w:bookmarkStart w:id="387" w:name="_DV_M22"/>
      <w:bookmarkStart w:id="388" w:name="_DV_M23"/>
      <w:bookmarkStart w:id="389" w:name="_DV_M24"/>
      <w:bookmarkStart w:id="390" w:name="_DV_M25"/>
      <w:bookmarkStart w:id="391" w:name="_DV_M26"/>
      <w:bookmarkStart w:id="392" w:name="_DV_M27"/>
      <w:bookmarkStart w:id="393" w:name="_DV_M28"/>
      <w:bookmarkStart w:id="394" w:name="_DV_M29"/>
      <w:bookmarkStart w:id="395" w:name="_DV_M30"/>
      <w:bookmarkStart w:id="396" w:name="_DV_M34"/>
      <w:bookmarkStart w:id="397" w:name="_DV_M35"/>
      <w:bookmarkStart w:id="398" w:name="_DV_M36"/>
      <w:bookmarkStart w:id="399" w:name="_DV_M39"/>
      <w:bookmarkStart w:id="400" w:name="_DV_M40"/>
      <w:bookmarkStart w:id="401" w:name="_DV_M43"/>
      <w:bookmarkStart w:id="402" w:name="_DV_M44"/>
      <w:bookmarkStart w:id="403" w:name="_DV_M46"/>
      <w:bookmarkStart w:id="404" w:name="_DV_M47"/>
      <w:bookmarkStart w:id="405" w:name="_DV_M48"/>
      <w:bookmarkStart w:id="406" w:name="_DV_M51"/>
      <w:bookmarkStart w:id="407" w:name="_DV_M52"/>
      <w:bookmarkStart w:id="408" w:name="_DV_M53"/>
      <w:bookmarkStart w:id="409" w:name="_DV_M54"/>
      <w:bookmarkStart w:id="410" w:name="_DV_M55"/>
      <w:bookmarkStart w:id="411" w:name="_DV_M56"/>
      <w:bookmarkStart w:id="412" w:name="_DV_M57"/>
      <w:bookmarkStart w:id="413" w:name="_DV_M58"/>
      <w:bookmarkStart w:id="414" w:name="_DV_M59"/>
      <w:bookmarkStart w:id="415" w:name="_DV_M61"/>
      <w:bookmarkStart w:id="416" w:name="_DV_M62"/>
      <w:bookmarkStart w:id="417" w:name="_DV_M63"/>
      <w:bookmarkStart w:id="418" w:name="_DV_M64"/>
      <w:bookmarkStart w:id="419" w:name="_DV_M65"/>
      <w:bookmarkStart w:id="420" w:name="_DV_M66"/>
      <w:bookmarkStart w:id="421" w:name="_DV_M68"/>
      <w:bookmarkStart w:id="422" w:name="_DV_M69"/>
      <w:bookmarkStart w:id="423" w:name="_Toc427852325"/>
      <w:bookmarkStart w:id="424" w:name="_Ref434937032"/>
      <w:bookmarkStart w:id="425" w:name="_Ref434937042"/>
      <w:bookmarkStart w:id="426" w:name="_Toc87002540"/>
      <w:bookmarkStart w:id="427" w:name="custos_distribuicao"/>
      <w:bookmarkStart w:id="428" w:name="_Toc427852330"/>
      <w:bookmarkStart w:id="429" w:name="_Toc428306469"/>
      <w:bookmarkStart w:id="430" w:name="_Toc340093020"/>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566CD3">
        <w:br w:type="page"/>
      </w:r>
    </w:p>
    <w:p w14:paraId="08D31809" w14:textId="77777777" w:rsidR="00FC06D9" w:rsidRPr="00566CD3" w:rsidRDefault="00FC06D9" w:rsidP="00FC06D9">
      <w:pPr>
        <w:spacing w:before="220" w:after="220"/>
        <w:jc w:val="center"/>
      </w:pPr>
    </w:p>
    <w:p w14:paraId="254DBF81" w14:textId="77777777" w:rsidR="00FC06D9" w:rsidRPr="00566CD3" w:rsidRDefault="00FC06D9" w:rsidP="00FC06D9">
      <w:pPr>
        <w:spacing w:before="220" w:after="220"/>
        <w:jc w:val="center"/>
      </w:pPr>
    </w:p>
    <w:p w14:paraId="32B86E1D" w14:textId="77777777" w:rsidR="00FC06D9" w:rsidRPr="00566CD3" w:rsidRDefault="00FC06D9" w:rsidP="00FC06D9">
      <w:pPr>
        <w:spacing w:before="220" w:after="220"/>
        <w:jc w:val="center"/>
      </w:pPr>
    </w:p>
    <w:p w14:paraId="6865157D" w14:textId="77777777" w:rsidR="00FC06D9" w:rsidRPr="00566CD3" w:rsidRDefault="00FC06D9" w:rsidP="00FC06D9">
      <w:pPr>
        <w:spacing w:before="220" w:after="220"/>
        <w:jc w:val="center"/>
      </w:pPr>
    </w:p>
    <w:p w14:paraId="08F65D24" w14:textId="77777777" w:rsidR="00FC06D9" w:rsidRPr="00566CD3" w:rsidRDefault="00FC06D9" w:rsidP="00FC06D9">
      <w:pPr>
        <w:spacing w:before="220" w:after="220"/>
        <w:jc w:val="center"/>
      </w:pPr>
    </w:p>
    <w:p w14:paraId="6E5FE3CD" w14:textId="77777777" w:rsidR="00FC06D9" w:rsidRPr="00566CD3" w:rsidRDefault="00FC06D9" w:rsidP="00FC06D9">
      <w:pPr>
        <w:spacing w:before="220" w:after="220"/>
        <w:jc w:val="center"/>
      </w:pPr>
    </w:p>
    <w:p w14:paraId="6FB31260" w14:textId="77777777" w:rsidR="00FC06D9" w:rsidRPr="00566CD3" w:rsidRDefault="00FC06D9" w:rsidP="00FC06D9">
      <w:pPr>
        <w:spacing w:before="220" w:after="220"/>
        <w:jc w:val="center"/>
      </w:pPr>
    </w:p>
    <w:p w14:paraId="43D4E416" w14:textId="77777777" w:rsidR="00FC06D9" w:rsidRPr="00566CD3" w:rsidRDefault="00FC06D9" w:rsidP="00FC06D9">
      <w:pPr>
        <w:spacing w:before="220" w:after="220"/>
        <w:jc w:val="center"/>
      </w:pPr>
    </w:p>
    <w:p w14:paraId="593EF988" w14:textId="77777777" w:rsidR="00FC06D9" w:rsidRPr="00566CD3" w:rsidRDefault="00FC06D9" w:rsidP="00FC06D9">
      <w:pPr>
        <w:spacing w:before="220" w:after="220"/>
        <w:jc w:val="center"/>
      </w:pPr>
    </w:p>
    <w:p w14:paraId="5FF7B291" w14:textId="77777777" w:rsidR="00FC06D9" w:rsidRPr="00566CD3" w:rsidRDefault="00FC06D9" w:rsidP="00FC06D9">
      <w:pPr>
        <w:spacing w:before="220" w:after="220"/>
        <w:jc w:val="center"/>
      </w:pPr>
    </w:p>
    <w:p w14:paraId="3C8A4E8D" w14:textId="77777777" w:rsidR="00FC06D9" w:rsidRPr="00566CD3" w:rsidRDefault="00FC06D9" w:rsidP="00FC06D9">
      <w:pPr>
        <w:spacing w:before="220" w:after="220"/>
        <w:jc w:val="center"/>
      </w:pPr>
    </w:p>
    <w:p w14:paraId="20F443F4" w14:textId="77777777" w:rsidR="00FC06D9" w:rsidRPr="00566CD3" w:rsidRDefault="00FC06D9" w:rsidP="00FC06D9">
      <w:pPr>
        <w:spacing w:before="240" w:after="240"/>
        <w:jc w:val="center"/>
      </w:pPr>
      <w:r w:rsidRPr="00566CD3">
        <w:t xml:space="preserve"> (Esta página foi intencionalmente deixada em branco)</w:t>
      </w:r>
    </w:p>
    <w:p w14:paraId="7A3BC5F3" w14:textId="55DF9B1E" w:rsidR="00E8286C" w:rsidRPr="00566CD3" w:rsidRDefault="00FC06D9" w:rsidP="00FC06D9">
      <w:pPr>
        <w:pStyle w:val="Ttulo1"/>
        <w:keepNext w:val="0"/>
        <w:pageBreakBefore w:val="0"/>
        <w:widowControl w:val="0"/>
        <w:spacing w:after="140" w:line="290" w:lineRule="auto"/>
        <w:rPr>
          <w:caps w:val="0"/>
        </w:rPr>
      </w:pPr>
      <w:bookmarkStart w:id="431" w:name="_Toc90045152"/>
      <w:r w:rsidRPr="00566CD3">
        <w:br w:type="page"/>
      </w:r>
      <w:bookmarkStart w:id="432" w:name="_Toc95928470"/>
      <w:r w:rsidR="00E8286C" w:rsidRPr="00566CD3">
        <w:rPr>
          <w:caps w:val="0"/>
        </w:rPr>
        <w:lastRenderedPageBreak/>
        <w:t>CUSTOS ESTIMADOS DE DISTRIBUIÇÃO</w:t>
      </w:r>
      <w:bookmarkEnd w:id="423"/>
      <w:bookmarkEnd w:id="424"/>
      <w:bookmarkEnd w:id="425"/>
      <w:bookmarkEnd w:id="426"/>
      <w:bookmarkEnd w:id="431"/>
      <w:bookmarkEnd w:id="432"/>
    </w:p>
    <w:bookmarkEnd w:id="427"/>
    <w:p w14:paraId="6225E6CC" w14:textId="77777777" w:rsidR="005319E5" w:rsidRPr="00D8141D" w:rsidRDefault="00E8286C" w:rsidP="009E2BE2">
      <w:pPr>
        <w:pStyle w:val="EDP-corpodetexto"/>
        <w:spacing w:after="140" w:line="290" w:lineRule="auto"/>
        <w:rPr>
          <w:rFonts w:cs="Calibri"/>
          <w:sz w:val="24"/>
          <w:szCs w:val="24"/>
        </w:rPr>
      </w:pPr>
      <w:r w:rsidRPr="00D8141D">
        <w:rPr>
          <w:rFonts w:cs="Calibri"/>
          <w:sz w:val="24"/>
          <w:szCs w:val="24"/>
        </w:rPr>
        <w:t xml:space="preserve">A tabela abaixo demonstra os custos estimados, total e unitário, da Oferta, calculada com base no </w:t>
      </w:r>
      <w:r w:rsidR="00E40214" w:rsidRPr="00D8141D">
        <w:rPr>
          <w:rFonts w:cs="Calibri"/>
          <w:sz w:val="24"/>
          <w:szCs w:val="24"/>
        </w:rPr>
        <w:t>Valor Total da Emissão,</w:t>
      </w:r>
      <w:r w:rsidRPr="00D8141D">
        <w:rPr>
          <w:rFonts w:cs="Calibri"/>
          <w:sz w:val="24"/>
          <w:szCs w:val="24"/>
        </w:rPr>
        <w:t xml:space="preserve"> na Data de Emissão, assumindo a colocação da totalidade das Debêntures inicialmente ofertadas, </w:t>
      </w:r>
      <w:r w:rsidR="0022730F" w:rsidRPr="00D8141D">
        <w:rPr>
          <w:rFonts w:cs="Calibri"/>
          <w:sz w:val="24"/>
          <w:szCs w:val="24"/>
        </w:rPr>
        <w:t>considerando a</w:t>
      </w:r>
      <w:r w:rsidRPr="00D8141D">
        <w:rPr>
          <w:rFonts w:cs="Calibri"/>
          <w:sz w:val="24"/>
          <w:szCs w:val="24"/>
        </w:rPr>
        <w:t xml:space="preserve"> emissão das Debêntures Adicionais.</w:t>
      </w:r>
      <w:r w:rsidR="00285D70" w:rsidRPr="00D8141D">
        <w:rPr>
          <w:rFonts w:cs="Calibri"/>
          <w:sz w:val="24"/>
          <w:szCs w:val="24"/>
        </w:rPr>
        <w:t xml:space="preserve"> </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4106"/>
        <w:gridCol w:w="1795"/>
        <w:gridCol w:w="1492"/>
        <w:gridCol w:w="1390"/>
      </w:tblGrid>
      <w:tr w:rsidR="005319E5" w:rsidRPr="0082022E" w14:paraId="402ECF11" w14:textId="77777777" w:rsidTr="00D8141D">
        <w:trPr>
          <w:jc w:val="center"/>
        </w:trPr>
        <w:tc>
          <w:tcPr>
            <w:tcW w:w="4106" w:type="dxa"/>
            <w:shd w:val="clear" w:color="auto" w:fill="D9D9D9"/>
            <w:vAlign w:val="bottom"/>
          </w:tcPr>
          <w:p w14:paraId="6314131F" w14:textId="77777777" w:rsidR="005319E5" w:rsidRPr="00D8141D" w:rsidRDefault="005319E5" w:rsidP="009E2BE2">
            <w:pPr>
              <w:widowControl w:val="0"/>
              <w:pBdr>
                <w:bottom w:val="single" w:sz="4" w:space="1" w:color="auto"/>
              </w:pBdr>
              <w:spacing w:after="140" w:line="290" w:lineRule="auto"/>
              <w:jc w:val="both"/>
              <w:rPr>
                <w:rFonts w:cs="Calibri"/>
                <w:b/>
                <w:bCs/>
                <w:sz w:val="16"/>
                <w:szCs w:val="16"/>
              </w:rPr>
            </w:pPr>
            <w:r w:rsidRPr="00D8141D">
              <w:rPr>
                <w:rFonts w:cs="Calibri"/>
                <w:b/>
                <w:bCs/>
                <w:sz w:val="16"/>
                <w:szCs w:val="16"/>
              </w:rPr>
              <w:t>Descrição</w:t>
            </w:r>
          </w:p>
        </w:tc>
        <w:tc>
          <w:tcPr>
            <w:tcW w:w="1795" w:type="dxa"/>
            <w:shd w:val="clear" w:color="auto" w:fill="D9D9D9"/>
            <w:vAlign w:val="bottom"/>
          </w:tcPr>
          <w:p w14:paraId="142E8580" w14:textId="77777777" w:rsidR="005319E5" w:rsidRPr="00D8141D" w:rsidRDefault="005319E5" w:rsidP="00315D49">
            <w:pPr>
              <w:widowControl w:val="0"/>
              <w:pBdr>
                <w:bottom w:val="single" w:sz="4" w:space="1" w:color="auto"/>
              </w:pBdr>
              <w:spacing w:after="140" w:line="290" w:lineRule="auto"/>
              <w:jc w:val="center"/>
              <w:rPr>
                <w:rFonts w:cs="Calibri"/>
                <w:b/>
                <w:bCs/>
                <w:sz w:val="16"/>
                <w:szCs w:val="16"/>
              </w:rPr>
            </w:pPr>
            <w:r w:rsidRPr="00D8141D">
              <w:rPr>
                <w:rFonts w:cs="Calibri"/>
                <w:b/>
                <w:bCs/>
                <w:sz w:val="16"/>
                <w:szCs w:val="16"/>
              </w:rPr>
              <w:t xml:space="preserve">Valor Total </w:t>
            </w:r>
            <w:r w:rsidRPr="00D8141D">
              <w:rPr>
                <w:rFonts w:cs="Calibri"/>
                <w:b/>
                <w:bCs/>
                <w:sz w:val="16"/>
                <w:szCs w:val="16"/>
              </w:rPr>
              <w:br/>
              <w:t>(R$)</w:t>
            </w:r>
          </w:p>
        </w:tc>
        <w:tc>
          <w:tcPr>
            <w:tcW w:w="1492" w:type="dxa"/>
            <w:shd w:val="clear" w:color="auto" w:fill="D9D9D9"/>
            <w:vAlign w:val="bottom"/>
          </w:tcPr>
          <w:p w14:paraId="57C42EEE" w14:textId="77777777" w:rsidR="005319E5" w:rsidRPr="00D8141D" w:rsidRDefault="005319E5" w:rsidP="00315D49">
            <w:pPr>
              <w:widowControl w:val="0"/>
              <w:pBdr>
                <w:bottom w:val="single" w:sz="4" w:space="1" w:color="auto"/>
              </w:pBdr>
              <w:spacing w:after="140" w:line="290" w:lineRule="auto"/>
              <w:jc w:val="center"/>
              <w:rPr>
                <w:rFonts w:cs="Calibri"/>
                <w:b/>
                <w:bCs/>
                <w:sz w:val="16"/>
                <w:szCs w:val="16"/>
                <w:vertAlign w:val="superscript"/>
              </w:rPr>
            </w:pPr>
            <w:r w:rsidRPr="00D8141D">
              <w:rPr>
                <w:rFonts w:cs="Calibri"/>
                <w:b/>
                <w:bCs/>
                <w:sz w:val="16"/>
                <w:szCs w:val="16"/>
              </w:rPr>
              <w:t>Valor por Debênture (R$)</w:t>
            </w:r>
            <w:r w:rsidRPr="00D8141D">
              <w:rPr>
                <w:rFonts w:cs="Calibri"/>
                <w:b/>
                <w:bCs/>
                <w:sz w:val="16"/>
                <w:szCs w:val="16"/>
                <w:vertAlign w:val="superscript"/>
              </w:rPr>
              <w:t>(1)</w:t>
            </w:r>
          </w:p>
        </w:tc>
        <w:tc>
          <w:tcPr>
            <w:tcW w:w="1390" w:type="dxa"/>
            <w:shd w:val="clear" w:color="auto" w:fill="D9D9D9"/>
            <w:vAlign w:val="bottom"/>
          </w:tcPr>
          <w:p w14:paraId="1C49397A" w14:textId="77777777" w:rsidR="005319E5" w:rsidRPr="00566CD3" w:rsidRDefault="005319E5" w:rsidP="00315D49">
            <w:pPr>
              <w:widowControl w:val="0"/>
              <w:pBdr>
                <w:bottom w:val="single" w:sz="4" w:space="1" w:color="auto"/>
              </w:pBdr>
              <w:spacing w:after="140" w:line="290" w:lineRule="auto"/>
              <w:jc w:val="center"/>
              <w:rPr>
                <w:b/>
                <w:sz w:val="16"/>
              </w:rPr>
            </w:pPr>
            <w:r w:rsidRPr="00566CD3">
              <w:rPr>
                <w:b/>
                <w:sz w:val="16"/>
              </w:rPr>
              <w:t>% do Valor Total da Oferta</w:t>
            </w:r>
          </w:p>
        </w:tc>
      </w:tr>
      <w:tr w:rsidR="006E0C0B" w:rsidRPr="00D8141D" w14:paraId="4A750811" w14:textId="77777777" w:rsidTr="00144BB7">
        <w:trPr>
          <w:jc w:val="center"/>
        </w:trPr>
        <w:tc>
          <w:tcPr>
            <w:tcW w:w="4106" w:type="dxa"/>
            <w:vAlign w:val="bottom"/>
          </w:tcPr>
          <w:p w14:paraId="5ECA9F88" w14:textId="77777777" w:rsidR="006E0C0B" w:rsidRPr="00D8141D" w:rsidRDefault="006E0C0B" w:rsidP="006E0C0B">
            <w:pPr>
              <w:widowControl w:val="0"/>
              <w:spacing w:after="140" w:line="290" w:lineRule="auto"/>
              <w:jc w:val="both"/>
              <w:rPr>
                <w:rFonts w:eastAsia="Arial Unicode MS" w:cs="Calibri"/>
                <w:b/>
                <w:sz w:val="16"/>
                <w:szCs w:val="16"/>
              </w:rPr>
            </w:pPr>
            <w:r w:rsidRPr="00D8141D">
              <w:rPr>
                <w:rFonts w:cs="Calibri"/>
                <w:b/>
                <w:color w:val="000000"/>
                <w:sz w:val="16"/>
                <w:szCs w:val="16"/>
              </w:rPr>
              <w:t>Custo Total</w:t>
            </w:r>
          </w:p>
        </w:tc>
        <w:tc>
          <w:tcPr>
            <w:tcW w:w="1795" w:type="dxa"/>
          </w:tcPr>
          <w:p w14:paraId="1E5714E0" w14:textId="77777777" w:rsidR="006E0C0B" w:rsidRPr="00D8141D" w:rsidRDefault="00ED61A0" w:rsidP="006E0C0B">
            <w:pPr>
              <w:widowControl w:val="0"/>
              <w:spacing w:after="140" w:line="290" w:lineRule="auto"/>
              <w:jc w:val="center"/>
              <w:rPr>
                <w:rFonts w:eastAsia="MS Mincho" w:cs="Calibri"/>
                <w:b/>
                <w:sz w:val="16"/>
                <w:szCs w:val="16"/>
                <w:highlight w:val="yellow"/>
                <w:lang w:eastAsia="ja-JP"/>
              </w:rPr>
            </w:pPr>
            <w:r w:rsidRPr="00D8141D">
              <w:rPr>
                <w:rFonts w:cs="Calibri"/>
                <w:b/>
                <w:bCs/>
                <w:color w:val="000000"/>
                <w:sz w:val="16"/>
                <w:szCs w:val="16"/>
              </w:rPr>
              <w:t>52.477.367,43</w:t>
            </w:r>
          </w:p>
        </w:tc>
        <w:tc>
          <w:tcPr>
            <w:tcW w:w="1492" w:type="dxa"/>
          </w:tcPr>
          <w:p w14:paraId="0DC8A181" w14:textId="77777777" w:rsidR="006E0C0B" w:rsidRPr="00D8141D" w:rsidRDefault="00ED61A0" w:rsidP="006E0C0B">
            <w:pPr>
              <w:widowControl w:val="0"/>
              <w:tabs>
                <w:tab w:val="right" w:leader="dot" w:pos="4017"/>
              </w:tabs>
              <w:spacing w:after="140" w:line="290" w:lineRule="auto"/>
              <w:jc w:val="center"/>
              <w:rPr>
                <w:rFonts w:eastAsia="MS Mincho" w:cs="Calibri"/>
                <w:b/>
                <w:sz w:val="16"/>
                <w:szCs w:val="16"/>
                <w:lang w:eastAsia="ja-JP"/>
              </w:rPr>
            </w:pPr>
            <w:r w:rsidRPr="00D8141D">
              <w:rPr>
                <w:rFonts w:cs="Calibri"/>
                <w:b/>
                <w:bCs/>
                <w:color w:val="000000"/>
                <w:sz w:val="16"/>
                <w:szCs w:val="16"/>
              </w:rPr>
              <w:t>43,73</w:t>
            </w:r>
          </w:p>
        </w:tc>
        <w:tc>
          <w:tcPr>
            <w:tcW w:w="1390" w:type="dxa"/>
            <w:vAlign w:val="center"/>
          </w:tcPr>
          <w:p w14:paraId="64E89A51" w14:textId="77777777" w:rsidR="006E0C0B" w:rsidRPr="00D8141D" w:rsidRDefault="006E0C0B" w:rsidP="006E0C0B">
            <w:pPr>
              <w:widowControl w:val="0"/>
              <w:tabs>
                <w:tab w:val="right" w:leader="dot" w:pos="4017"/>
              </w:tabs>
              <w:spacing w:after="140" w:line="290" w:lineRule="auto"/>
              <w:jc w:val="center"/>
              <w:rPr>
                <w:rFonts w:cs="Calibri"/>
                <w:b/>
                <w:bCs/>
                <w:color w:val="000000"/>
                <w:sz w:val="16"/>
                <w:szCs w:val="16"/>
              </w:rPr>
            </w:pPr>
            <w:r w:rsidRPr="00D8141D">
              <w:rPr>
                <w:rFonts w:cs="Calibri"/>
                <w:b/>
                <w:bCs/>
                <w:color w:val="000000"/>
                <w:sz w:val="16"/>
                <w:szCs w:val="16"/>
              </w:rPr>
              <w:t>4,</w:t>
            </w:r>
            <w:r w:rsidR="00ED61A0" w:rsidRPr="00D8141D">
              <w:rPr>
                <w:rFonts w:cs="Calibri"/>
                <w:b/>
                <w:bCs/>
                <w:color w:val="000000"/>
                <w:sz w:val="16"/>
                <w:szCs w:val="16"/>
              </w:rPr>
              <w:t>37</w:t>
            </w:r>
            <w:r w:rsidRPr="00D8141D">
              <w:rPr>
                <w:rFonts w:cs="Calibri"/>
                <w:b/>
                <w:bCs/>
                <w:color w:val="000000"/>
                <w:sz w:val="16"/>
                <w:szCs w:val="16"/>
              </w:rPr>
              <w:t>%</w:t>
            </w:r>
          </w:p>
        </w:tc>
      </w:tr>
      <w:tr w:rsidR="006E0C0B" w:rsidRPr="00D8141D" w14:paraId="2BC3E8FE" w14:textId="77777777" w:rsidTr="00315D49">
        <w:trPr>
          <w:jc w:val="center"/>
        </w:trPr>
        <w:tc>
          <w:tcPr>
            <w:tcW w:w="4106" w:type="dxa"/>
            <w:vAlign w:val="bottom"/>
          </w:tcPr>
          <w:p w14:paraId="06C34A92" w14:textId="77777777" w:rsidR="006E0C0B" w:rsidRPr="00566CD3" w:rsidRDefault="006E0C0B" w:rsidP="006E0C0B">
            <w:pPr>
              <w:widowControl w:val="0"/>
              <w:spacing w:after="140" w:line="290" w:lineRule="auto"/>
              <w:ind w:left="227"/>
              <w:jc w:val="both"/>
              <w:rPr>
                <w:i/>
                <w:sz w:val="16"/>
              </w:rPr>
            </w:pPr>
            <w:r w:rsidRPr="00566CD3">
              <w:rPr>
                <w:i/>
                <w:color w:val="000000"/>
                <w:sz w:val="16"/>
              </w:rPr>
              <w:t>Comissão de Coordenação e Estruturação</w:t>
            </w:r>
            <w:r w:rsidRPr="00566CD3">
              <w:rPr>
                <w:i/>
                <w:color w:val="000000"/>
                <w:sz w:val="16"/>
                <w:vertAlign w:val="superscript"/>
              </w:rPr>
              <w:t>(2)</w:t>
            </w:r>
          </w:p>
        </w:tc>
        <w:tc>
          <w:tcPr>
            <w:tcW w:w="1795" w:type="dxa"/>
          </w:tcPr>
          <w:p w14:paraId="0D108714" w14:textId="77777777" w:rsidR="006E0C0B" w:rsidRPr="00D8141D" w:rsidRDefault="006E0C0B" w:rsidP="006E0C0B">
            <w:pPr>
              <w:widowControl w:val="0"/>
              <w:spacing w:after="140" w:line="290" w:lineRule="auto"/>
              <w:jc w:val="center"/>
              <w:rPr>
                <w:rFonts w:cs="Calibri"/>
                <w:color w:val="000000"/>
                <w:sz w:val="16"/>
                <w:szCs w:val="16"/>
              </w:rPr>
            </w:pPr>
            <w:r w:rsidRPr="00D8141D">
              <w:rPr>
                <w:rFonts w:cs="Calibri"/>
                <w:color w:val="000000"/>
                <w:sz w:val="16"/>
                <w:szCs w:val="16"/>
              </w:rPr>
              <w:t>4.</w:t>
            </w:r>
            <w:r w:rsidR="00ED61A0" w:rsidRPr="00D8141D">
              <w:rPr>
                <w:rFonts w:cs="Calibri"/>
                <w:color w:val="000000"/>
                <w:sz w:val="16"/>
                <w:szCs w:val="16"/>
              </w:rPr>
              <w:t>800</w:t>
            </w:r>
            <w:r w:rsidRPr="00D8141D">
              <w:rPr>
                <w:rFonts w:cs="Calibri"/>
                <w:color w:val="000000"/>
                <w:sz w:val="16"/>
                <w:szCs w:val="16"/>
              </w:rPr>
              <w:t>.000,00</w:t>
            </w:r>
          </w:p>
        </w:tc>
        <w:tc>
          <w:tcPr>
            <w:tcW w:w="1492" w:type="dxa"/>
          </w:tcPr>
          <w:p w14:paraId="4E1ABB0B" w14:textId="77777777" w:rsidR="006E0C0B" w:rsidRPr="00D8141D" w:rsidRDefault="006E0C0B" w:rsidP="006E0C0B">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4,00</w:t>
            </w:r>
          </w:p>
        </w:tc>
        <w:tc>
          <w:tcPr>
            <w:tcW w:w="1390" w:type="dxa"/>
          </w:tcPr>
          <w:p w14:paraId="72867859" w14:textId="77777777" w:rsidR="006E0C0B" w:rsidRPr="00D8141D" w:rsidRDefault="006E0C0B" w:rsidP="006E0C0B">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0,40%</w:t>
            </w:r>
          </w:p>
        </w:tc>
      </w:tr>
      <w:tr w:rsidR="006E0C0B" w:rsidRPr="00D8141D" w14:paraId="481BE621" w14:textId="77777777" w:rsidTr="00315D49">
        <w:trPr>
          <w:jc w:val="center"/>
        </w:trPr>
        <w:tc>
          <w:tcPr>
            <w:tcW w:w="4106" w:type="dxa"/>
            <w:vAlign w:val="bottom"/>
          </w:tcPr>
          <w:p w14:paraId="15CE1917" w14:textId="77777777" w:rsidR="006E0C0B" w:rsidRPr="00D8141D" w:rsidRDefault="006E0C0B" w:rsidP="006E0C0B">
            <w:pPr>
              <w:widowControl w:val="0"/>
              <w:spacing w:after="140" w:line="290" w:lineRule="auto"/>
              <w:ind w:left="227"/>
              <w:jc w:val="both"/>
              <w:rPr>
                <w:rFonts w:cs="Calibri"/>
                <w:i/>
                <w:sz w:val="16"/>
                <w:szCs w:val="16"/>
              </w:rPr>
            </w:pPr>
            <w:r w:rsidRPr="00D8141D">
              <w:rPr>
                <w:rFonts w:cs="Calibri"/>
                <w:i/>
                <w:color w:val="000000"/>
                <w:sz w:val="16"/>
                <w:szCs w:val="16"/>
              </w:rPr>
              <w:t>Comissão de Garantia Firme</w:t>
            </w:r>
            <w:r w:rsidRPr="00D8141D">
              <w:rPr>
                <w:rFonts w:cs="Calibri"/>
                <w:i/>
                <w:color w:val="000000"/>
                <w:sz w:val="16"/>
                <w:szCs w:val="16"/>
                <w:vertAlign w:val="superscript"/>
              </w:rPr>
              <w:t>(3)</w:t>
            </w:r>
          </w:p>
        </w:tc>
        <w:tc>
          <w:tcPr>
            <w:tcW w:w="1795" w:type="dxa"/>
          </w:tcPr>
          <w:p w14:paraId="1EA53F67" w14:textId="77777777" w:rsidR="006E0C0B" w:rsidRPr="00D8141D" w:rsidRDefault="006E0C0B" w:rsidP="006E0C0B">
            <w:pPr>
              <w:widowControl w:val="0"/>
              <w:spacing w:after="140" w:line="290" w:lineRule="auto"/>
              <w:jc w:val="center"/>
              <w:rPr>
                <w:rFonts w:cs="Calibri"/>
                <w:color w:val="000000"/>
                <w:sz w:val="16"/>
                <w:szCs w:val="16"/>
              </w:rPr>
            </w:pPr>
            <w:r w:rsidRPr="00D8141D">
              <w:rPr>
                <w:rFonts w:cs="Calibri"/>
                <w:color w:val="000000"/>
                <w:sz w:val="16"/>
                <w:szCs w:val="16"/>
              </w:rPr>
              <w:t>1.000.000,00</w:t>
            </w:r>
          </w:p>
        </w:tc>
        <w:tc>
          <w:tcPr>
            <w:tcW w:w="1492" w:type="dxa"/>
          </w:tcPr>
          <w:p w14:paraId="447E2729" w14:textId="77777777" w:rsidR="006E0C0B" w:rsidRPr="00D8141D" w:rsidRDefault="00ED61A0" w:rsidP="006E0C0B">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0,83</w:t>
            </w:r>
          </w:p>
        </w:tc>
        <w:tc>
          <w:tcPr>
            <w:tcW w:w="1390" w:type="dxa"/>
          </w:tcPr>
          <w:p w14:paraId="36B13A72" w14:textId="77777777" w:rsidR="006E0C0B" w:rsidRPr="00D8141D" w:rsidRDefault="006E0C0B" w:rsidP="006E0C0B">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ED61A0" w:rsidRPr="00D8141D">
              <w:rPr>
                <w:rFonts w:cs="Calibri"/>
                <w:color w:val="000000"/>
                <w:sz w:val="16"/>
                <w:szCs w:val="16"/>
              </w:rPr>
              <w:t>0,8</w:t>
            </w:r>
            <w:r w:rsidRPr="00D8141D">
              <w:rPr>
                <w:rFonts w:cs="Calibri"/>
                <w:color w:val="000000"/>
                <w:sz w:val="16"/>
                <w:szCs w:val="16"/>
              </w:rPr>
              <w:t>%</w:t>
            </w:r>
          </w:p>
        </w:tc>
      </w:tr>
      <w:tr w:rsidR="006E0C0B" w:rsidRPr="00D8141D" w14:paraId="190EA7F1" w14:textId="77777777" w:rsidTr="00315D49">
        <w:trPr>
          <w:jc w:val="center"/>
        </w:trPr>
        <w:tc>
          <w:tcPr>
            <w:tcW w:w="4106" w:type="dxa"/>
            <w:shd w:val="clear" w:color="auto" w:fill="auto"/>
            <w:vAlign w:val="bottom"/>
          </w:tcPr>
          <w:p w14:paraId="71585B19" w14:textId="77777777" w:rsidR="006E0C0B" w:rsidRPr="00D8141D" w:rsidRDefault="006E0C0B" w:rsidP="006E0C0B">
            <w:pPr>
              <w:widowControl w:val="0"/>
              <w:spacing w:after="140" w:line="290" w:lineRule="auto"/>
              <w:ind w:left="227"/>
              <w:jc w:val="both"/>
              <w:rPr>
                <w:rFonts w:cs="Calibri"/>
                <w:i/>
                <w:color w:val="000000"/>
                <w:sz w:val="16"/>
                <w:szCs w:val="16"/>
              </w:rPr>
            </w:pPr>
            <w:r w:rsidRPr="00D8141D">
              <w:rPr>
                <w:rFonts w:cs="Calibri"/>
                <w:i/>
                <w:color w:val="000000"/>
                <w:sz w:val="16"/>
                <w:szCs w:val="16"/>
              </w:rPr>
              <w:t>Comissão de Sucesso</w:t>
            </w:r>
            <w:r w:rsidRPr="00D8141D">
              <w:rPr>
                <w:rFonts w:cs="Calibri"/>
                <w:i/>
                <w:color w:val="000000"/>
                <w:sz w:val="16"/>
                <w:szCs w:val="16"/>
                <w:vertAlign w:val="superscript"/>
              </w:rPr>
              <w:t>(4)</w:t>
            </w:r>
          </w:p>
        </w:tc>
        <w:tc>
          <w:tcPr>
            <w:tcW w:w="1795" w:type="dxa"/>
            <w:shd w:val="clear" w:color="auto" w:fill="auto"/>
            <w:vAlign w:val="center"/>
          </w:tcPr>
          <w:p w14:paraId="65ABC97D" w14:textId="77777777" w:rsidR="006E0C0B" w:rsidRPr="00D8141D" w:rsidRDefault="00ED61A0" w:rsidP="006E0C0B">
            <w:pPr>
              <w:widowControl w:val="0"/>
              <w:spacing w:after="140" w:line="290" w:lineRule="auto"/>
              <w:jc w:val="center"/>
              <w:rPr>
                <w:rFonts w:cs="Calibri"/>
                <w:color w:val="000000"/>
                <w:sz w:val="16"/>
                <w:szCs w:val="16"/>
                <w:highlight w:val="green"/>
              </w:rPr>
            </w:pPr>
            <w:r w:rsidRPr="00D8141D">
              <w:rPr>
                <w:rFonts w:cs="Calibri"/>
                <w:color w:val="000000"/>
                <w:sz w:val="16"/>
                <w:szCs w:val="16"/>
              </w:rPr>
              <w:t>4.877.238,44</w:t>
            </w:r>
          </w:p>
        </w:tc>
        <w:tc>
          <w:tcPr>
            <w:tcW w:w="1492" w:type="dxa"/>
            <w:shd w:val="clear" w:color="auto" w:fill="auto"/>
          </w:tcPr>
          <w:p w14:paraId="0A5DA08C" w14:textId="77777777" w:rsidR="006E0C0B" w:rsidRPr="00D8141D" w:rsidRDefault="00ED61A0" w:rsidP="006E0C0B">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4,06</w:t>
            </w:r>
          </w:p>
        </w:tc>
        <w:tc>
          <w:tcPr>
            <w:tcW w:w="1390" w:type="dxa"/>
            <w:shd w:val="clear" w:color="auto" w:fill="auto"/>
          </w:tcPr>
          <w:p w14:paraId="44E4D00F" w14:textId="77777777" w:rsidR="006E0C0B" w:rsidRPr="00D8141D" w:rsidRDefault="006E0C0B" w:rsidP="006E0C0B">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ED61A0" w:rsidRPr="00D8141D">
              <w:rPr>
                <w:rFonts w:cs="Calibri"/>
                <w:color w:val="000000"/>
                <w:sz w:val="16"/>
                <w:szCs w:val="16"/>
              </w:rPr>
              <w:t>41</w:t>
            </w:r>
            <w:r w:rsidRPr="00D8141D">
              <w:rPr>
                <w:rFonts w:cs="Calibri"/>
                <w:color w:val="000000"/>
                <w:sz w:val="16"/>
                <w:szCs w:val="16"/>
              </w:rPr>
              <w:t>%</w:t>
            </w:r>
          </w:p>
        </w:tc>
      </w:tr>
      <w:tr w:rsidR="006E0C0B" w:rsidRPr="00D8141D" w14:paraId="175C5233" w14:textId="77777777" w:rsidTr="00315D49">
        <w:trPr>
          <w:jc w:val="center"/>
        </w:trPr>
        <w:tc>
          <w:tcPr>
            <w:tcW w:w="4106" w:type="dxa"/>
            <w:vAlign w:val="bottom"/>
          </w:tcPr>
          <w:p w14:paraId="624D8FE1" w14:textId="77777777" w:rsidR="006E0C0B" w:rsidRPr="00566CD3" w:rsidRDefault="006E0C0B" w:rsidP="006E0C0B">
            <w:pPr>
              <w:widowControl w:val="0"/>
              <w:spacing w:after="140" w:line="290" w:lineRule="auto"/>
              <w:ind w:left="227"/>
              <w:jc w:val="both"/>
              <w:rPr>
                <w:i/>
                <w:color w:val="000000"/>
                <w:sz w:val="16"/>
              </w:rPr>
            </w:pPr>
            <w:r w:rsidRPr="00566CD3">
              <w:rPr>
                <w:i/>
                <w:color w:val="000000"/>
                <w:sz w:val="16"/>
              </w:rPr>
              <w:t>Comissão de Remuneração dos Canais de Distribuição</w:t>
            </w:r>
            <w:r w:rsidRPr="00566CD3">
              <w:rPr>
                <w:i/>
                <w:color w:val="000000"/>
                <w:sz w:val="16"/>
                <w:vertAlign w:val="superscript"/>
              </w:rPr>
              <w:t>(5)</w:t>
            </w:r>
          </w:p>
        </w:tc>
        <w:tc>
          <w:tcPr>
            <w:tcW w:w="1795" w:type="dxa"/>
          </w:tcPr>
          <w:p w14:paraId="5495A7F1" w14:textId="77777777" w:rsidR="006E0C0B" w:rsidRPr="00D8141D" w:rsidRDefault="00ED61A0" w:rsidP="006E0C0B">
            <w:pPr>
              <w:widowControl w:val="0"/>
              <w:spacing w:after="140" w:line="290" w:lineRule="auto"/>
              <w:jc w:val="center"/>
              <w:rPr>
                <w:rFonts w:cs="Calibri"/>
                <w:color w:val="000000"/>
                <w:sz w:val="16"/>
                <w:szCs w:val="16"/>
                <w:highlight w:val="green"/>
              </w:rPr>
            </w:pPr>
            <w:r w:rsidRPr="00D8141D">
              <w:rPr>
                <w:rFonts w:cs="Calibri"/>
                <w:color w:val="000000"/>
                <w:sz w:val="16"/>
                <w:szCs w:val="16"/>
              </w:rPr>
              <w:t>35.300.046,71</w:t>
            </w:r>
          </w:p>
        </w:tc>
        <w:tc>
          <w:tcPr>
            <w:tcW w:w="1492" w:type="dxa"/>
          </w:tcPr>
          <w:p w14:paraId="0C58B666" w14:textId="77777777" w:rsidR="006E0C0B" w:rsidRPr="00D8141D" w:rsidRDefault="006E0C0B" w:rsidP="006E0C0B">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29,</w:t>
            </w:r>
            <w:r w:rsidR="00ED61A0" w:rsidRPr="00D8141D">
              <w:rPr>
                <w:rFonts w:cs="Calibri"/>
                <w:color w:val="000000"/>
                <w:sz w:val="16"/>
                <w:szCs w:val="16"/>
              </w:rPr>
              <w:t>42</w:t>
            </w:r>
          </w:p>
        </w:tc>
        <w:tc>
          <w:tcPr>
            <w:tcW w:w="1390" w:type="dxa"/>
          </w:tcPr>
          <w:p w14:paraId="425A2578" w14:textId="77777777" w:rsidR="006E0C0B" w:rsidRPr="00D8141D" w:rsidRDefault="006E0C0B" w:rsidP="006E0C0B">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2,</w:t>
            </w:r>
            <w:r w:rsidR="00ED61A0" w:rsidRPr="00D8141D">
              <w:rPr>
                <w:rFonts w:cs="Calibri"/>
                <w:color w:val="000000"/>
                <w:sz w:val="16"/>
                <w:szCs w:val="16"/>
              </w:rPr>
              <w:t>94</w:t>
            </w:r>
            <w:r w:rsidRPr="00D8141D">
              <w:rPr>
                <w:rFonts w:cs="Calibri"/>
                <w:color w:val="000000"/>
                <w:sz w:val="16"/>
                <w:szCs w:val="16"/>
              </w:rPr>
              <w:t>%</w:t>
            </w:r>
          </w:p>
        </w:tc>
      </w:tr>
      <w:tr w:rsidR="006E0C0B" w:rsidRPr="00D8141D" w14:paraId="36ABB614" w14:textId="77777777" w:rsidTr="00315D49">
        <w:trPr>
          <w:jc w:val="center"/>
        </w:trPr>
        <w:tc>
          <w:tcPr>
            <w:tcW w:w="4106" w:type="dxa"/>
            <w:vAlign w:val="bottom"/>
          </w:tcPr>
          <w:p w14:paraId="4BCA2DB1" w14:textId="77777777" w:rsidR="006E0C0B" w:rsidRPr="00D8141D" w:rsidRDefault="006E0C0B" w:rsidP="006E0C0B">
            <w:pPr>
              <w:widowControl w:val="0"/>
              <w:spacing w:after="140" w:line="290" w:lineRule="auto"/>
              <w:ind w:left="227"/>
              <w:jc w:val="both"/>
              <w:rPr>
                <w:rFonts w:cs="Calibri"/>
                <w:i/>
                <w:color w:val="000000"/>
                <w:sz w:val="16"/>
                <w:szCs w:val="16"/>
              </w:rPr>
            </w:pPr>
            <w:r w:rsidRPr="00D8141D">
              <w:rPr>
                <w:rFonts w:cs="Calibri"/>
                <w:i/>
                <w:color w:val="000000"/>
                <w:sz w:val="16"/>
                <w:szCs w:val="16"/>
              </w:rPr>
              <w:t xml:space="preserve">Tributos sobre o Comissionamento </w:t>
            </w:r>
          </w:p>
        </w:tc>
        <w:tc>
          <w:tcPr>
            <w:tcW w:w="1795" w:type="dxa"/>
          </w:tcPr>
          <w:p w14:paraId="2647BDDD" w14:textId="77777777" w:rsidR="006E0C0B" w:rsidRPr="00D8141D" w:rsidRDefault="00ED61A0" w:rsidP="006E0C0B">
            <w:pPr>
              <w:widowControl w:val="0"/>
              <w:spacing w:after="140" w:line="290" w:lineRule="auto"/>
              <w:jc w:val="center"/>
              <w:rPr>
                <w:rFonts w:cs="Calibri"/>
                <w:color w:val="000000"/>
                <w:sz w:val="16"/>
                <w:szCs w:val="16"/>
              </w:rPr>
            </w:pPr>
            <w:r w:rsidRPr="00D8141D">
              <w:rPr>
                <w:rFonts w:cs="Calibri"/>
                <w:color w:val="000000"/>
                <w:sz w:val="16"/>
                <w:szCs w:val="16"/>
              </w:rPr>
              <w:t>4.910.689,56</w:t>
            </w:r>
          </w:p>
        </w:tc>
        <w:tc>
          <w:tcPr>
            <w:tcW w:w="1492" w:type="dxa"/>
          </w:tcPr>
          <w:p w14:paraId="294B839B" w14:textId="77777777" w:rsidR="006E0C0B" w:rsidRPr="00D8141D" w:rsidRDefault="00ED61A0" w:rsidP="006E0C0B">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4,09</w:t>
            </w:r>
          </w:p>
        </w:tc>
        <w:tc>
          <w:tcPr>
            <w:tcW w:w="1390" w:type="dxa"/>
          </w:tcPr>
          <w:p w14:paraId="51048D40" w14:textId="77777777" w:rsidR="006E0C0B" w:rsidRPr="00D8141D" w:rsidRDefault="006E0C0B" w:rsidP="006E0C0B">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w:t>
            </w:r>
            <w:r w:rsidR="00ED61A0" w:rsidRPr="00D8141D">
              <w:rPr>
                <w:rFonts w:cs="Calibri"/>
                <w:color w:val="000000"/>
                <w:sz w:val="16"/>
                <w:szCs w:val="16"/>
              </w:rPr>
              <w:t>41</w:t>
            </w:r>
            <w:r w:rsidRPr="00D8141D">
              <w:rPr>
                <w:rFonts w:cs="Calibri"/>
                <w:color w:val="000000"/>
                <w:sz w:val="16"/>
                <w:szCs w:val="16"/>
              </w:rPr>
              <w:t>%</w:t>
            </w:r>
          </w:p>
        </w:tc>
      </w:tr>
      <w:tr w:rsidR="00D21331" w:rsidRPr="00D8141D" w14:paraId="2C038B38" w14:textId="77777777" w:rsidTr="00D8141D">
        <w:trPr>
          <w:jc w:val="center"/>
        </w:trPr>
        <w:tc>
          <w:tcPr>
            <w:tcW w:w="4106" w:type="dxa"/>
            <w:shd w:val="clear" w:color="auto" w:fill="D9D9D9"/>
            <w:vAlign w:val="bottom"/>
          </w:tcPr>
          <w:p w14:paraId="7474F155" w14:textId="77777777" w:rsidR="00D21331" w:rsidRPr="00566CD3" w:rsidRDefault="00D21331" w:rsidP="00D21331">
            <w:pPr>
              <w:widowControl w:val="0"/>
              <w:spacing w:after="140" w:line="290" w:lineRule="auto"/>
              <w:jc w:val="both"/>
              <w:rPr>
                <w:b/>
                <w:i/>
                <w:color w:val="000000"/>
                <w:sz w:val="16"/>
              </w:rPr>
            </w:pPr>
            <w:r w:rsidRPr="00566CD3">
              <w:rPr>
                <w:b/>
                <w:color w:val="000000"/>
                <w:sz w:val="16"/>
              </w:rPr>
              <w:t xml:space="preserve">Total de Comissões </w:t>
            </w:r>
            <w:r w:rsidR="00ED61A0" w:rsidRPr="00566CD3">
              <w:rPr>
                <w:b/>
                <w:color w:val="000000"/>
                <w:sz w:val="16"/>
              </w:rPr>
              <w:t>do</w:t>
            </w:r>
            <w:r w:rsidRPr="00566CD3">
              <w:rPr>
                <w:b/>
                <w:color w:val="000000"/>
                <w:sz w:val="16"/>
              </w:rPr>
              <w:t xml:space="preserve"> </w:t>
            </w:r>
            <w:r w:rsidR="00D42D4F" w:rsidRPr="00566CD3">
              <w:rPr>
                <w:b/>
                <w:color w:val="000000"/>
                <w:sz w:val="16"/>
              </w:rPr>
              <w:t xml:space="preserve">Coordenador Líder </w:t>
            </w:r>
            <w:r w:rsidRPr="00566CD3">
              <w:rPr>
                <w:b/>
                <w:color w:val="000000"/>
                <w:sz w:val="16"/>
                <w:vertAlign w:val="superscript"/>
              </w:rPr>
              <w:t>(</w:t>
            </w:r>
            <w:r w:rsidR="00D05A75" w:rsidRPr="00566CD3">
              <w:rPr>
                <w:b/>
                <w:color w:val="000000"/>
                <w:sz w:val="16"/>
                <w:vertAlign w:val="superscript"/>
              </w:rPr>
              <w:t>3</w:t>
            </w:r>
            <w:r w:rsidRPr="00566CD3">
              <w:rPr>
                <w:b/>
                <w:color w:val="000000"/>
                <w:sz w:val="16"/>
                <w:vertAlign w:val="superscript"/>
              </w:rPr>
              <w:t>)</w:t>
            </w:r>
          </w:p>
        </w:tc>
        <w:tc>
          <w:tcPr>
            <w:tcW w:w="1795" w:type="dxa"/>
          </w:tcPr>
          <w:p w14:paraId="455B4270" w14:textId="77777777" w:rsidR="00D21331" w:rsidRPr="00D8141D" w:rsidRDefault="00ED61A0" w:rsidP="00315D49">
            <w:pPr>
              <w:widowControl w:val="0"/>
              <w:spacing w:after="140" w:line="290" w:lineRule="auto"/>
              <w:jc w:val="center"/>
              <w:rPr>
                <w:rFonts w:cs="Calibri"/>
                <w:b/>
                <w:color w:val="000000"/>
                <w:sz w:val="16"/>
                <w:szCs w:val="16"/>
              </w:rPr>
            </w:pPr>
            <w:r w:rsidRPr="00D8141D">
              <w:rPr>
                <w:rFonts w:cs="Calibri"/>
                <w:b/>
                <w:bCs/>
                <w:color w:val="000000"/>
                <w:sz w:val="16"/>
                <w:szCs w:val="16"/>
              </w:rPr>
              <w:t>50.887.974,71</w:t>
            </w:r>
          </w:p>
        </w:tc>
        <w:tc>
          <w:tcPr>
            <w:tcW w:w="1492" w:type="dxa"/>
          </w:tcPr>
          <w:p w14:paraId="5910A691" w14:textId="77777777" w:rsidR="00D21331" w:rsidRPr="00D8141D" w:rsidRDefault="00ED61A0" w:rsidP="00315D49">
            <w:pPr>
              <w:widowControl w:val="0"/>
              <w:tabs>
                <w:tab w:val="right" w:leader="dot" w:pos="4017"/>
              </w:tabs>
              <w:spacing w:after="140" w:line="290" w:lineRule="auto"/>
              <w:jc w:val="center"/>
              <w:rPr>
                <w:rFonts w:cs="Calibri"/>
                <w:b/>
                <w:sz w:val="16"/>
                <w:szCs w:val="16"/>
              </w:rPr>
            </w:pPr>
            <w:r w:rsidRPr="00D8141D">
              <w:rPr>
                <w:rFonts w:cs="Calibri"/>
                <w:b/>
                <w:bCs/>
                <w:color w:val="000000"/>
                <w:sz w:val="16"/>
                <w:szCs w:val="16"/>
              </w:rPr>
              <w:t>42,41</w:t>
            </w:r>
          </w:p>
        </w:tc>
        <w:tc>
          <w:tcPr>
            <w:tcW w:w="1390" w:type="dxa"/>
          </w:tcPr>
          <w:p w14:paraId="6ED2E762" w14:textId="77777777" w:rsidR="00D21331" w:rsidRPr="00D8141D" w:rsidRDefault="00ED61A0" w:rsidP="00315D49">
            <w:pPr>
              <w:widowControl w:val="0"/>
              <w:tabs>
                <w:tab w:val="right" w:leader="dot" w:pos="4017"/>
              </w:tabs>
              <w:spacing w:after="140" w:line="290" w:lineRule="auto"/>
              <w:jc w:val="center"/>
              <w:rPr>
                <w:rFonts w:cs="Calibri"/>
                <w:b/>
                <w:sz w:val="16"/>
                <w:szCs w:val="16"/>
                <w:highlight w:val="yellow"/>
              </w:rPr>
            </w:pPr>
            <w:r w:rsidRPr="00D8141D">
              <w:rPr>
                <w:rFonts w:cs="Calibri"/>
                <w:b/>
                <w:bCs/>
                <w:color w:val="000000"/>
                <w:sz w:val="16"/>
                <w:szCs w:val="16"/>
              </w:rPr>
              <w:t>4,24</w:t>
            </w:r>
            <w:r w:rsidR="00DB205D" w:rsidRPr="00D8141D">
              <w:rPr>
                <w:rFonts w:cs="Calibri"/>
                <w:b/>
                <w:bCs/>
                <w:color w:val="000000"/>
                <w:sz w:val="16"/>
                <w:szCs w:val="16"/>
              </w:rPr>
              <w:t>%</w:t>
            </w:r>
          </w:p>
        </w:tc>
      </w:tr>
      <w:tr w:rsidR="00D21331" w:rsidRPr="00D8141D" w14:paraId="7BF2E86A" w14:textId="77777777" w:rsidTr="00315D49">
        <w:trPr>
          <w:jc w:val="center"/>
        </w:trPr>
        <w:tc>
          <w:tcPr>
            <w:tcW w:w="4106" w:type="dxa"/>
            <w:vAlign w:val="bottom"/>
          </w:tcPr>
          <w:p w14:paraId="1F00BD7C" w14:textId="77777777" w:rsidR="00D21331" w:rsidRPr="00566CD3" w:rsidRDefault="00D21331" w:rsidP="00D21331">
            <w:pPr>
              <w:widowControl w:val="0"/>
              <w:spacing w:after="140" w:line="290" w:lineRule="auto"/>
              <w:jc w:val="both"/>
              <w:rPr>
                <w:color w:val="000000"/>
                <w:sz w:val="16"/>
              </w:rPr>
            </w:pPr>
            <w:r w:rsidRPr="00566CD3">
              <w:rPr>
                <w:color w:val="000000"/>
                <w:sz w:val="16"/>
              </w:rPr>
              <w:t>Taxa de Registro na CVM</w:t>
            </w:r>
          </w:p>
        </w:tc>
        <w:tc>
          <w:tcPr>
            <w:tcW w:w="1795" w:type="dxa"/>
          </w:tcPr>
          <w:p w14:paraId="7A72053A" w14:textId="77777777" w:rsidR="00D21331" w:rsidRPr="00D8141D" w:rsidRDefault="004960EA" w:rsidP="00315D49">
            <w:pPr>
              <w:widowControl w:val="0"/>
              <w:spacing w:after="140" w:line="290" w:lineRule="auto"/>
              <w:jc w:val="center"/>
              <w:rPr>
                <w:rFonts w:cs="Calibri"/>
                <w:sz w:val="16"/>
                <w:szCs w:val="16"/>
              </w:rPr>
            </w:pPr>
            <w:r w:rsidRPr="00D8141D">
              <w:rPr>
                <w:rFonts w:cs="Calibri"/>
                <w:sz w:val="16"/>
                <w:szCs w:val="16"/>
              </w:rPr>
              <w:t>634.628,72</w:t>
            </w:r>
          </w:p>
        </w:tc>
        <w:tc>
          <w:tcPr>
            <w:tcW w:w="1492" w:type="dxa"/>
          </w:tcPr>
          <w:p w14:paraId="033F7158" w14:textId="77777777" w:rsidR="00D21331" w:rsidRPr="00D8141D" w:rsidRDefault="00DB205D" w:rsidP="00315D49">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w:t>
            </w:r>
            <w:r w:rsidR="00E02FA2" w:rsidRPr="00D8141D">
              <w:rPr>
                <w:rFonts w:cs="Calibri"/>
                <w:color w:val="000000"/>
                <w:sz w:val="16"/>
                <w:szCs w:val="16"/>
              </w:rPr>
              <w:t>5</w:t>
            </w:r>
            <w:r w:rsidR="00ED61A0" w:rsidRPr="00D8141D">
              <w:rPr>
                <w:rFonts w:cs="Calibri"/>
                <w:color w:val="000000"/>
                <w:sz w:val="16"/>
                <w:szCs w:val="16"/>
              </w:rPr>
              <w:t>3</w:t>
            </w:r>
          </w:p>
        </w:tc>
        <w:tc>
          <w:tcPr>
            <w:tcW w:w="1390" w:type="dxa"/>
          </w:tcPr>
          <w:p w14:paraId="33EBE668" w14:textId="77777777" w:rsidR="00D21331" w:rsidRPr="00D8141D" w:rsidRDefault="00DB205D" w:rsidP="00315D49">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w:t>
            </w:r>
            <w:r w:rsidR="00ED61A0" w:rsidRPr="00D8141D">
              <w:rPr>
                <w:rFonts w:cs="Calibri"/>
                <w:color w:val="000000"/>
                <w:sz w:val="16"/>
                <w:szCs w:val="16"/>
              </w:rPr>
              <w:t>0</w:t>
            </w:r>
            <w:r w:rsidR="00E02FA2" w:rsidRPr="00D8141D">
              <w:rPr>
                <w:rFonts w:cs="Calibri"/>
                <w:color w:val="000000"/>
                <w:sz w:val="16"/>
                <w:szCs w:val="16"/>
              </w:rPr>
              <w:t>5</w:t>
            </w:r>
            <w:r w:rsidRPr="00D8141D">
              <w:rPr>
                <w:rFonts w:cs="Calibri"/>
                <w:color w:val="000000"/>
                <w:sz w:val="16"/>
                <w:szCs w:val="16"/>
              </w:rPr>
              <w:t>%</w:t>
            </w:r>
          </w:p>
        </w:tc>
      </w:tr>
      <w:tr w:rsidR="00D21331" w:rsidRPr="00D8141D" w14:paraId="4118351C" w14:textId="77777777" w:rsidTr="00315D49">
        <w:trPr>
          <w:jc w:val="center"/>
        </w:trPr>
        <w:tc>
          <w:tcPr>
            <w:tcW w:w="4106" w:type="dxa"/>
            <w:vAlign w:val="bottom"/>
          </w:tcPr>
          <w:p w14:paraId="30CB2A09" w14:textId="77777777" w:rsidR="00D21331" w:rsidRPr="00566CD3" w:rsidRDefault="00D21331" w:rsidP="00D21331">
            <w:pPr>
              <w:widowControl w:val="0"/>
              <w:spacing w:after="140" w:line="290" w:lineRule="auto"/>
              <w:jc w:val="both"/>
              <w:rPr>
                <w:color w:val="000000"/>
                <w:sz w:val="16"/>
              </w:rPr>
            </w:pPr>
            <w:r w:rsidRPr="00566CD3">
              <w:rPr>
                <w:color w:val="000000"/>
                <w:sz w:val="16"/>
              </w:rPr>
              <w:t>Taxa de Registro na B3</w:t>
            </w:r>
          </w:p>
        </w:tc>
        <w:tc>
          <w:tcPr>
            <w:tcW w:w="1795" w:type="dxa"/>
          </w:tcPr>
          <w:p w14:paraId="7D187B19" w14:textId="77777777" w:rsidR="00D21331" w:rsidRPr="00D8141D" w:rsidRDefault="00E02FA2" w:rsidP="00315D49">
            <w:pPr>
              <w:widowControl w:val="0"/>
              <w:spacing w:after="140" w:line="290" w:lineRule="auto"/>
              <w:jc w:val="center"/>
              <w:rPr>
                <w:rFonts w:cs="Calibri"/>
                <w:sz w:val="16"/>
                <w:szCs w:val="16"/>
              </w:rPr>
            </w:pPr>
            <w:r w:rsidRPr="00D8141D">
              <w:rPr>
                <w:rFonts w:cs="Calibri"/>
                <w:color w:val="000000"/>
                <w:sz w:val="16"/>
                <w:szCs w:val="16"/>
              </w:rPr>
              <w:t>210</w:t>
            </w:r>
            <w:r w:rsidR="004960EA" w:rsidRPr="00D8141D">
              <w:rPr>
                <w:rFonts w:cs="Calibri"/>
                <w:color w:val="000000"/>
                <w:sz w:val="16"/>
                <w:szCs w:val="16"/>
              </w:rPr>
              <w:t>.000,00</w:t>
            </w:r>
          </w:p>
        </w:tc>
        <w:tc>
          <w:tcPr>
            <w:tcW w:w="1492" w:type="dxa"/>
          </w:tcPr>
          <w:p w14:paraId="2F377A80" w14:textId="77777777" w:rsidR="00D21331" w:rsidRPr="00D8141D" w:rsidRDefault="00DB205D" w:rsidP="00315D49">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E02FA2" w:rsidRPr="00D8141D">
              <w:rPr>
                <w:rFonts w:cs="Calibri"/>
                <w:color w:val="000000"/>
                <w:sz w:val="16"/>
                <w:szCs w:val="16"/>
              </w:rPr>
              <w:t>18</w:t>
            </w:r>
          </w:p>
        </w:tc>
        <w:tc>
          <w:tcPr>
            <w:tcW w:w="1390" w:type="dxa"/>
          </w:tcPr>
          <w:p w14:paraId="7E634342" w14:textId="77777777" w:rsidR="00D21331" w:rsidRPr="00D8141D" w:rsidRDefault="00DB205D" w:rsidP="00315D49">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ED61A0" w:rsidRPr="00D8141D">
              <w:rPr>
                <w:rFonts w:cs="Calibri"/>
                <w:color w:val="000000"/>
                <w:sz w:val="16"/>
                <w:szCs w:val="16"/>
              </w:rPr>
              <w:t>0</w:t>
            </w:r>
            <w:r w:rsidR="00E02FA2" w:rsidRPr="00D8141D">
              <w:rPr>
                <w:rFonts w:cs="Calibri"/>
                <w:color w:val="000000"/>
                <w:sz w:val="16"/>
                <w:szCs w:val="16"/>
              </w:rPr>
              <w:t>2</w:t>
            </w:r>
            <w:r w:rsidRPr="00D8141D">
              <w:rPr>
                <w:rFonts w:cs="Calibri"/>
                <w:color w:val="000000"/>
                <w:sz w:val="16"/>
                <w:szCs w:val="16"/>
              </w:rPr>
              <w:t>%</w:t>
            </w:r>
          </w:p>
        </w:tc>
      </w:tr>
      <w:tr w:rsidR="00D21331" w:rsidRPr="00D8141D" w14:paraId="786DE9C6" w14:textId="77777777" w:rsidTr="00315D49">
        <w:trPr>
          <w:jc w:val="center"/>
        </w:trPr>
        <w:tc>
          <w:tcPr>
            <w:tcW w:w="4106" w:type="dxa"/>
            <w:vAlign w:val="bottom"/>
          </w:tcPr>
          <w:p w14:paraId="58BA5002" w14:textId="77777777" w:rsidR="00D21331" w:rsidRPr="00566CD3" w:rsidRDefault="00D21331" w:rsidP="00D21331">
            <w:pPr>
              <w:widowControl w:val="0"/>
              <w:spacing w:after="140" w:line="290" w:lineRule="auto"/>
              <w:jc w:val="both"/>
              <w:rPr>
                <w:color w:val="000000"/>
                <w:sz w:val="16"/>
              </w:rPr>
            </w:pPr>
            <w:r w:rsidRPr="00566CD3">
              <w:rPr>
                <w:color w:val="000000"/>
                <w:sz w:val="16"/>
              </w:rPr>
              <w:t>Taxa de Registro na ANBIMA</w:t>
            </w:r>
          </w:p>
        </w:tc>
        <w:tc>
          <w:tcPr>
            <w:tcW w:w="1795" w:type="dxa"/>
          </w:tcPr>
          <w:p w14:paraId="7E9C3896" w14:textId="77777777" w:rsidR="00D21331" w:rsidRPr="00D8141D" w:rsidRDefault="00E02FA2" w:rsidP="00315D49">
            <w:pPr>
              <w:widowControl w:val="0"/>
              <w:spacing w:after="140" w:line="290" w:lineRule="auto"/>
              <w:jc w:val="center"/>
              <w:rPr>
                <w:rFonts w:cs="Calibri"/>
                <w:sz w:val="16"/>
                <w:szCs w:val="16"/>
              </w:rPr>
            </w:pPr>
            <w:r w:rsidRPr="00D8141D">
              <w:rPr>
                <w:rFonts w:cs="Calibri"/>
                <w:sz w:val="16"/>
                <w:szCs w:val="16"/>
              </w:rPr>
              <w:t>52.764</w:t>
            </w:r>
            <w:r w:rsidR="004960EA" w:rsidRPr="00D8141D">
              <w:rPr>
                <w:rFonts w:cs="Calibri"/>
                <w:sz w:val="16"/>
                <w:szCs w:val="16"/>
              </w:rPr>
              <w:t>,00</w:t>
            </w:r>
          </w:p>
        </w:tc>
        <w:tc>
          <w:tcPr>
            <w:tcW w:w="1492" w:type="dxa"/>
          </w:tcPr>
          <w:p w14:paraId="4A33C6DB" w14:textId="77777777" w:rsidR="00D21331" w:rsidRPr="00D8141D" w:rsidRDefault="00DB205D" w:rsidP="00315D49">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E02FA2" w:rsidRPr="00D8141D">
              <w:rPr>
                <w:rFonts w:cs="Calibri"/>
                <w:color w:val="000000"/>
                <w:sz w:val="16"/>
                <w:szCs w:val="16"/>
              </w:rPr>
              <w:t>04</w:t>
            </w:r>
          </w:p>
        </w:tc>
        <w:tc>
          <w:tcPr>
            <w:tcW w:w="1390" w:type="dxa"/>
          </w:tcPr>
          <w:p w14:paraId="3F609CD8" w14:textId="77777777" w:rsidR="00D21331" w:rsidRPr="00D8141D" w:rsidRDefault="00DB205D" w:rsidP="00315D49">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E02FA2" w:rsidRPr="00D8141D">
              <w:rPr>
                <w:rFonts w:cs="Calibri"/>
                <w:color w:val="000000"/>
                <w:sz w:val="16"/>
                <w:szCs w:val="16"/>
              </w:rPr>
              <w:t>00</w:t>
            </w:r>
            <w:r w:rsidRPr="00D8141D">
              <w:rPr>
                <w:rFonts w:cs="Calibri"/>
                <w:color w:val="000000"/>
                <w:sz w:val="16"/>
                <w:szCs w:val="16"/>
              </w:rPr>
              <w:t>%</w:t>
            </w:r>
          </w:p>
        </w:tc>
      </w:tr>
      <w:tr w:rsidR="00D21331" w:rsidRPr="00D8141D" w14:paraId="73E9BA83" w14:textId="77777777" w:rsidTr="00315D49">
        <w:trPr>
          <w:jc w:val="center"/>
        </w:trPr>
        <w:tc>
          <w:tcPr>
            <w:tcW w:w="4106" w:type="dxa"/>
            <w:vAlign w:val="bottom"/>
          </w:tcPr>
          <w:p w14:paraId="2BAE52EF" w14:textId="77777777" w:rsidR="00D21331" w:rsidRPr="00566CD3" w:rsidRDefault="00D21331" w:rsidP="00D21331">
            <w:pPr>
              <w:widowControl w:val="0"/>
              <w:spacing w:after="140" w:line="290" w:lineRule="auto"/>
              <w:jc w:val="both"/>
              <w:rPr>
                <w:color w:val="000000"/>
                <w:sz w:val="16"/>
              </w:rPr>
            </w:pPr>
            <w:r w:rsidRPr="00566CD3">
              <w:rPr>
                <w:color w:val="000000"/>
                <w:sz w:val="16"/>
              </w:rPr>
              <w:t>Agência de Classificação de Risco</w:t>
            </w:r>
          </w:p>
        </w:tc>
        <w:tc>
          <w:tcPr>
            <w:tcW w:w="1795" w:type="dxa"/>
          </w:tcPr>
          <w:p w14:paraId="59B053FE" w14:textId="77777777" w:rsidR="00D21331" w:rsidRPr="00D8141D" w:rsidRDefault="00DB205D" w:rsidP="00315D49">
            <w:pPr>
              <w:widowControl w:val="0"/>
              <w:spacing w:after="140" w:line="290" w:lineRule="auto"/>
              <w:jc w:val="center"/>
              <w:rPr>
                <w:rFonts w:cs="Calibri"/>
                <w:sz w:val="16"/>
                <w:szCs w:val="16"/>
              </w:rPr>
            </w:pPr>
            <w:r w:rsidRPr="00D8141D">
              <w:rPr>
                <w:rFonts w:cs="Calibri"/>
                <w:color w:val="000000"/>
                <w:sz w:val="16"/>
                <w:szCs w:val="16"/>
              </w:rPr>
              <w:t>120.000,00</w:t>
            </w:r>
          </w:p>
        </w:tc>
        <w:tc>
          <w:tcPr>
            <w:tcW w:w="1492" w:type="dxa"/>
          </w:tcPr>
          <w:p w14:paraId="5C9327D0" w14:textId="77777777" w:rsidR="00D21331" w:rsidRPr="00D8141D" w:rsidRDefault="00DB205D" w:rsidP="00315D49">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w:t>
            </w:r>
            <w:r w:rsidR="00ED61A0" w:rsidRPr="00D8141D">
              <w:rPr>
                <w:rFonts w:cs="Calibri"/>
                <w:color w:val="000000"/>
                <w:sz w:val="16"/>
                <w:szCs w:val="16"/>
              </w:rPr>
              <w:t>1</w:t>
            </w:r>
            <w:r w:rsidR="00E02FA2" w:rsidRPr="00D8141D">
              <w:rPr>
                <w:rFonts w:cs="Calibri"/>
                <w:color w:val="000000"/>
                <w:sz w:val="16"/>
                <w:szCs w:val="16"/>
              </w:rPr>
              <w:t>0</w:t>
            </w:r>
          </w:p>
        </w:tc>
        <w:tc>
          <w:tcPr>
            <w:tcW w:w="1390" w:type="dxa"/>
          </w:tcPr>
          <w:p w14:paraId="146B5006" w14:textId="77777777" w:rsidR="00D21331" w:rsidRPr="00D8141D" w:rsidRDefault="00DB205D" w:rsidP="00315D49">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0,01%</w:t>
            </w:r>
          </w:p>
        </w:tc>
      </w:tr>
      <w:tr w:rsidR="00D21331" w:rsidRPr="00D8141D" w14:paraId="62A283B0" w14:textId="77777777" w:rsidTr="00315D49">
        <w:trPr>
          <w:jc w:val="center"/>
        </w:trPr>
        <w:tc>
          <w:tcPr>
            <w:tcW w:w="4106" w:type="dxa"/>
            <w:vAlign w:val="bottom"/>
          </w:tcPr>
          <w:p w14:paraId="68A5269A" w14:textId="77777777" w:rsidR="00D21331" w:rsidRPr="00D8141D" w:rsidRDefault="00D21331" w:rsidP="00D21331">
            <w:pPr>
              <w:widowControl w:val="0"/>
              <w:spacing w:after="140" w:line="290" w:lineRule="auto"/>
              <w:jc w:val="both"/>
              <w:rPr>
                <w:rFonts w:cs="Calibri"/>
                <w:color w:val="000000"/>
                <w:sz w:val="16"/>
                <w:szCs w:val="16"/>
              </w:rPr>
            </w:pPr>
            <w:r w:rsidRPr="00D8141D">
              <w:rPr>
                <w:rFonts w:eastAsia="Calibri" w:cs="Calibri"/>
                <w:color w:val="000000"/>
                <w:sz w:val="16"/>
                <w:szCs w:val="16"/>
              </w:rPr>
              <w:t>Assessores Jurídicos</w:t>
            </w:r>
          </w:p>
        </w:tc>
        <w:tc>
          <w:tcPr>
            <w:tcW w:w="1795" w:type="dxa"/>
          </w:tcPr>
          <w:p w14:paraId="22C6DB42" w14:textId="77777777" w:rsidR="00D21331" w:rsidRPr="00D8141D" w:rsidRDefault="00DB205D" w:rsidP="00315D49">
            <w:pPr>
              <w:widowControl w:val="0"/>
              <w:spacing w:after="140" w:line="290" w:lineRule="auto"/>
              <w:jc w:val="center"/>
              <w:rPr>
                <w:rFonts w:eastAsia="MS Mincho" w:cs="Calibri"/>
                <w:sz w:val="16"/>
                <w:szCs w:val="16"/>
                <w:lang w:eastAsia="ja-JP"/>
              </w:rPr>
            </w:pPr>
            <w:r w:rsidRPr="00D8141D">
              <w:rPr>
                <w:rFonts w:cs="Calibri"/>
                <w:color w:val="000000"/>
                <w:sz w:val="16"/>
                <w:szCs w:val="16"/>
              </w:rPr>
              <w:t>445.000,00</w:t>
            </w:r>
          </w:p>
        </w:tc>
        <w:tc>
          <w:tcPr>
            <w:tcW w:w="1492" w:type="dxa"/>
          </w:tcPr>
          <w:p w14:paraId="41D62960" w14:textId="77777777" w:rsidR="00D21331" w:rsidRPr="00D8141D" w:rsidRDefault="00DB205D" w:rsidP="00315D49">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w:t>
            </w:r>
            <w:r w:rsidR="00E02FA2" w:rsidRPr="00D8141D">
              <w:rPr>
                <w:rFonts w:cs="Calibri"/>
                <w:color w:val="000000"/>
                <w:sz w:val="16"/>
                <w:szCs w:val="16"/>
              </w:rPr>
              <w:t>37</w:t>
            </w:r>
          </w:p>
        </w:tc>
        <w:tc>
          <w:tcPr>
            <w:tcW w:w="1390" w:type="dxa"/>
          </w:tcPr>
          <w:p w14:paraId="4FFE1CC5" w14:textId="77777777" w:rsidR="00D21331" w:rsidRPr="00D8141D" w:rsidRDefault="00DB205D" w:rsidP="00315D49">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0,04%</w:t>
            </w:r>
          </w:p>
        </w:tc>
      </w:tr>
      <w:tr w:rsidR="00201FD4" w:rsidRPr="00D8141D" w14:paraId="13C558CC" w14:textId="77777777" w:rsidTr="00315D49">
        <w:trPr>
          <w:jc w:val="center"/>
        </w:trPr>
        <w:tc>
          <w:tcPr>
            <w:tcW w:w="4106" w:type="dxa"/>
            <w:vAlign w:val="bottom"/>
          </w:tcPr>
          <w:p w14:paraId="0FA2D3C7" w14:textId="77777777" w:rsidR="00201FD4" w:rsidRPr="00566CD3" w:rsidRDefault="00201FD4" w:rsidP="00201FD4">
            <w:pPr>
              <w:widowControl w:val="0"/>
              <w:spacing w:after="140" w:line="290" w:lineRule="auto"/>
              <w:jc w:val="both"/>
              <w:rPr>
                <w:color w:val="000000"/>
                <w:sz w:val="16"/>
              </w:rPr>
            </w:pPr>
            <w:r w:rsidRPr="00566CD3">
              <w:rPr>
                <w:color w:val="000000"/>
                <w:sz w:val="16"/>
              </w:rPr>
              <w:t>Agente Fiduciário</w:t>
            </w:r>
            <w:r w:rsidR="00DB205D" w:rsidRPr="00566CD3">
              <w:rPr>
                <w:color w:val="000000"/>
                <w:sz w:val="16"/>
              </w:rPr>
              <w:t>, Escriturador e Agente Liquidante</w:t>
            </w:r>
          </w:p>
        </w:tc>
        <w:tc>
          <w:tcPr>
            <w:tcW w:w="1795" w:type="dxa"/>
          </w:tcPr>
          <w:p w14:paraId="74A32ECA" w14:textId="77777777" w:rsidR="00201FD4" w:rsidRPr="00D8141D" w:rsidRDefault="00DB205D" w:rsidP="00315D49">
            <w:pPr>
              <w:widowControl w:val="0"/>
              <w:spacing w:after="140" w:line="290" w:lineRule="auto"/>
              <w:jc w:val="center"/>
              <w:rPr>
                <w:rFonts w:cs="Calibri"/>
                <w:sz w:val="16"/>
                <w:szCs w:val="16"/>
              </w:rPr>
            </w:pPr>
            <w:r w:rsidRPr="00D8141D">
              <w:rPr>
                <w:rFonts w:cs="Calibri"/>
                <w:color w:val="000000"/>
                <w:sz w:val="16"/>
                <w:szCs w:val="16"/>
              </w:rPr>
              <w:t>40.000,00</w:t>
            </w:r>
          </w:p>
        </w:tc>
        <w:tc>
          <w:tcPr>
            <w:tcW w:w="1492" w:type="dxa"/>
          </w:tcPr>
          <w:p w14:paraId="3346EFBF" w14:textId="77777777" w:rsidR="00201FD4" w:rsidRPr="00D8141D" w:rsidRDefault="00DB205D" w:rsidP="00315D49">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w:t>
            </w:r>
            <w:r w:rsidR="00ED61A0" w:rsidRPr="00D8141D">
              <w:rPr>
                <w:rFonts w:cs="Calibri"/>
                <w:color w:val="000000"/>
                <w:sz w:val="16"/>
                <w:szCs w:val="16"/>
              </w:rPr>
              <w:t>0</w:t>
            </w:r>
            <w:r w:rsidR="00E02FA2" w:rsidRPr="00D8141D">
              <w:rPr>
                <w:rFonts w:cs="Calibri"/>
                <w:color w:val="000000"/>
                <w:sz w:val="16"/>
                <w:szCs w:val="16"/>
              </w:rPr>
              <w:t>3</w:t>
            </w:r>
          </w:p>
        </w:tc>
        <w:tc>
          <w:tcPr>
            <w:tcW w:w="1390" w:type="dxa"/>
          </w:tcPr>
          <w:p w14:paraId="43684FAC" w14:textId="77777777" w:rsidR="00201FD4" w:rsidRPr="00D8141D" w:rsidRDefault="00DB205D" w:rsidP="00315D49">
            <w:pPr>
              <w:widowControl w:val="0"/>
              <w:tabs>
                <w:tab w:val="right" w:leader="dot" w:pos="4017"/>
              </w:tabs>
              <w:spacing w:after="140" w:line="290" w:lineRule="auto"/>
              <w:jc w:val="center"/>
              <w:rPr>
                <w:rFonts w:eastAsia="MS Mincho" w:cs="Calibri"/>
                <w:sz w:val="16"/>
                <w:szCs w:val="16"/>
                <w:lang w:eastAsia="ja-JP"/>
              </w:rPr>
            </w:pPr>
            <w:r w:rsidRPr="00D8141D">
              <w:rPr>
                <w:rFonts w:cs="Calibri"/>
                <w:color w:val="000000"/>
                <w:sz w:val="16"/>
                <w:szCs w:val="16"/>
              </w:rPr>
              <w:t>0,00%</w:t>
            </w:r>
          </w:p>
        </w:tc>
      </w:tr>
      <w:tr w:rsidR="00201FD4" w:rsidRPr="00D8141D" w14:paraId="6ECE2103" w14:textId="77777777" w:rsidTr="00315D49">
        <w:trPr>
          <w:jc w:val="center"/>
        </w:trPr>
        <w:tc>
          <w:tcPr>
            <w:tcW w:w="4106" w:type="dxa"/>
            <w:vAlign w:val="bottom"/>
          </w:tcPr>
          <w:p w14:paraId="14EC3F63" w14:textId="77777777" w:rsidR="00201FD4" w:rsidRPr="00D8141D" w:rsidRDefault="00201FD4" w:rsidP="00201FD4">
            <w:pPr>
              <w:widowControl w:val="0"/>
              <w:spacing w:after="140" w:line="290" w:lineRule="auto"/>
              <w:jc w:val="both"/>
              <w:rPr>
                <w:rFonts w:eastAsia="Calibri" w:cs="Calibri"/>
                <w:color w:val="000000"/>
                <w:sz w:val="16"/>
                <w:szCs w:val="16"/>
              </w:rPr>
            </w:pPr>
            <w:r w:rsidRPr="00D8141D">
              <w:rPr>
                <w:rFonts w:eastAsia="Calibri" w:cs="Calibri"/>
                <w:color w:val="000000"/>
                <w:sz w:val="16"/>
                <w:szCs w:val="16"/>
              </w:rPr>
              <w:t>Consultoria (Títulos Verde)</w:t>
            </w:r>
          </w:p>
        </w:tc>
        <w:tc>
          <w:tcPr>
            <w:tcW w:w="1795" w:type="dxa"/>
          </w:tcPr>
          <w:p w14:paraId="4648720F" w14:textId="77777777" w:rsidR="00201FD4" w:rsidRPr="00D8141D" w:rsidRDefault="004B451F" w:rsidP="00315D49">
            <w:pPr>
              <w:widowControl w:val="0"/>
              <w:spacing w:after="140" w:line="290" w:lineRule="auto"/>
              <w:jc w:val="center"/>
              <w:rPr>
                <w:rFonts w:cs="Calibri"/>
                <w:sz w:val="16"/>
                <w:szCs w:val="16"/>
              </w:rPr>
            </w:pPr>
            <w:r w:rsidRPr="006E4210">
              <w:rPr>
                <w:rFonts w:cs="Calibri"/>
                <w:color w:val="000000"/>
                <w:sz w:val="16"/>
                <w:szCs w:val="16"/>
              </w:rPr>
              <w:t>28.178,50</w:t>
            </w:r>
          </w:p>
        </w:tc>
        <w:tc>
          <w:tcPr>
            <w:tcW w:w="1492" w:type="dxa"/>
          </w:tcPr>
          <w:p w14:paraId="644C9305" w14:textId="77777777" w:rsidR="00201FD4" w:rsidRPr="00D8141D" w:rsidRDefault="00DB205D" w:rsidP="00315D49">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4B451F" w:rsidRPr="006E4210">
              <w:rPr>
                <w:rFonts w:cs="Calibri"/>
                <w:color w:val="000000"/>
                <w:sz w:val="16"/>
                <w:szCs w:val="16"/>
              </w:rPr>
              <w:t>02</w:t>
            </w:r>
          </w:p>
        </w:tc>
        <w:tc>
          <w:tcPr>
            <w:tcW w:w="1390" w:type="dxa"/>
          </w:tcPr>
          <w:p w14:paraId="68B12465" w14:textId="77777777" w:rsidR="00201FD4" w:rsidRPr="00D8141D" w:rsidRDefault="00DB205D" w:rsidP="00315D49">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ED61A0" w:rsidRPr="00D8141D">
              <w:rPr>
                <w:rFonts w:cs="Calibri"/>
                <w:color w:val="000000"/>
                <w:sz w:val="16"/>
                <w:szCs w:val="16"/>
              </w:rPr>
              <w:t>0</w:t>
            </w:r>
            <w:r w:rsidR="00E02FA2" w:rsidRPr="00D8141D">
              <w:rPr>
                <w:rFonts w:cs="Calibri"/>
                <w:color w:val="000000"/>
                <w:sz w:val="16"/>
                <w:szCs w:val="16"/>
              </w:rPr>
              <w:t>0</w:t>
            </w:r>
            <w:r w:rsidRPr="00D8141D">
              <w:rPr>
                <w:rFonts w:cs="Calibri"/>
                <w:color w:val="000000"/>
                <w:sz w:val="16"/>
                <w:szCs w:val="16"/>
              </w:rPr>
              <w:t>%</w:t>
            </w:r>
          </w:p>
        </w:tc>
      </w:tr>
      <w:tr w:rsidR="00201FD4" w:rsidRPr="00D8141D" w14:paraId="3775ACA0" w14:textId="77777777" w:rsidTr="00315D49">
        <w:trPr>
          <w:jc w:val="center"/>
        </w:trPr>
        <w:tc>
          <w:tcPr>
            <w:tcW w:w="4106" w:type="dxa"/>
            <w:vAlign w:val="bottom"/>
          </w:tcPr>
          <w:p w14:paraId="74D566A0" w14:textId="77777777" w:rsidR="00201FD4" w:rsidRPr="00566CD3" w:rsidRDefault="00201FD4" w:rsidP="00201FD4">
            <w:pPr>
              <w:widowControl w:val="0"/>
              <w:spacing w:after="140" w:line="290" w:lineRule="auto"/>
              <w:jc w:val="both"/>
              <w:rPr>
                <w:color w:val="000000"/>
                <w:sz w:val="16"/>
              </w:rPr>
            </w:pPr>
            <w:r w:rsidRPr="00566CD3">
              <w:rPr>
                <w:color w:val="000000"/>
                <w:sz w:val="16"/>
              </w:rPr>
              <w:t>Publicação e Material de Divulgação</w:t>
            </w:r>
          </w:p>
        </w:tc>
        <w:tc>
          <w:tcPr>
            <w:tcW w:w="1795" w:type="dxa"/>
          </w:tcPr>
          <w:p w14:paraId="39CEEFC0" w14:textId="77777777" w:rsidR="00201FD4" w:rsidRPr="00D8141D" w:rsidRDefault="00DB205D" w:rsidP="00315D49">
            <w:pPr>
              <w:widowControl w:val="0"/>
              <w:spacing w:after="140" w:line="290" w:lineRule="auto"/>
              <w:jc w:val="center"/>
              <w:rPr>
                <w:rFonts w:cs="Calibri"/>
                <w:sz w:val="16"/>
                <w:szCs w:val="16"/>
              </w:rPr>
            </w:pPr>
            <w:r w:rsidRPr="00D8141D">
              <w:rPr>
                <w:rFonts w:cs="Calibri"/>
                <w:color w:val="000000"/>
                <w:sz w:val="16"/>
                <w:szCs w:val="16"/>
              </w:rPr>
              <w:t>29.000,00</w:t>
            </w:r>
          </w:p>
        </w:tc>
        <w:tc>
          <w:tcPr>
            <w:tcW w:w="1492" w:type="dxa"/>
          </w:tcPr>
          <w:p w14:paraId="52D07AAE" w14:textId="77777777" w:rsidR="00201FD4" w:rsidRPr="00D8141D" w:rsidRDefault="00DB205D" w:rsidP="00315D49">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w:t>
            </w:r>
            <w:r w:rsidR="00ED61A0" w:rsidRPr="00D8141D">
              <w:rPr>
                <w:rFonts w:cs="Calibri"/>
                <w:color w:val="000000"/>
                <w:sz w:val="16"/>
                <w:szCs w:val="16"/>
              </w:rPr>
              <w:t>0</w:t>
            </w:r>
            <w:r w:rsidR="00E02FA2" w:rsidRPr="00D8141D">
              <w:rPr>
                <w:rFonts w:cs="Calibri"/>
                <w:color w:val="000000"/>
                <w:sz w:val="16"/>
                <w:szCs w:val="16"/>
              </w:rPr>
              <w:t>2</w:t>
            </w:r>
          </w:p>
        </w:tc>
        <w:tc>
          <w:tcPr>
            <w:tcW w:w="1390" w:type="dxa"/>
          </w:tcPr>
          <w:p w14:paraId="22FF4E90" w14:textId="77777777" w:rsidR="00201FD4" w:rsidRPr="00D8141D" w:rsidRDefault="00DB205D" w:rsidP="00315D49">
            <w:pPr>
              <w:widowControl w:val="0"/>
              <w:tabs>
                <w:tab w:val="right" w:leader="dot" w:pos="4017"/>
              </w:tabs>
              <w:spacing w:after="140" w:line="290" w:lineRule="auto"/>
              <w:jc w:val="center"/>
              <w:rPr>
                <w:rFonts w:cs="Calibri"/>
                <w:sz w:val="16"/>
                <w:szCs w:val="16"/>
              </w:rPr>
            </w:pPr>
            <w:r w:rsidRPr="00D8141D">
              <w:rPr>
                <w:rFonts w:cs="Calibri"/>
                <w:color w:val="000000"/>
                <w:sz w:val="16"/>
                <w:szCs w:val="16"/>
              </w:rPr>
              <w:t>0,00%</w:t>
            </w:r>
          </w:p>
        </w:tc>
      </w:tr>
      <w:tr w:rsidR="003425FF" w:rsidRPr="00D8141D" w14:paraId="1D83207D" w14:textId="77777777" w:rsidTr="00D8141D">
        <w:trPr>
          <w:jc w:val="center"/>
        </w:trPr>
        <w:tc>
          <w:tcPr>
            <w:tcW w:w="4106" w:type="dxa"/>
            <w:shd w:val="clear" w:color="auto" w:fill="D9D9D9"/>
            <w:vAlign w:val="bottom"/>
          </w:tcPr>
          <w:p w14:paraId="386C4673" w14:textId="77777777" w:rsidR="003425FF" w:rsidRPr="00D8141D" w:rsidRDefault="003425FF" w:rsidP="003425FF">
            <w:pPr>
              <w:widowControl w:val="0"/>
              <w:spacing w:after="140" w:line="290" w:lineRule="auto"/>
              <w:jc w:val="both"/>
              <w:rPr>
                <w:rFonts w:cs="Calibri"/>
                <w:b/>
                <w:color w:val="000000"/>
                <w:sz w:val="16"/>
                <w:szCs w:val="16"/>
              </w:rPr>
            </w:pPr>
            <w:r w:rsidRPr="00D8141D">
              <w:rPr>
                <w:rFonts w:eastAsia="Calibri" w:cs="Calibri"/>
                <w:b/>
                <w:color w:val="000000"/>
                <w:sz w:val="16"/>
                <w:szCs w:val="16"/>
              </w:rPr>
              <w:t>Valor Líquido para Emissora</w:t>
            </w:r>
          </w:p>
        </w:tc>
        <w:tc>
          <w:tcPr>
            <w:tcW w:w="1795" w:type="dxa"/>
          </w:tcPr>
          <w:p w14:paraId="2CD778D4" w14:textId="77777777" w:rsidR="003425FF" w:rsidRPr="00D8141D" w:rsidRDefault="00ED61A0" w:rsidP="003425FF">
            <w:pPr>
              <w:widowControl w:val="0"/>
              <w:spacing w:after="140" w:line="290" w:lineRule="auto"/>
              <w:jc w:val="center"/>
              <w:rPr>
                <w:rFonts w:cs="Calibri"/>
                <w:b/>
                <w:sz w:val="16"/>
                <w:szCs w:val="16"/>
              </w:rPr>
            </w:pPr>
            <w:r w:rsidRPr="00D8141D">
              <w:rPr>
                <w:rFonts w:cs="Calibri"/>
                <w:b/>
                <w:bCs/>
                <w:sz w:val="16"/>
                <w:szCs w:val="16"/>
              </w:rPr>
              <w:t>1.147.522.</w:t>
            </w:r>
            <w:r w:rsidR="00565539" w:rsidRPr="006E4210">
              <w:rPr>
                <w:rFonts w:cs="Calibri"/>
                <w:b/>
                <w:bCs/>
                <w:sz w:val="16"/>
                <w:szCs w:val="16"/>
              </w:rPr>
              <w:t>454,19</w:t>
            </w:r>
          </w:p>
        </w:tc>
        <w:tc>
          <w:tcPr>
            <w:tcW w:w="1492" w:type="dxa"/>
            <w:vAlign w:val="center"/>
          </w:tcPr>
          <w:p w14:paraId="614328B1" w14:textId="77777777" w:rsidR="003425FF" w:rsidRPr="00D8141D" w:rsidRDefault="00ED61A0" w:rsidP="003425FF">
            <w:pPr>
              <w:widowControl w:val="0"/>
              <w:tabs>
                <w:tab w:val="right" w:leader="dot" w:pos="4017"/>
              </w:tabs>
              <w:spacing w:after="140" w:line="290" w:lineRule="auto"/>
              <w:jc w:val="center"/>
              <w:rPr>
                <w:rFonts w:cs="Calibri"/>
                <w:b/>
                <w:sz w:val="16"/>
                <w:szCs w:val="16"/>
              </w:rPr>
            </w:pPr>
            <w:r w:rsidRPr="00D8141D">
              <w:rPr>
                <w:rFonts w:ascii="Verdana" w:hAnsi="Verdana" w:cs="Calibri"/>
                <w:b/>
                <w:bCs/>
                <w:color w:val="000000"/>
                <w:sz w:val="16"/>
                <w:szCs w:val="16"/>
              </w:rPr>
              <w:t>956,</w:t>
            </w:r>
            <w:r w:rsidR="00565539">
              <w:rPr>
                <w:rFonts w:ascii="Verdana" w:hAnsi="Verdana" w:cs="Calibri"/>
                <w:b/>
                <w:bCs/>
                <w:color w:val="000000"/>
                <w:sz w:val="16"/>
                <w:szCs w:val="16"/>
              </w:rPr>
              <w:t>29</w:t>
            </w:r>
          </w:p>
        </w:tc>
        <w:tc>
          <w:tcPr>
            <w:tcW w:w="1390" w:type="dxa"/>
            <w:vAlign w:val="center"/>
          </w:tcPr>
          <w:p w14:paraId="687CF9AC" w14:textId="77777777" w:rsidR="003425FF" w:rsidRPr="00D8141D" w:rsidRDefault="003425FF" w:rsidP="003425FF">
            <w:pPr>
              <w:widowControl w:val="0"/>
              <w:tabs>
                <w:tab w:val="right" w:leader="dot" w:pos="4017"/>
              </w:tabs>
              <w:spacing w:after="140" w:line="290" w:lineRule="auto"/>
              <w:jc w:val="center"/>
              <w:rPr>
                <w:rFonts w:cs="Calibri"/>
                <w:b/>
                <w:sz w:val="16"/>
                <w:szCs w:val="16"/>
              </w:rPr>
            </w:pPr>
            <w:r w:rsidRPr="00D8141D">
              <w:rPr>
                <w:rFonts w:ascii="Verdana" w:hAnsi="Verdana" w:cs="Calibri"/>
                <w:b/>
                <w:bCs/>
                <w:color w:val="000000"/>
                <w:sz w:val="16"/>
                <w:szCs w:val="16"/>
              </w:rPr>
              <w:t>95,</w:t>
            </w:r>
            <w:r w:rsidR="00ED61A0" w:rsidRPr="00D8141D">
              <w:rPr>
                <w:rFonts w:ascii="Verdana" w:hAnsi="Verdana" w:cs="Calibri"/>
                <w:b/>
                <w:bCs/>
                <w:color w:val="000000"/>
                <w:sz w:val="16"/>
                <w:szCs w:val="16"/>
              </w:rPr>
              <w:t>63</w:t>
            </w:r>
            <w:r w:rsidRPr="00D8141D">
              <w:rPr>
                <w:rFonts w:ascii="Verdana" w:hAnsi="Verdana" w:cs="Calibri"/>
                <w:b/>
                <w:bCs/>
                <w:color w:val="000000"/>
                <w:sz w:val="16"/>
                <w:szCs w:val="16"/>
              </w:rPr>
              <w:t>%</w:t>
            </w:r>
          </w:p>
        </w:tc>
      </w:tr>
    </w:tbl>
    <w:p w14:paraId="4A822F8E" w14:textId="77777777" w:rsidR="008170A7" w:rsidRPr="00D8141D" w:rsidRDefault="008170A7">
      <w:pPr>
        <w:pStyle w:val="EDP-corpodetexto"/>
        <w:spacing w:after="140" w:line="290" w:lineRule="auto"/>
        <w:rPr>
          <w:rFonts w:cs="Calibri"/>
          <w:sz w:val="24"/>
          <w:szCs w:val="24"/>
        </w:rPr>
      </w:pPr>
    </w:p>
    <w:p w14:paraId="7F6733BF" w14:textId="77777777" w:rsidR="00E8286C" w:rsidRPr="00566CD3" w:rsidRDefault="00E8286C" w:rsidP="00BB32A2">
      <w:pPr>
        <w:numPr>
          <w:ilvl w:val="0"/>
          <w:numId w:val="12"/>
        </w:numPr>
        <w:tabs>
          <w:tab w:val="clear" w:pos="288"/>
          <w:tab w:val="left" w:pos="360"/>
        </w:tabs>
        <w:spacing w:line="290" w:lineRule="auto"/>
        <w:ind w:left="357" w:hanging="357"/>
        <w:jc w:val="both"/>
        <w:textAlignment w:val="baseline"/>
        <w:rPr>
          <w:color w:val="000000"/>
          <w:spacing w:val="2"/>
          <w:sz w:val="20"/>
        </w:rPr>
      </w:pPr>
      <w:r w:rsidRPr="00566CD3">
        <w:rPr>
          <w:color w:val="000000"/>
          <w:spacing w:val="2"/>
          <w:sz w:val="20"/>
        </w:rPr>
        <w:t>O custo da Oferta por Debêntures corresponde ao quociente obtido pela divisão do custo total da Oferta pelo número de Debêntures.</w:t>
      </w:r>
    </w:p>
    <w:p w14:paraId="35392C6F" w14:textId="696EE8A2" w:rsidR="008170A7" w:rsidRPr="00566CD3" w:rsidRDefault="005D7611" w:rsidP="00080E6A">
      <w:pPr>
        <w:numPr>
          <w:ilvl w:val="0"/>
          <w:numId w:val="58"/>
        </w:numPr>
        <w:spacing w:line="290" w:lineRule="auto"/>
        <w:ind w:left="284" w:hanging="284"/>
        <w:jc w:val="both"/>
        <w:textAlignment w:val="baseline"/>
        <w:rPr>
          <w:color w:val="000000"/>
          <w:sz w:val="20"/>
        </w:rPr>
      </w:pPr>
      <w:r w:rsidRPr="00566CD3">
        <w:rPr>
          <w:color w:val="000000"/>
          <w:sz w:val="20"/>
        </w:rPr>
        <w:t xml:space="preserve">Cálculo realizado </w:t>
      </w:r>
      <w:r w:rsidR="00ED61A0" w:rsidRPr="00566CD3">
        <w:rPr>
          <w:color w:val="000000"/>
        </w:rPr>
        <w:t xml:space="preserve">considerando </w:t>
      </w:r>
      <w:r w:rsidR="009852D1" w:rsidRPr="00566CD3">
        <w:rPr>
          <w:color w:val="000000"/>
        </w:rPr>
        <w:t>as</w:t>
      </w:r>
      <w:r w:rsidR="007C3B74" w:rsidRPr="00566CD3">
        <w:rPr>
          <w:color w:val="000000"/>
          <w:sz w:val="20"/>
        </w:rPr>
        <w:t xml:space="preserve"> </w:t>
      </w:r>
      <w:r w:rsidRPr="00566CD3">
        <w:rPr>
          <w:color w:val="000000"/>
          <w:sz w:val="20"/>
        </w:rPr>
        <w:t xml:space="preserve">Debêntures Adicionais. </w:t>
      </w:r>
      <w:r w:rsidR="00E8286C" w:rsidRPr="00566CD3">
        <w:rPr>
          <w:color w:val="000000"/>
          <w:sz w:val="20"/>
        </w:rPr>
        <w:t xml:space="preserve">Para mais informações sobre as comissões do </w:t>
      </w:r>
      <w:r w:rsidR="00D42D4F" w:rsidRPr="00566CD3">
        <w:rPr>
          <w:sz w:val="20"/>
        </w:rPr>
        <w:t>Coordenador Líder</w:t>
      </w:r>
      <w:r w:rsidR="00E8286C" w:rsidRPr="00566CD3">
        <w:rPr>
          <w:color w:val="000000"/>
          <w:sz w:val="20"/>
        </w:rPr>
        <w:t xml:space="preserve">, veja esta seção </w:t>
      </w:r>
      <w:r w:rsidR="002A4B8C" w:rsidRPr="00566CD3">
        <w:rPr>
          <w:color w:val="000000"/>
          <w:sz w:val="20"/>
        </w:rPr>
        <w:t>“</w:t>
      </w:r>
      <w:r w:rsidR="00E8286C" w:rsidRPr="00566CD3">
        <w:rPr>
          <w:b/>
          <w:i/>
          <w:color w:val="000000"/>
          <w:sz w:val="20"/>
        </w:rPr>
        <w:t xml:space="preserve">Informações Relativas à Emissão, à Oferta e às Debêntures - Contrato de Distribuição – Comissionamento dos </w:t>
      </w:r>
      <w:r w:rsidR="00D42D4F" w:rsidRPr="00566CD3">
        <w:rPr>
          <w:b/>
          <w:i/>
          <w:color w:val="000000"/>
          <w:sz w:val="20"/>
        </w:rPr>
        <w:t>Coordenador Líder</w:t>
      </w:r>
      <w:r w:rsidR="002A4B8C" w:rsidRPr="00566CD3">
        <w:rPr>
          <w:color w:val="000000"/>
          <w:sz w:val="20"/>
        </w:rPr>
        <w:t>”</w:t>
      </w:r>
      <w:r w:rsidR="00E8286C" w:rsidRPr="00566CD3">
        <w:rPr>
          <w:color w:val="000000"/>
          <w:sz w:val="20"/>
        </w:rPr>
        <w:t xml:space="preserve">, na página </w:t>
      </w:r>
      <w:r w:rsidR="004204E3" w:rsidRPr="00D8141D">
        <w:rPr>
          <w:rFonts w:eastAsia="Tahoma" w:cs="Calibri"/>
          <w:noProof/>
          <w:color w:val="000000"/>
          <w:sz w:val="20"/>
          <w:szCs w:val="20"/>
        </w:rPr>
        <w:fldChar w:fldCharType="begin"/>
      </w:r>
      <w:r w:rsidR="004204E3" w:rsidRPr="00566CD3">
        <w:rPr>
          <w:color w:val="000000"/>
          <w:sz w:val="20"/>
        </w:rPr>
        <w:instrText xml:space="preserve"> PAGEREF _Ref90223367 \h </w:instrText>
      </w:r>
      <w:r w:rsidR="004204E3" w:rsidRPr="00D8141D">
        <w:rPr>
          <w:rFonts w:eastAsia="Tahoma" w:cs="Calibri"/>
          <w:noProof/>
          <w:color w:val="000000"/>
          <w:sz w:val="20"/>
          <w:szCs w:val="20"/>
        </w:rPr>
      </w:r>
      <w:r w:rsidR="004204E3" w:rsidRPr="00D8141D">
        <w:rPr>
          <w:rFonts w:eastAsia="Tahoma" w:cs="Calibri"/>
          <w:noProof/>
          <w:color w:val="000000"/>
          <w:sz w:val="20"/>
          <w:szCs w:val="20"/>
        </w:rPr>
        <w:fldChar w:fldCharType="separate"/>
      </w:r>
      <w:r w:rsidR="001166EA">
        <w:rPr>
          <w:noProof/>
          <w:color w:val="000000"/>
          <w:sz w:val="20"/>
        </w:rPr>
        <w:t>114</w:t>
      </w:r>
      <w:r w:rsidR="004204E3" w:rsidRPr="00D8141D">
        <w:rPr>
          <w:rFonts w:eastAsia="Tahoma" w:cs="Calibri"/>
          <w:noProof/>
          <w:color w:val="000000"/>
          <w:sz w:val="20"/>
          <w:szCs w:val="20"/>
        </w:rPr>
        <w:fldChar w:fldCharType="end"/>
      </w:r>
      <w:r w:rsidR="00DB205D" w:rsidRPr="00566CD3">
        <w:rPr>
          <w:color w:val="000000"/>
          <w:sz w:val="20"/>
        </w:rPr>
        <w:t xml:space="preserve"> deste Prospecto.</w:t>
      </w:r>
    </w:p>
    <w:p w14:paraId="6D6A7683" w14:textId="77777777" w:rsidR="008170A7" w:rsidRPr="00566CD3" w:rsidRDefault="00DB205D" w:rsidP="00080E6A">
      <w:pPr>
        <w:numPr>
          <w:ilvl w:val="0"/>
          <w:numId w:val="58"/>
        </w:numPr>
        <w:spacing w:line="290" w:lineRule="auto"/>
        <w:ind w:left="284" w:hanging="284"/>
        <w:jc w:val="both"/>
        <w:textAlignment w:val="baseline"/>
        <w:rPr>
          <w:color w:val="000000"/>
          <w:sz w:val="20"/>
        </w:rPr>
      </w:pPr>
      <w:r w:rsidRPr="00566CD3">
        <w:rPr>
          <w:color w:val="000000"/>
          <w:sz w:val="20"/>
        </w:rPr>
        <w:t>Pelos trabalhos de coordenação e estruturação, o Coordenador Líder fará jus a um comissionamento correspondente a 0,40% sobre o valor total da Emissão, calculado com base no Valor Nominal Unitário.</w:t>
      </w:r>
    </w:p>
    <w:p w14:paraId="285177C7" w14:textId="77777777" w:rsidR="008170A7" w:rsidRPr="00566CD3" w:rsidRDefault="00DB205D" w:rsidP="00080E6A">
      <w:pPr>
        <w:numPr>
          <w:ilvl w:val="0"/>
          <w:numId w:val="58"/>
        </w:numPr>
        <w:tabs>
          <w:tab w:val="left" w:pos="360"/>
        </w:tabs>
        <w:spacing w:line="288" w:lineRule="auto"/>
        <w:ind w:left="357" w:right="72" w:hanging="357"/>
        <w:jc w:val="both"/>
        <w:textAlignment w:val="baseline"/>
        <w:rPr>
          <w:color w:val="000000"/>
          <w:sz w:val="20"/>
        </w:rPr>
      </w:pPr>
      <w:r w:rsidRPr="00566CD3">
        <w:rPr>
          <w:color w:val="000000"/>
          <w:sz w:val="20"/>
        </w:rPr>
        <w:lastRenderedPageBreak/>
        <w:t>A este título, a Emissora pagará ao Coordenador Líder, a comissão equivalente a 0,10% sobre o Valor Base da Emissão, independentemente do exercício da Garantia Firme.</w:t>
      </w:r>
    </w:p>
    <w:p w14:paraId="586CCE41" w14:textId="77777777" w:rsidR="008170A7" w:rsidRPr="00566CD3" w:rsidRDefault="00DB205D" w:rsidP="00080E6A">
      <w:pPr>
        <w:numPr>
          <w:ilvl w:val="0"/>
          <w:numId w:val="58"/>
        </w:numPr>
        <w:tabs>
          <w:tab w:val="left" w:pos="360"/>
        </w:tabs>
        <w:spacing w:line="288" w:lineRule="auto"/>
        <w:ind w:left="357" w:right="72" w:hanging="357"/>
        <w:jc w:val="both"/>
        <w:textAlignment w:val="baseline"/>
        <w:rPr>
          <w:color w:val="000000"/>
          <w:sz w:val="20"/>
        </w:rPr>
      </w:pPr>
      <w:r w:rsidRPr="00566CD3">
        <w:rPr>
          <w:color w:val="000000"/>
          <w:sz w:val="20"/>
        </w:rPr>
        <w:t>A este título a Emissora pagará ao Coordenador Líder uma comissão equivalente a 30% incidente sobre o produto entre (i) o prazo médio da Emissão, (ii) a diferença entre a taxa teto de remuneração do investidor, e a taxa final de remuneração conforme definida no Procedimento de Bookbuilding, e (iii) o valor nominal da totalidade das Debêntures efetivamente subscritas e integralizada.</w:t>
      </w:r>
    </w:p>
    <w:p w14:paraId="61317FF5" w14:textId="77777777" w:rsidR="008170A7" w:rsidRPr="00566CD3" w:rsidRDefault="00DB205D" w:rsidP="00080E6A">
      <w:pPr>
        <w:widowControl w:val="0"/>
        <w:numPr>
          <w:ilvl w:val="0"/>
          <w:numId w:val="58"/>
        </w:numPr>
        <w:tabs>
          <w:tab w:val="left" w:pos="360"/>
        </w:tabs>
        <w:spacing w:line="288" w:lineRule="auto"/>
        <w:ind w:left="357" w:hanging="357"/>
        <w:jc w:val="both"/>
        <w:textAlignment w:val="baseline"/>
      </w:pPr>
      <w:r w:rsidRPr="00566CD3">
        <w:rPr>
          <w:sz w:val="20"/>
        </w:rPr>
        <w:t>A este título a Emissora pagará ao Coordenador Líder uma comissão de 0,25% ao ano incidente sobre o valor total da Emissão, multiplicado pelo prazo médio da Emissão, expresso em anos, com base nas amortizações sem considerar pagamento de juros, e incidente sobre o número total de Debêntures efetivamente colocadas, calculado com base no Valor Nominal Unitário.</w:t>
      </w:r>
    </w:p>
    <w:p w14:paraId="4306CCDE" w14:textId="77777777" w:rsidR="00E8286C" w:rsidRPr="00D8141D" w:rsidRDefault="00FE2786" w:rsidP="009E2BE2">
      <w:pPr>
        <w:pStyle w:val="EDP-corpodetexto"/>
        <w:spacing w:after="140" w:line="290" w:lineRule="auto"/>
        <w:rPr>
          <w:rFonts w:cs="Calibri"/>
          <w:sz w:val="24"/>
          <w:szCs w:val="24"/>
        </w:rPr>
      </w:pPr>
      <w:r w:rsidRPr="00D8141D">
        <w:rPr>
          <w:rFonts w:cs="Calibri"/>
          <w:sz w:val="24"/>
          <w:szCs w:val="24"/>
        </w:rPr>
        <w:t xml:space="preserve">A Emissora arcará com o custo de todos os tributos incidentes ou que venham a incidir, inclusive em decorrência de majoração de alíquota ou base de cálculo, com fulcro em norma legal ou regulamentar, sobre os pagamentos, o comissionamento e os reembolsos devidos ao </w:t>
      </w:r>
      <w:r w:rsidR="00D42D4F" w:rsidRPr="00D8141D">
        <w:rPr>
          <w:rFonts w:cs="Calibri"/>
          <w:sz w:val="24"/>
          <w:szCs w:val="24"/>
        </w:rPr>
        <w:t>Coordenador Líder</w:t>
      </w:r>
      <w:r w:rsidRPr="00D8141D">
        <w:rPr>
          <w:rFonts w:cs="Calibri"/>
          <w:sz w:val="24"/>
          <w:szCs w:val="24"/>
        </w:rPr>
        <w:t xml:space="preserve">, conforme o caso, no âmbito da Emissão. Todos os pagamentos relativos ao Comissionamento serão acrescidos dos valores relativos </w:t>
      </w:r>
      <w:r w:rsidRPr="00D8141D">
        <w:rPr>
          <w:rFonts w:cs="Calibri"/>
          <w:b/>
          <w:sz w:val="24"/>
          <w:szCs w:val="24"/>
        </w:rPr>
        <w:t>(i)</w:t>
      </w:r>
      <w:r w:rsidRPr="00D8141D">
        <w:rPr>
          <w:rFonts w:cs="Calibri"/>
          <w:sz w:val="24"/>
          <w:szCs w:val="24"/>
        </w:rPr>
        <w:t xml:space="preserve"> ao Imposto Sobre Serviços de Qualquer Natureza – ISS; </w:t>
      </w:r>
      <w:r w:rsidRPr="00D8141D">
        <w:rPr>
          <w:rFonts w:cs="Calibri"/>
          <w:b/>
          <w:sz w:val="24"/>
          <w:szCs w:val="24"/>
        </w:rPr>
        <w:t>(ii)</w:t>
      </w:r>
      <w:r w:rsidRPr="00D8141D">
        <w:rPr>
          <w:rFonts w:cs="Calibri"/>
          <w:sz w:val="24"/>
          <w:szCs w:val="24"/>
        </w:rPr>
        <w:t xml:space="preserve"> à Contribuição para o Programa de Integração Social - PIS; </w:t>
      </w:r>
      <w:r w:rsidRPr="00D8141D">
        <w:rPr>
          <w:rFonts w:cs="Calibri"/>
          <w:b/>
          <w:sz w:val="24"/>
          <w:szCs w:val="24"/>
        </w:rPr>
        <w:t>(iii)</w:t>
      </w:r>
      <w:r w:rsidRPr="00D8141D">
        <w:rPr>
          <w:rFonts w:cs="Calibri"/>
          <w:sz w:val="24"/>
          <w:szCs w:val="24"/>
        </w:rPr>
        <w:t xml:space="preserve"> à Contribuição para o Financiamento da Seguridade Social – COFINS; e </w:t>
      </w:r>
      <w:r w:rsidRPr="00D8141D">
        <w:rPr>
          <w:rFonts w:cs="Calibri"/>
          <w:b/>
          <w:sz w:val="24"/>
          <w:szCs w:val="24"/>
        </w:rPr>
        <w:t>(iv)</w:t>
      </w:r>
      <w:r w:rsidRPr="00D8141D">
        <w:rPr>
          <w:rFonts w:cs="Calibri"/>
          <w:sz w:val="24"/>
          <w:szCs w:val="24"/>
        </w:rPr>
        <w:t xml:space="preserve"> quaisquer outros tributos, de forma que </w:t>
      </w:r>
      <w:r w:rsidR="00D42D4F" w:rsidRPr="00D8141D">
        <w:rPr>
          <w:rFonts w:cs="Calibri"/>
          <w:sz w:val="24"/>
          <w:szCs w:val="24"/>
        </w:rPr>
        <w:t>o Coordenador Líder receba</w:t>
      </w:r>
      <w:r w:rsidRPr="00D8141D">
        <w:rPr>
          <w:rFonts w:cs="Calibri"/>
          <w:sz w:val="24"/>
          <w:szCs w:val="24"/>
        </w:rPr>
        <w:t xml:space="preserve"> o Comissionamento como se tais tributos não fossem incidentes (pagamento com </w:t>
      </w:r>
      <w:r w:rsidRPr="00D8141D">
        <w:rPr>
          <w:rFonts w:cs="Calibri"/>
          <w:i/>
          <w:sz w:val="24"/>
          <w:szCs w:val="24"/>
        </w:rPr>
        <w:t>gross up</w:t>
      </w:r>
      <w:r w:rsidRPr="00D8141D">
        <w:rPr>
          <w:rFonts w:cs="Calibri"/>
          <w:sz w:val="24"/>
          <w:szCs w:val="24"/>
        </w:rPr>
        <w:t xml:space="preserve">). Em qualquer caso, o </w:t>
      </w:r>
      <w:r w:rsidR="00D42D4F" w:rsidRPr="00D8141D">
        <w:rPr>
          <w:rFonts w:cs="Calibri"/>
          <w:sz w:val="24"/>
          <w:szCs w:val="24"/>
        </w:rPr>
        <w:t>Coordenador Líder</w:t>
      </w:r>
      <w:r w:rsidRPr="00D8141D">
        <w:rPr>
          <w:rFonts w:cs="Calibri"/>
          <w:sz w:val="24"/>
          <w:szCs w:val="24"/>
        </w:rPr>
        <w:t xml:space="preserve"> compromete-se a enviar, à Emissora, com no mínimo 5 (cinco) dias de antecedência, por escrito, a memória de cálculo do Comissionamento, com a indicação segregada de cada tributo no âmbito do </w:t>
      </w:r>
      <w:r w:rsidRPr="00D8141D">
        <w:rPr>
          <w:rFonts w:cs="Calibri"/>
          <w:i/>
          <w:sz w:val="24"/>
          <w:szCs w:val="24"/>
        </w:rPr>
        <w:t>gross-up</w:t>
      </w:r>
      <w:r w:rsidRPr="00D8141D">
        <w:rPr>
          <w:rFonts w:cs="Calibri"/>
          <w:sz w:val="24"/>
          <w:szCs w:val="24"/>
        </w:rPr>
        <w:t>, de forma a demonstrar os valores devidos.</w:t>
      </w:r>
      <w:r w:rsidR="001B7ECF" w:rsidRPr="00D8141D">
        <w:rPr>
          <w:rFonts w:cs="Calibri"/>
          <w:sz w:val="24"/>
          <w:szCs w:val="24"/>
        </w:rPr>
        <w:t xml:space="preserve"> </w:t>
      </w:r>
    </w:p>
    <w:p w14:paraId="76EE4BF1" w14:textId="3E21848E" w:rsidR="00E8286C" w:rsidRPr="00D8141D" w:rsidRDefault="00E8286C" w:rsidP="009E2BE2">
      <w:pPr>
        <w:pStyle w:val="EDP-corpodetexto"/>
        <w:spacing w:after="140" w:line="290" w:lineRule="auto"/>
        <w:rPr>
          <w:rFonts w:cs="Calibri"/>
          <w:b/>
          <w:sz w:val="24"/>
          <w:szCs w:val="24"/>
        </w:rPr>
      </w:pPr>
      <w:r w:rsidRPr="00D8141D">
        <w:rPr>
          <w:rFonts w:cs="Calibri"/>
          <w:b/>
          <w:sz w:val="24"/>
          <w:szCs w:val="24"/>
        </w:rPr>
        <w:t xml:space="preserve">Para mais informações sobre os comissionamentos a serem pagos pela Emissora ao </w:t>
      </w:r>
      <w:r w:rsidR="005609F4" w:rsidRPr="00D8141D">
        <w:rPr>
          <w:rFonts w:cs="Calibri"/>
          <w:b/>
          <w:sz w:val="24"/>
          <w:szCs w:val="24"/>
        </w:rPr>
        <w:t>Coordenador Líder</w:t>
      </w:r>
      <w:r w:rsidRPr="00D8141D">
        <w:rPr>
          <w:rFonts w:cs="Calibri"/>
          <w:b/>
          <w:sz w:val="24"/>
          <w:szCs w:val="24"/>
        </w:rPr>
        <w:t xml:space="preserve">, veja a seção </w:t>
      </w:r>
      <w:r w:rsidR="002A4B8C" w:rsidRPr="00D8141D">
        <w:rPr>
          <w:rFonts w:cs="Calibri"/>
          <w:b/>
          <w:sz w:val="24"/>
          <w:szCs w:val="24"/>
        </w:rPr>
        <w:t>“</w:t>
      </w:r>
      <w:r w:rsidRPr="00D8141D">
        <w:rPr>
          <w:rFonts w:cs="Calibri"/>
          <w:b/>
          <w:i/>
          <w:sz w:val="24"/>
          <w:szCs w:val="24"/>
        </w:rPr>
        <w:t xml:space="preserve">Informações Relativas à Emissão, à Oferta e às Debêntures – </w:t>
      </w:r>
      <w:r w:rsidRPr="00D8141D">
        <w:rPr>
          <w:rFonts w:cs="Calibri"/>
          <w:b/>
          <w:sz w:val="24"/>
          <w:szCs w:val="24"/>
        </w:rPr>
        <w:t xml:space="preserve">Contrato de Distribuição – Comissionamento do </w:t>
      </w:r>
      <w:r w:rsidR="005609F4" w:rsidRPr="00D8141D">
        <w:rPr>
          <w:rFonts w:cs="Calibri"/>
          <w:b/>
          <w:sz w:val="24"/>
          <w:szCs w:val="24"/>
        </w:rPr>
        <w:t>Coordenador Líder</w:t>
      </w:r>
      <w:r w:rsidR="002A4B8C" w:rsidRPr="00D8141D">
        <w:rPr>
          <w:rFonts w:cs="Calibri"/>
          <w:b/>
          <w:sz w:val="24"/>
          <w:szCs w:val="24"/>
        </w:rPr>
        <w:t>”</w:t>
      </w:r>
      <w:r w:rsidRPr="00D8141D">
        <w:rPr>
          <w:rFonts w:cs="Calibri"/>
          <w:b/>
          <w:sz w:val="24"/>
          <w:szCs w:val="24"/>
        </w:rPr>
        <w:t xml:space="preserve">, na página </w:t>
      </w:r>
      <w:r w:rsidR="000E6F7F" w:rsidRPr="00D8141D">
        <w:rPr>
          <w:rFonts w:cs="Calibri"/>
          <w:b/>
          <w:noProof/>
          <w:sz w:val="24"/>
          <w:szCs w:val="24"/>
        </w:rPr>
        <w:fldChar w:fldCharType="begin"/>
      </w:r>
      <w:r w:rsidR="000E6F7F" w:rsidRPr="00D8141D">
        <w:rPr>
          <w:rFonts w:cs="Calibri"/>
          <w:b/>
          <w:sz w:val="24"/>
          <w:szCs w:val="24"/>
        </w:rPr>
        <w:instrText xml:space="preserve"> PAGEREF _Ref90061088 \h </w:instrText>
      </w:r>
      <w:r w:rsidR="000E6F7F" w:rsidRPr="00D8141D">
        <w:rPr>
          <w:rFonts w:cs="Calibri"/>
          <w:b/>
          <w:noProof/>
          <w:sz w:val="24"/>
          <w:szCs w:val="24"/>
        </w:rPr>
      </w:r>
      <w:r w:rsidR="000E6F7F" w:rsidRPr="00D8141D">
        <w:rPr>
          <w:rFonts w:cs="Calibri"/>
          <w:b/>
          <w:noProof/>
          <w:sz w:val="24"/>
          <w:szCs w:val="24"/>
        </w:rPr>
        <w:fldChar w:fldCharType="separate"/>
      </w:r>
      <w:r w:rsidR="001166EA">
        <w:rPr>
          <w:rFonts w:cs="Calibri"/>
          <w:b/>
          <w:noProof/>
          <w:sz w:val="24"/>
          <w:szCs w:val="24"/>
        </w:rPr>
        <w:t>114</w:t>
      </w:r>
      <w:r w:rsidR="000E6F7F" w:rsidRPr="00D8141D">
        <w:rPr>
          <w:rFonts w:cs="Calibri"/>
          <w:b/>
          <w:noProof/>
          <w:sz w:val="24"/>
          <w:szCs w:val="24"/>
        </w:rPr>
        <w:fldChar w:fldCharType="end"/>
      </w:r>
      <w:r w:rsidRPr="00D8141D">
        <w:rPr>
          <w:rFonts w:cs="Calibri"/>
          <w:b/>
          <w:sz w:val="24"/>
          <w:szCs w:val="24"/>
        </w:rPr>
        <w:t xml:space="preserve"> deste Prospecto.</w:t>
      </w:r>
    </w:p>
    <w:p w14:paraId="2EE460F3" w14:textId="77777777" w:rsidR="00E8286C" w:rsidRPr="00D8141D" w:rsidRDefault="00E8286C" w:rsidP="009E2BE2">
      <w:pPr>
        <w:pStyle w:val="EDP-corpodetexto"/>
        <w:spacing w:after="140" w:line="290" w:lineRule="auto"/>
        <w:rPr>
          <w:rFonts w:cs="Calibri"/>
          <w:sz w:val="24"/>
          <w:szCs w:val="24"/>
        </w:rPr>
      </w:pPr>
      <w:r w:rsidRPr="00D8141D">
        <w:rPr>
          <w:rFonts w:cs="Calibri"/>
          <w:sz w:val="24"/>
          <w:szCs w:val="24"/>
        </w:rPr>
        <w:t>A tabela abaixo apresenta o custo unitário de distribuição das Debêntures objeto desta Emissão:</w:t>
      </w:r>
    </w:p>
    <w:tbl>
      <w:tblPr>
        <w:tblW w:w="5000" w:type="pct"/>
        <w:jc w:val="center"/>
        <w:tblLayout w:type="fixed"/>
        <w:tblCellMar>
          <w:left w:w="72" w:type="dxa"/>
          <w:right w:w="72" w:type="dxa"/>
        </w:tblCellMar>
        <w:tblLook w:val="04A0" w:firstRow="1" w:lastRow="0" w:firstColumn="1" w:lastColumn="0" w:noHBand="0" w:noVBand="1"/>
      </w:tblPr>
      <w:tblGrid>
        <w:gridCol w:w="2286"/>
        <w:gridCol w:w="2602"/>
        <w:gridCol w:w="1301"/>
        <w:gridCol w:w="1301"/>
        <w:gridCol w:w="1301"/>
      </w:tblGrid>
      <w:tr w:rsidR="000E7F05" w:rsidRPr="0082022E" w14:paraId="7CB232A5" w14:textId="77777777" w:rsidTr="00D8141D">
        <w:trPr>
          <w:jc w:val="center"/>
        </w:trPr>
        <w:tc>
          <w:tcPr>
            <w:tcW w:w="1300" w:type="pct"/>
            <w:shd w:val="clear" w:color="auto" w:fill="D9D9D9"/>
            <w:tcMar>
              <w:top w:w="0" w:type="dxa"/>
              <w:left w:w="72" w:type="dxa"/>
              <w:bottom w:w="0" w:type="dxa"/>
              <w:right w:w="72" w:type="dxa"/>
            </w:tcMar>
            <w:vAlign w:val="bottom"/>
          </w:tcPr>
          <w:p w14:paraId="0A68229F" w14:textId="77777777" w:rsidR="000E7F05" w:rsidRPr="00566CD3" w:rsidRDefault="000E7F05" w:rsidP="009E2BE2">
            <w:pPr>
              <w:widowControl w:val="0"/>
              <w:spacing w:after="140" w:line="290" w:lineRule="auto"/>
              <w:jc w:val="both"/>
              <w:rPr>
                <w:b/>
                <w:sz w:val="16"/>
              </w:rPr>
            </w:pPr>
          </w:p>
        </w:tc>
        <w:tc>
          <w:tcPr>
            <w:tcW w:w="1480" w:type="pct"/>
            <w:shd w:val="clear" w:color="auto" w:fill="D9D9D9"/>
            <w:tcMar>
              <w:top w:w="0" w:type="dxa"/>
              <w:left w:w="60" w:type="dxa"/>
              <w:bottom w:w="0" w:type="dxa"/>
              <w:right w:w="60" w:type="dxa"/>
            </w:tcMar>
            <w:vAlign w:val="bottom"/>
            <w:hideMark/>
          </w:tcPr>
          <w:p w14:paraId="5804E728" w14:textId="77777777" w:rsidR="000E7F05" w:rsidRPr="00D8141D" w:rsidRDefault="000E7F05" w:rsidP="009E2BE2">
            <w:pPr>
              <w:widowControl w:val="0"/>
              <w:pBdr>
                <w:bottom w:val="single" w:sz="4" w:space="1" w:color="auto"/>
              </w:pBdr>
              <w:spacing w:after="140" w:line="290" w:lineRule="auto"/>
              <w:jc w:val="both"/>
              <w:rPr>
                <w:rFonts w:eastAsia="MS Mincho" w:cs="Calibri"/>
                <w:b/>
                <w:bCs/>
                <w:sz w:val="16"/>
                <w:szCs w:val="16"/>
                <w:lang w:eastAsia="ja-JP"/>
              </w:rPr>
            </w:pPr>
            <w:r w:rsidRPr="00D8141D">
              <w:rPr>
                <w:rFonts w:eastAsia="MS Mincho" w:cs="Calibri"/>
                <w:b/>
                <w:bCs/>
                <w:sz w:val="16"/>
                <w:szCs w:val="16"/>
                <w:lang w:eastAsia="ja-JP"/>
              </w:rPr>
              <w:t>Valor Nominal Unitário (R$)</w:t>
            </w:r>
          </w:p>
        </w:tc>
        <w:tc>
          <w:tcPr>
            <w:tcW w:w="740" w:type="pct"/>
            <w:shd w:val="clear" w:color="auto" w:fill="D9D9D9"/>
            <w:vAlign w:val="bottom"/>
          </w:tcPr>
          <w:p w14:paraId="4F24C89D" w14:textId="77777777" w:rsidR="000E7F05" w:rsidRPr="00566CD3" w:rsidRDefault="000E7F05" w:rsidP="009E2BE2">
            <w:pPr>
              <w:widowControl w:val="0"/>
              <w:pBdr>
                <w:bottom w:val="single" w:sz="4" w:space="1" w:color="auto"/>
              </w:pBdr>
              <w:spacing w:after="140" w:line="290" w:lineRule="auto"/>
              <w:jc w:val="both"/>
              <w:rPr>
                <w:b/>
                <w:sz w:val="16"/>
              </w:rPr>
            </w:pPr>
            <w:r w:rsidRPr="00566CD3">
              <w:rPr>
                <w:b/>
                <w:sz w:val="16"/>
              </w:rPr>
              <w:t>Custo da Distribuição Unitário (R$)</w:t>
            </w:r>
          </w:p>
        </w:tc>
        <w:tc>
          <w:tcPr>
            <w:tcW w:w="740" w:type="pct"/>
            <w:shd w:val="clear" w:color="auto" w:fill="D9D9D9"/>
            <w:vAlign w:val="bottom"/>
          </w:tcPr>
          <w:p w14:paraId="51311C21" w14:textId="77777777" w:rsidR="000E7F05" w:rsidRPr="00566CD3" w:rsidRDefault="000E7F05" w:rsidP="009E2BE2">
            <w:pPr>
              <w:widowControl w:val="0"/>
              <w:pBdr>
                <w:bottom w:val="single" w:sz="4" w:space="1" w:color="auto"/>
              </w:pBdr>
              <w:spacing w:after="140" w:line="290" w:lineRule="auto"/>
              <w:jc w:val="both"/>
              <w:rPr>
                <w:b/>
                <w:sz w:val="16"/>
              </w:rPr>
            </w:pPr>
            <w:r w:rsidRPr="00566CD3">
              <w:rPr>
                <w:b/>
                <w:sz w:val="16"/>
              </w:rPr>
              <w:t>% em relação ao preço unitário</w:t>
            </w:r>
          </w:p>
        </w:tc>
        <w:tc>
          <w:tcPr>
            <w:tcW w:w="740" w:type="pct"/>
            <w:shd w:val="clear" w:color="auto" w:fill="D9D9D9"/>
            <w:tcMar>
              <w:top w:w="0" w:type="dxa"/>
              <w:left w:w="60" w:type="dxa"/>
              <w:bottom w:w="0" w:type="dxa"/>
              <w:right w:w="60" w:type="dxa"/>
            </w:tcMar>
            <w:vAlign w:val="bottom"/>
            <w:hideMark/>
          </w:tcPr>
          <w:p w14:paraId="641109CF" w14:textId="77777777" w:rsidR="000E7F05" w:rsidRPr="00566CD3" w:rsidRDefault="000E7F05" w:rsidP="009E2BE2">
            <w:pPr>
              <w:widowControl w:val="0"/>
              <w:pBdr>
                <w:bottom w:val="single" w:sz="4" w:space="1" w:color="auto"/>
              </w:pBdr>
              <w:spacing w:after="140" w:line="290" w:lineRule="auto"/>
              <w:jc w:val="both"/>
              <w:rPr>
                <w:b/>
                <w:sz w:val="16"/>
              </w:rPr>
            </w:pPr>
            <w:r w:rsidRPr="00566CD3">
              <w:rPr>
                <w:b/>
                <w:sz w:val="16"/>
              </w:rPr>
              <w:t>Valor Líquido por Debênture (R$)</w:t>
            </w:r>
            <w:r w:rsidRPr="00566CD3">
              <w:rPr>
                <w:b/>
                <w:sz w:val="16"/>
                <w:vertAlign w:val="superscript"/>
              </w:rPr>
              <w:t>(1)</w:t>
            </w:r>
          </w:p>
        </w:tc>
      </w:tr>
      <w:tr w:rsidR="003425FF" w:rsidRPr="00D8141D" w14:paraId="0F21E2B7" w14:textId="77777777" w:rsidTr="003425FF">
        <w:trPr>
          <w:jc w:val="center"/>
        </w:trPr>
        <w:tc>
          <w:tcPr>
            <w:tcW w:w="1300" w:type="pct"/>
            <w:tcMar>
              <w:top w:w="0" w:type="dxa"/>
              <w:left w:w="60" w:type="dxa"/>
              <w:bottom w:w="0" w:type="dxa"/>
              <w:right w:w="60" w:type="dxa"/>
            </w:tcMar>
            <w:vAlign w:val="bottom"/>
            <w:hideMark/>
          </w:tcPr>
          <w:p w14:paraId="5B4DEC16" w14:textId="77777777" w:rsidR="003425FF" w:rsidRPr="00D8141D" w:rsidRDefault="003425FF" w:rsidP="006E0C0B">
            <w:pPr>
              <w:widowControl w:val="0"/>
              <w:tabs>
                <w:tab w:val="right" w:leader="dot" w:pos="4017"/>
              </w:tabs>
              <w:spacing w:after="140" w:line="290" w:lineRule="auto"/>
              <w:jc w:val="both"/>
              <w:rPr>
                <w:rFonts w:eastAsia="MS Mincho" w:cs="Calibri"/>
                <w:sz w:val="16"/>
                <w:szCs w:val="16"/>
                <w:lang w:eastAsia="ja-JP"/>
              </w:rPr>
            </w:pPr>
            <w:r w:rsidRPr="00D8141D">
              <w:rPr>
                <w:rFonts w:eastAsia="MS Mincho" w:cs="Calibri"/>
                <w:sz w:val="16"/>
                <w:szCs w:val="16"/>
                <w:lang w:eastAsia="ja-JP"/>
              </w:rPr>
              <w:t>Por Debênture</w:t>
            </w:r>
          </w:p>
        </w:tc>
        <w:tc>
          <w:tcPr>
            <w:tcW w:w="1480" w:type="pct"/>
            <w:tcMar>
              <w:top w:w="0" w:type="dxa"/>
              <w:left w:w="60" w:type="dxa"/>
              <w:bottom w:w="0" w:type="dxa"/>
              <w:right w:w="60" w:type="dxa"/>
            </w:tcMar>
            <w:hideMark/>
          </w:tcPr>
          <w:p w14:paraId="5766E37B" w14:textId="77777777" w:rsidR="003425FF" w:rsidRPr="00D8141D" w:rsidRDefault="003425FF" w:rsidP="006E0C0B">
            <w:pPr>
              <w:widowControl w:val="0"/>
              <w:tabs>
                <w:tab w:val="right" w:leader="dot" w:pos="4017"/>
              </w:tabs>
              <w:spacing w:after="140" w:line="290" w:lineRule="auto"/>
              <w:jc w:val="both"/>
              <w:rPr>
                <w:sz w:val="16"/>
                <w:szCs w:val="16"/>
              </w:rPr>
            </w:pPr>
            <w:r w:rsidRPr="00D8141D">
              <w:rPr>
                <w:rFonts w:cs="Calibri"/>
                <w:sz w:val="16"/>
                <w:szCs w:val="16"/>
              </w:rPr>
              <w:t>1.000,00</w:t>
            </w:r>
          </w:p>
        </w:tc>
        <w:tc>
          <w:tcPr>
            <w:tcW w:w="740" w:type="pct"/>
          </w:tcPr>
          <w:p w14:paraId="2131B735" w14:textId="77777777" w:rsidR="003425FF" w:rsidRPr="00D8141D" w:rsidRDefault="00ED61A0" w:rsidP="006E0C0B">
            <w:pPr>
              <w:widowControl w:val="0"/>
              <w:tabs>
                <w:tab w:val="right" w:leader="dot" w:pos="4017"/>
              </w:tabs>
              <w:spacing w:after="140" w:line="290" w:lineRule="auto"/>
              <w:jc w:val="both"/>
              <w:rPr>
                <w:sz w:val="16"/>
                <w:szCs w:val="16"/>
              </w:rPr>
            </w:pPr>
            <w:r w:rsidRPr="00D8141D">
              <w:rPr>
                <w:sz w:val="16"/>
                <w:szCs w:val="16"/>
              </w:rPr>
              <w:t>43,</w:t>
            </w:r>
            <w:r w:rsidR="00565539">
              <w:rPr>
                <w:sz w:val="16"/>
                <w:szCs w:val="16"/>
              </w:rPr>
              <w:t>71</w:t>
            </w:r>
          </w:p>
        </w:tc>
        <w:tc>
          <w:tcPr>
            <w:tcW w:w="740" w:type="pct"/>
          </w:tcPr>
          <w:p w14:paraId="0B4E37B6" w14:textId="77777777" w:rsidR="003425FF" w:rsidRPr="00D8141D" w:rsidRDefault="003425FF" w:rsidP="006E0C0B">
            <w:pPr>
              <w:widowControl w:val="0"/>
              <w:tabs>
                <w:tab w:val="right" w:leader="dot" w:pos="4017"/>
              </w:tabs>
              <w:spacing w:after="140" w:line="290" w:lineRule="auto"/>
              <w:jc w:val="both"/>
              <w:rPr>
                <w:sz w:val="16"/>
                <w:szCs w:val="16"/>
              </w:rPr>
            </w:pPr>
            <w:r w:rsidRPr="00D8141D">
              <w:rPr>
                <w:sz w:val="16"/>
                <w:szCs w:val="16"/>
              </w:rPr>
              <w:t>4,</w:t>
            </w:r>
            <w:r w:rsidR="00ED61A0" w:rsidRPr="00D8141D">
              <w:rPr>
                <w:sz w:val="16"/>
                <w:szCs w:val="16"/>
              </w:rPr>
              <w:t>37</w:t>
            </w:r>
            <w:r w:rsidRPr="00D8141D">
              <w:rPr>
                <w:sz w:val="16"/>
                <w:szCs w:val="16"/>
              </w:rPr>
              <w:t>%</w:t>
            </w:r>
          </w:p>
        </w:tc>
        <w:tc>
          <w:tcPr>
            <w:tcW w:w="740" w:type="pct"/>
          </w:tcPr>
          <w:p w14:paraId="52BBF138" w14:textId="77777777" w:rsidR="003425FF" w:rsidRPr="00D8141D" w:rsidRDefault="00ED61A0" w:rsidP="006E0C0B">
            <w:pPr>
              <w:widowControl w:val="0"/>
              <w:tabs>
                <w:tab w:val="right" w:leader="dot" w:pos="4017"/>
              </w:tabs>
              <w:spacing w:after="140" w:line="290" w:lineRule="auto"/>
              <w:jc w:val="both"/>
              <w:rPr>
                <w:sz w:val="16"/>
                <w:szCs w:val="16"/>
              </w:rPr>
            </w:pPr>
            <w:r w:rsidRPr="00D8141D">
              <w:rPr>
                <w:sz w:val="16"/>
                <w:szCs w:val="16"/>
              </w:rPr>
              <w:t>956,</w:t>
            </w:r>
            <w:r w:rsidR="00565539">
              <w:rPr>
                <w:sz w:val="16"/>
                <w:szCs w:val="16"/>
              </w:rPr>
              <w:t>29</w:t>
            </w:r>
          </w:p>
        </w:tc>
      </w:tr>
    </w:tbl>
    <w:p w14:paraId="22033324" w14:textId="77777777" w:rsidR="00E8286C" w:rsidRPr="009E5F9A" w:rsidRDefault="00E8286C" w:rsidP="009E5F9A">
      <w:pPr>
        <w:pStyle w:val="EDP-corpodetexto"/>
        <w:widowControl w:val="0"/>
        <w:numPr>
          <w:ilvl w:val="0"/>
          <w:numId w:val="13"/>
        </w:numPr>
        <w:spacing w:after="140" w:line="290" w:lineRule="auto"/>
        <w:ind w:left="284"/>
        <w:jc w:val="center"/>
        <w:rPr>
          <w:rFonts w:eastAsia="MS Mincho" w:cs="Calibri"/>
          <w:b/>
          <w:bCs/>
          <w:kern w:val="32"/>
          <w:sz w:val="24"/>
          <w:szCs w:val="24"/>
          <w:lang w:val="en-US"/>
        </w:rPr>
      </w:pPr>
      <w:r w:rsidRPr="009E5F9A">
        <w:rPr>
          <w:rFonts w:cs="Calibri"/>
          <w:sz w:val="24"/>
          <w:szCs w:val="24"/>
        </w:rPr>
        <w:t>Líquido de comissões e de todas as despesas da Oferta.</w:t>
      </w:r>
      <w:bookmarkStart w:id="433" w:name="_Toc428322730"/>
      <w:bookmarkStart w:id="434" w:name="_Ref434934731"/>
      <w:bookmarkStart w:id="435" w:name="_Ref434934984"/>
      <w:bookmarkStart w:id="436" w:name="_Ref434936699"/>
      <w:bookmarkStart w:id="437" w:name="_Ref459515526"/>
      <w:bookmarkStart w:id="438" w:name="_Ref459515562"/>
      <w:bookmarkStart w:id="439" w:name="_Ref515314725"/>
      <w:bookmarkStart w:id="440" w:name="_Ref515314825"/>
      <w:r w:rsidR="00DB205D" w:rsidRPr="009E5F9A">
        <w:rPr>
          <w:rFonts w:cs="Calibri"/>
          <w:szCs w:val="24"/>
        </w:rPr>
        <w:br w:type="page"/>
      </w:r>
      <w:bookmarkStart w:id="441" w:name="_Toc87002541"/>
      <w:bookmarkStart w:id="442" w:name="_Toc87973545"/>
      <w:bookmarkStart w:id="443" w:name="_Ref90048226"/>
      <w:bookmarkStart w:id="444" w:name="_Ref90048244"/>
      <w:bookmarkStart w:id="445" w:name="_Ref90050546"/>
      <w:bookmarkStart w:id="446" w:name="_Ref90060553"/>
      <w:bookmarkStart w:id="447" w:name="_Toc90045153"/>
      <w:r w:rsidRPr="009E5F9A">
        <w:rPr>
          <w:rFonts w:eastAsia="MS Mincho" w:cs="Calibri"/>
          <w:b/>
          <w:bCs/>
          <w:kern w:val="32"/>
          <w:sz w:val="24"/>
          <w:szCs w:val="24"/>
          <w:lang w:val="en-US"/>
        </w:rPr>
        <w:lastRenderedPageBreak/>
        <w:t>INFORMAÇÕES ADICIONAIS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FCDA971" w14:textId="77777777" w:rsidR="00B175B8" w:rsidRPr="00566CD3" w:rsidRDefault="00106A8D" w:rsidP="009E2BE2">
      <w:pPr>
        <w:widowControl w:val="0"/>
        <w:spacing w:after="140" w:line="290" w:lineRule="auto"/>
        <w:jc w:val="both"/>
      </w:pPr>
      <w:r w:rsidRPr="00566CD3">
        <w:t>O Coordenador Líder recomenda</w:t>
      </w:r>
      <w:r w:rsidR="00E8286C" w:rsidRPr="00566CD3">
        <w:t xml:space="preserve"> aos </w:t>
      </w:r>
      <w:r w:rsidR="00FA7A7C" w:rsidRPr="00566CD3">
        <w:t>Investidores</w:t>
      </w:r>
      <w:r w:rsidR="00E8286C" w:rsidRPr="00566CD3">
        <w:t xml:space="preserve">, antes de tomar qualquer decisão de investimento relativa à Oferta, a consulta deste Prospecto. </w:t>
      </w:r>
    </w:p>
    <w:p w14:paraId="3FEA4B30" w14:textId="77777777" w:rsidR="00B175B8" w:rsidRPr="00566CD3" w:rsidRDefault="00B175B8" w:rsidP="009E2BE2">
      <w:pPr>
        <w:widowControl w:val="0"/>
        <w:spacing w:after="140" w:line="290" w:lineRule="auto"/>
        <w:jc w:val="both"/>
        <w:rPr>
          <w:b/>
        </w:rPr>
      </w:pPr>
      <w:r w:rsidRPr="00566CD3">
        <w:rPr>
          <w:b/>
        </w:rPr>
        <w:t>O investimento nas Debêntures não é adequado a investidores que: (i) não tenham profundo conhecimento dos riscos envolvidos na operação ou que não tenham acesso a consultoria especializada; (ii) necessitem de liquidez com relação às Debêntures a serem subscritas, tendo em vista a possibilidade de serem pequenas ou inexistentes as negociações das Debêntures no mercado secundário; e/ou (iii) não estejam dispostos a correr o risco de crédito de empresa do setor privado e/ou dos setores em que a Emissora atua, em particular na transmissão de energia elétrica.</w:t>
      </w:r>
      <w:r w:rsidR="00E8286C" w:rsidRPr="00566CD3">
        <w:rPr>
          <w:b/>
        </w:rPr>
        <w:t xml:space="preserve"> </w:t>
      </w:r>
    </w:p>
    <w:p w14:paraId="1A534316" w14:textId="510F4508" w:rsidR="00E8286C" w:rsidRPr="00566CD3" w:rsidRDefault="00E8286C" w:rsidP="009E2BE2">
      <w:pPr>
        <w:widowControl w:val="0"/>
        <w:spacing w:after="140" w:line="290" w:lineRule="auto"/>
        <w:jc w:val="both"/>
      </w:pPr>
      <w:r w:rsidRPr="00566CD3">
        <w:rPr>
          <w:b/>
        </w:rPr>
        <w:t xml:space="preserve">Para uma avaliação adequada dos riscos associados ao investimento nas Debêntures, os investidores deverão ler a seção </w:t>
      </w:r>
      <w:r w:rsidR="002A4B8C" w:rsidRPr="00566CD3">
        <w:rPr>
          <w:b/>
        </w:rPr>
        <w:t>“</w:t>
      </w:r>
      <w:r w:rsidRPr="00566CD3">
        <w:rPr>
          <w:b/>
        </w:rPr>
        <w:t>Fatores de Risco Relacionados à Oferta e às Debêntures</w:t>
      </w:r>
      <w:r w:rsidR="002A4B8C" w:rsidRPr="00566CD3">
        <w:rPr>
          <w:b/>
        </w:rPr>
        <w:t>”</w:t>
      </w:r>
      <w:r w:rsidRPr="00566CD3">
        <w:rPr>
          <w:b/>
        </w:rPr>
        <w:t xml:space="preserve">, nas páginas </w:t>
      </w:r>
      <w:r w:rsidR="000E6F7F" w:rsidRPr="00D8141D">
        <w:rPr>
          <w:rFonts w:eastAsia="Times New Roman" w:cs="Calibri"/>
          <w:b/>
          <w:bCs/>
          <w:noProof/>
          <w:lang w:eastAsia="pt-BR"/>
        </w:rPr>
        <w:fldChar w:fldCharType="begin"/>
      </w:r>
      <w:r w:rsidR="000E6F7F" w:rsidRPr="00566CD3">
        <w:rPr>
          <w:b/>
        </w:rPr>
        <w:instrText xml:space="preserve"> PAGEREF _Ref90061181 \h </w:instrText>
      </w:r>
      <w:r w:rsidR="000E6F7F" w:rsidRPr="00D8141D">
        <w:rPr>
          <w:rFonts w:eastAsia="Times New Roman" w:cs="Calibri"/>
          <w:b/>
          <w:bCs/>
          <w:noProof/>
          <w:lang w:eastAsia="pt-BR"/>
        </w:rPr>
      </w:r>
      <w:r w:rsidR="000E6F7F" w:rsidRPr="00D8141D">
        <w:rPr>
          <w:rFonts w:eastAsia="Times New Roman" w:cs="Calibri"/>
          <w:b/>
          <w:bCs/>
          <w:noProof/>
          <w:lang w:eastAsia="pt-BR"/>
        </w:rPr>
        <w:fldChar w:fldCharType="separate"/>
      </w:r>
      <w:r w:rsidR="001166EA">
        <w:rPr>
          <w:b/>
          <w:noProof/>
        </w:rPr>
        <w:t>128</w:t>
      </w:r>
      <w:r w:rsidR="000E6F7F" w:rsidRPr="00D8141D">
        <w:rPr>
          <w:rFonts w:eastAsia="Times New Roman" w:cs="Calibri"/>
          <w:b/>
          <w:bCs/>
          <w:noProof/>
          <w:lang w:eastAsia="pt-BR"/>
        </w:rPr>
        <w:fldChar w:fldCharType="end"/>
      </w:r>
      <w:r w:rsidRPr="00566CD3">
        <w:rPr>
          <w:b/>
        </w:rPr>
        <w:t xml:space="preserve"> a </w:t>
      </w:r>
      <w:r w:rsidR="00137FB1">
        <w:rPr>
          <w:rFonts w:eastAsia="Times New Roman" w:cs="Calibri"/>
          <w:b/>
          <w:bCs/>
          <w:noProof/>
          <w:lang w:eastAsia="pt-BR"/>
        </w:rPr>
        <w:fldChar w:fldCharType="begin"/>
      </w:r>
      <w:r w:rsidR="00137FB1" w:rsidRPr="00566CD3">
        <w:rPr>
          <w:b/>
        </w:rPr>
        <w:instrText xml:space="preserve"> PAGEREF fator_de_risco_taxa_subs \h </w:instrText>
      </w:r>
      <w:r w:rsidR="00137FB1">
        <w:rPr>
          <w:rFonts w:eastAsia="Times New Roman" w:cs="Calibri"/>
          <w:b/>
          <w:bCs/>
          <w:noProof/>
          <w:lang w:eastAsia="pt-BR"/>
        </w:rPr>
      </w:r>
      <w:r w:rsidR="00137FB1">
        <w:rPr>
          <w:rFonts w:eastAsia="Times New Roman" w:cs="Calibri"/>
          <w:b/>
          <w:bCs/>
          <w:noProof/>
          <w:lang w:eastAsia="pt-BR"/>
        </w:rPr>
        <w:fldChar w:fldCharType="separate"/>
      </w:r>
      <w:r w:rsidR="001166EA">
        <w:rPr>
          <w:b/>
          <w:noProof/>
        </w:rPr>
        <w:t>138</w:t>
      </w:r>
      <w:r w:rsidR="00137FB1">
        <w:rPr>
          <w:rFonts w:eastAsia="Times New Roman" w:cs="Calibri"/>
          <w:b/>
          <w:bCs/>
          <w:noProof/>
          <w:lang w:eastAsia="pt-BR"/>
        </w:rPr>
        <w:fldChar w:fldCharType="end"/>
      </w:r>
      <w:r w:rsidRPr="00566CD3">
        <w:rPr>
          <w:b/>
        </w:rPr>
        <w:t xml:space="preserve"> deste Prospecto, bem como o item </w:t>
      </w:r>
      <w:r w:rsidR="002A4B8C" w:rsidRPr="00566CD3">
        <w:rPr>
          <w:b/>
        </w:rPr>
        <w:t>“</w:t>
      </w:r>
      <w:r w:rsidRPr="00566CD3">
        <w:rPr>
          <w:b/>
        </w:rPr>
        <w:t>4. Fatores de Risco</w:t>
      </w:r>
      <w:r w:rsidR="002A4B8C" w:rsidRPr="00566CD3">
        <w:rPr>
          <w:b/>
        </w:rPr>
        <w:t>”</w:t>
      </w:r>
      <w:r w:rsidRPr="00566CD3">
        <w:rPr>
          <w:b/>
        </w:rPr>
        <w:t xml:space="preserve"> do Formulário de Referência antes de aceitar a Oferta.</w:t>
      </w:r>
    </w:p>
    <w:p w14:paraId="074163E2" w14:textId="77777777" w:rsidR="00E8286C" w:rsidRPr="00566CD3" w:rsidRDefault="000B6864" w:rsidP="009E2BE2">
      <w:pPr>
        <w:widowControl w:val="0"/>
        <w:spacing w:after="140" w:line="290" w:lineRule="auto"/>
        <w:jc w:val="both"/>
      </w:pPr>
      <w:r w:rsidRPr="00566CD3">
        <w:t>Este</w:t>
      </w:r>
      <w:r w:rsidR="00E8286C" w:rsidRPr="00566CD3">
        <w:t xml:space="preserve"> Prospecto </w:t>
      </w:r>
      <w:r w:rsidR="0065388F" w:rsidRPr="00566CD3">
        <w:t>Definitivo</w:t>
      </w:r>
      <w:r w:rsidR="00E8286C" w:rsidRPr="00566CD3">
        <w:t>, que incorpora por referência o Formulário de Referência, está disponível nos seguintes endereços e páginas da Internet:</w:t>
      </w:r>
    </w:p>
    <w:p w14:paraId="72A1941D" w14:textId="28FF3322" w:rsidR="00E8286C" w:rsidRPr="00566CD3" w:rsidRDefault="007D6CA5" w:rsidP="00BB32A2">
      <w:pPr>
        <w:widowControl w:val="0"/>
        <w:numPr>
          <w:ilvl w:val="0"/>
          <w:numId w:val="14"/>
        </w:numPr>
        <w:spacing w:after="140" w:line="290" w:lineRule="auto"/>
        <w:ind w:left="567" w:hanging="567"/>
        <w:jc w:val="both"/>
      </w:pPr>
      <w:r w:rsidRPr="00566CD3">
        <w:rPr>
          <w:b/>
        </w:rPr>
        <w:t>Emissora</w:t>
      </w:r>
      <w:r w:rsidRPr="00566CD3">
        <w:t xml:space="preserve">: </w:t>
      </w:r>
      <w:r w:rsidR="00E71C12" w:rsidRPr="00E71C12">
        <w:rPr>
          <w:rFonts w:cs="Calibri"/>
        </w:rPr>
        <w:t>Fazenda São Martinho, s/n, Cidade de Pradópolis, Estado de São Paulo</w:t>
      </w:r>
      <w:r w:rsidR="00E71C12" w:rsidRPr="00E71C12">
        <w:rPr>
          <w:rFonts w:cs="Calibri"/>
          <w:lang w:eastAsia="pt-BR"/>
        </w:rPr>
        <w:t xml:space="preserve"> (</w:t>
      </w:r>
      <w:r w:rsidR="00E71C12" w:rsidRPr="00E71C12">
        <w:rPr>
          <w:rFonts w:cs="Calibri"/>
        </w:rPr>
        <w:t>https://ri.saomartinho.com.br/ (neste website, acessar “Informações aos Investidores”, “Documentos Entregues à CVM”, em seguida, clicar “Filtrar por ano”, selecionar “2022” e, na página seguinte, acessar “Formulário de Referência”)</w:t>
      </w:r>
      <w:r w:rsidRPr="00566CD3">
        <w:t>;</w:t>
      </w:r>
    </w:p>
    <w:p w14:paraId="3BBC1386" w14:textId="77777777" w:rsidR="00E8286C" w:rsidRPr="00566CD3" w:rsidRDefault="00E8286C" w:rsidP="00BB32A2">
      <w:pPr>
        <w:widowControl w:val="0"/>
        <w:numPr>
          <w:ilvl w:val="0"/>
          <w:numId w:val="14"/>
        </w:numPr>
        <w:spacing w:after="140" w:line="290" w:lineRule="auto"/>
        <w:ind w:left="567" w:hanging="567"/>
        <w:jc w:val="both"/>
        <w:rPr>
          <w:spacing w:val="-6"/>
        </w:rPr>
      </w:pPr>
      <w:r w:rsidRPr="00566CD3">
        <w:rPr>
          <w:b/>
          <w:spacing w:val="-6"/>
        </w:rPr>
        <w:t>CVM</w:t>
      </w:r>
      <w:r w:rsidRPr="00566CD3">
        <w:rPr>
          <w:spacing w:val="-6"/>
        </w:rPr>
        <w:t xml:space="preserve">: </w:t>
      </w:r>
      <w:r w:rsidR="005B4D1F" w:rsidRPr="00566CD3">
        <w:rPr>
          <w:spacing w:val="-6"/>
        </w:rPr>
        <w:t>Rua Sete de Setembro, nº 111, 5º andar</w:t>
      </w:r>
      <w:r w:rsidRPr="00566CD3">
        <w:rPr>
          <w:spacing w:val="-6"/>
        </w:rPr>
        <w:t xml:space="preserve">, </w:t>
      </w:r>
      <w:r w:rsidR="005B4D1F" w:rsidRPr="00566CD3">
        <w:rPr>
          <w:spacing w:val="-6"/>
        </w:rPr>
        <w:t>CEP 20159-900 – Rio de Janeiro, RJ</w:t>
      </w:r>
      <w:r w:rsidRPr="00566CD3">
        <w:rPr>
          <w:spacing w:val="-6"/>
        </w:rPr>
        <w:t xml:space="preserve"> e </w:t>
      </w:r>
      <w:r w:rsidR="005B4D1F" w:rsidRPr="00566CD3">
        <w:rPr>
          <w:spacing w:val="-6"/>
        </w:rPr>
        <w:t>Rua Cincinato Braga, nº 340, 2º, 3º e 4º andares</w:t>
      </w:r>
      <w:r w:rsidRPr="00566CD3">
        <w:rPr>
          <w:spacing w:val="-6"/>
        </w:rPr>
        <w:t xml:space="preserve">, </w:t>
      </w:r>
      <w:r w:rsidR="005B4D1F" w:rsidRPr="00566CD3">
        <w:rPr>
          <w:spacing w:val="-6"/>
        </w:rPr>
        <w:t>CEP 01333-010 – São Paulo, SP</w:t>
      </w:r>
      <w:r w:rsidRPr="00566CD3">
        <w:rPr>
          <w:spacing w:val="-6"/>
        </w:rPr>
        <w:t xml:space="preserve"> (</w:t>
      </w:r>
      <w:r w:rsidR="005B4D1F" w:rsidRPr="00566CD3">
        <w:rPr>
          <w:spacing w:val="-6"/>
        </w:rPr>
        <w:t>www.cvm.gov.br, neste website, acessar em “Informações de Regulados” ao lado esquerdo da tela, clicar em “Companhias”, clicar em “Informações Periódicas e Eventuais de Companhias”, clicar em “Informações periódicas e eventuais (ITR, DFs, Fatos Relevantes, Comunicados ao Mercados, entre outros)” buscar por “</w:t>
      </w:r>
      <w:r w:rsidR="005E0D49" w:rsidRPr="00566CD3">
        <w:rPr>
          <w:spacing w:val="-6"/>
        </w:rPr>
        <w:t>SÃO MARTINHO</w:t>
      </w:r>
      <w:r w:rsidR="005B4D1F" w:rsidRPr="00566CD3">
        <w:rPr>
          <w:spacing w:val="-6"/>
        </w:rPr>
        <w:t xml:space="preserve"> S.A.” no campo disponível. </w:t>
      </w:r>
      <w:r w:rsidR="004B3CFA" w:rsidRPr="00566CD3">
        <w:rPr>
          <w:spacing w:val="-6"/>
        </w:rPr>
        <w:t xml:space="preserve">Em seguida, acessar </w:t>
      </w:r>
      <w:r w:rsidR="005E0D49" w:rsidRPr="00566CD3">
        <w:rPr>
          <w:spacing w:val="-6"/>
        </w:rPr>
        <w:t>SÃO MARTINHO</w:t>
      </w:r>
      <w:r w:rsidR="004B3CFA" w:rsidRPr="00566CD3">
        <w:rPr>
          <w:spacing w:val="-6"/>
        </w:rPr>
        <w:t xml:space="preserve"> S.A.”. Na página seguinte, selecionar o “Período de Entrega” desejado, no campo “Categoria” selecionar “Documentos de Oferta de Distribuição Pública” e clicar em “Consultar”. Na sequência, clicar em “Visualizar o Documento” do “Prospecto </w:t>
      </w:r>
      <w:r w:rsidR="0065388F" w:rsidRPr="00566CD3">
        <w:rPr>
          <w:spacing w:val="-6"/>
        </w:rPr>
        <w:t>Definitivo</w:t>
      </w:r>
      <w:r w:rsidR="004B3CFA" w:rsidRPr="00566CD3">
        <w:rPr>
          <w:spacing w:val="-6"/>
        </w:rPr>
        <w:t>”)</w:t>
      </w:r>
      <w:r w:rsidRPr="00566CD3">
        <w:rPr>
          <w:spacing w:val="-6"/>
        </w:rPr>
        <w:t>;</w:t>
      </w:r>
      <w:r w:rsidR="00732A97" w:rsidRPr="00566CD3">
        <w:rPr>
          <w:spacing w:val="-6"/>
        </w:rPr>
        <w:t xml:space="preserve"> e</w:t>
      </w:r>
    </w:p>
    <w:p w14:paraId="3945C03D" w14:textId="61597897" w:rsidR="00E8286C" w:rsidRPr="00566CD3" w:rsidRDefault="00F82651" w:rsidP="00BB32A2">
      <w:pPr>
        <w:widowControl w:val="0"/>
        <w:numPr>
          <w:ilvl w:val="0"/>
          <w:numId w:val="14"/>
        </w:numPr>
        <w:spacing w:after="140" w:line="290" w:lineRule="auto"/>
        <w:ind w:left="567" w:hanging="567"/>
        <w:jc w:val="both"/>
      </w:pPr>
      <w:r w:rsidRPr="00566CD3">
        <w:rPr>
          <w:b/>
        </w:rPr>
        <w:t>B3</w:t>
      </w:r>
      <w:r w:rsidR="00FA7A7C" w:rsidRPr="00566CD3">
        <w:t xml:space="preserve">: </w:t>
      </w:r>
      <w:r w:rsidR="005B4D1F" w:rsidRPr="00566CD3">
        <w:t>Praça Antonio Prado, nº 48, 7º andar – Centro</w:t>
      </w:r>
      <w:r w:rsidR="005B4D1F" w:rsidRPr="00566CD3">
        <w:rPr>
          <w:spacing w:val="6"/>
        </w:rPr>
        <w:t xml:space="preserve">, </w:t>
      </w:r>
      <w:r w:rsidR="005B4D1F" w:rsidRPr="00566CD3">
        <w:t>CEP 01010-901 – São Paulo, SP</w:t>
      </w:r>
      <w:r w:rsidR="005B4D1F" w:rsidRPr="00566CD3">
        <w:rPr>
          <w:spacing w:val="6"/>
        </w:rPr>
        <w:t xml:space="preserve"> (</w:t>
      </w:r>
      <w:r w:rsidR="005B4D1F" w:rsidRPr="00566CD3">
        <w:t>http://www.b3.com.br/pt_br/produtos-e-servicos/negociacao/renda-variavel/empresas-listadas.htm, neste website, buscar por “</w:t>
      </w:r>
      <w:r w:rsidR="005E0D49" w:rsidRPr="00566CD3">
        <w:t>SÃO MARTINHO</w:t>
      </w:r>
      <w:r w:rsidR="005B4D1F" w:rsidRPr="00566CD3">
        <w:t xml:space="preserve"> S.A.” no campo disponível, em seguida acessar “</w:t>
      </w:r>
      <w:r w:rsidR="005E0D49" w:rsidRPr="00566CD3">
        <w:t>SÃO MARTINHO</w:t>
      </w:r>
      <w:r w:rsidR="005B4D1F" w:rsidRPr="00566CD3">
        <w:t xml:space="preserve"> S.A.”, posteriormente, clicar em “Informações Relevantes” e em seguida</w:t>
      </w:r>
      <w:r w:rsidR="00D05BA1" w:rsidRPr="00566CD3">
        <w:t xml:space="preserve">, selecionar o ano de </w:t>
      </w:r>
      <w:r w:rsidR="00DB205D" w:rsidRPr="0082022E">
        <w:rPr>
          <w:rFonts w:cs="Calibri"/>
        </w:rPr>
        <w:t>202</w:t>
      </w:r>
      <w:r w:rsidR="00E71C12">
        <w:rPr>
          <w:rFonts w:cs="Calibri"/>
        </w:rPr>
        <w:t>2</w:t>
      </w:r>
      <w:r w:rsidR="00DB205D" w:rsidRPr="00566CD3">
        <w:t>,</w:t>
      </w:r>
      <w:r w:rsidR="00D05BA1" w:rsidRPr="00566CD3">
        <w:t xml:space="preserve"> clicar</w:t>
      </w:r>
      <w:r w:rsidR="005B4D1F" w:rsidRPr="00566CD3">
        <w:t xml:space="preserve"> em “Documentos de Oferta de Distribuição Pública” e acessar o Prospecto </w:t>
      </w:r>
      <w:r w:rsidR="0065388F" w:rsidRPr="00566CD3">
        <w:t>Definitivo</w:t>
      </w:r>
      <w:r w:rsidR="005B4D1F" w:rsidRPr="00566CD3">
        <w:t>)</w:t>
      </w:r>
      <w:r w:rsidR="00732A97" w:rsidRPr="00566CD3">
        <w:t>.</w:t>
      </w:r>
    </w:p>
    <w:p w14:paraId="43ECC5B8" w14:textId="6E13565D" w:rsidR="00E8286C" w:rsidRPr="00566CD3" w:rsidRDefault="00E8286C" w:rsidP="009E2BE2">
      <w:pPr>
        <w:widowControl w:val="0"/>
        <w:spacing w:after="140" w:line="290" w:lineRule="auto"/>
        <w:jc w:val="both"/>
      </w:pPr>
      <w:r w:rsidRPr="00566CD3">
        <w:lastRenderedPageBreak/>
        <w:t xml:space="preserve">Informações adicionais sobre a Emissora, as Debêntures e a Oferta poderão ser obtidas no Formulário de Referência, incorporado por referência a este Prospecto, e junto à diretoria de relações com investidores da Emissora, ao </w:t>
      </w:r>
      <w:r w:rsidR="005609F4" w:rsidRPr="00566CD3">
        <w:t>Coordenador Líder</w:t>
      </w:r>
      <w:r w:rsidRPr="00566CD3">
        <w:t>, à CVM, ao Agente Fiduciário</w:t>
      </w:r>
      <w:r w:rsidR="005B4D1F" w:rsidRPr="00566CD3">
        <w:t xml:space="preserve"> e </w:t>
      </w:r>
      <w:r w:rsidRPr="00566CD3">
        <w:t xml:space="preserve">à </w:t>
      </w:r>
      <w:r w:rsidR="00F82651" w:rsidRPr="00566CD3">
        <w:t>B3</w:t>
      </w:r>
      <w:r w:rsidRPr="00566CD3">
        <w:t xml:space="preserve">, nos endereços e </w:t>
      </w:r>
      <w:r w:rsidRPr="00566CD3">
        <w:rPr>
          <w:i/>
        </w:rPr>
        <w:t xml:space="preserve">websites </w:t>
      </w:r>
      <w:r w:rsidRPr="00566CD3">
        <w:t xml:space="preserve">indicados na seção </w:t>
      </w:r>
      <w:r w:rsidR="002A4B8C" w:rsidRPr="00566CD3">
        <w:t>“</w:t>
      </w:r>
      <w:r w:rsidRPr="00566CD3">
        <w:t xml:space="preserve">Informações Sobre a Emissora, o </w:t>
      </w:r>
      <w:r w:rsidR="005609F4" w:rsidRPr="00566CD3">
        <w:t>Coordenador Líder</w:t>
      </w:r>
      <w:r w:rsidRPr="00566CD3">
        <w:t xml:space="preserve">, os Consultores, o Agente Fiduciário, o </w:t>
      </w:r>
      <w:r w:rsidR="009D09A0" w:rsidRPr="00566CD3">
        <w:t>Agente de Liquidação</w:t>
      </w:r>
      <w:r w:rsidRPr="00566CD3">
        <w:t xml:space="preserve"> e Escriturador e os Auditores</w:t>
      </w:r>
      <w:r w:rsidR="002A4B8C" w:rsidRPr="00566CD3">
        <w:t>”</w:t>
      </w:r>
      <w:r w:rsidRPr="00566CD3">
        <w:t xml:space="preserve"> na página </w:t>
      </w:r>
      <w:r w:rsidR="00A91793" w:rsidRPr="00D8141D">
        <w:rPr>
          <w:rFonts w:eastAsia="Times New Roman" w:cs="Calibri"/>
          <w:noProof/>
          <w:lang w:eastAsia="pt-BR"/>
        </w:rPr>
        <w:fldChar w:fldCharType="begin"/>
      </w:r>
      <w:r w:rsidR="00A91793" w:rsidRPr="00566CD3">
        <w:instrText xml:space="preserve"> PAGEREF _Ref90061216 \h </w:instrText>
      </w:r>
      <w:r w:rsidR="00A91793" w:rsidRPr="00D8141D">
        <w:rPr>
          <w:rFonts w:eastAsia="Times New Roman" w:cs="Calibri"/>
          <w:noProof/>
          <w:lang w:eastAsia="pt-BR"/>
        </w:rPr>
      </w:r>
      <w:r w:rsidR="00A91793" w:rsidRPr="00D8141D">
        <w:rPr>
          <w:rFonts w:eastAsia="Times New Roman" w:cs="Calibri"/>
          <w:noProof/>
          <w:lang w:eastAsia="pt-BR"/>
        </w:rPr>
        <w:fldChar w:fldCharType="separate"/>
      </w:r>
      <w:r w:rsidR="001166EA">
        <w:rPr>
          <w:noProof/>
        </w:rPr>
        <w:t>143</w:t>
      </w:r>
      <w:r w:rsidR="00A91793" w:rsidRPr="00D8141D">
        <w:rPr>
          <w:rFonts w:eastAsia="Times New Roman" w:cs="Calibri"/>
          <w:noProof/>
          <w:lang w:eastAsia="pt-BR"/>
        </w:rPr>
        <w:fldChar w:fldCharType="end"/>
      </w:r>
      <w:r w:rsidRPr="00566CD3">
        <w:t xml:space="preserve"> deste Prospecto.</w:t>
      </w:r>
    </w:p>
    <w:p w14:paraId="73217ECA" w14:textId="77777777" w:rsidR="00A62A7E" w:rsidRPr="00566CD3" w:rsidRDefault="00A47BED" w:rsidP="00A62A7E">
      <w:pPr>
        <w:spacing w:before="220" w:after="220"/>
        <w:jc w:val="center"/>
      </w:pPr>
      <w:bookmarkStart w:id="448" w:name="_Ref434936840"/>
      <w:r w:rsidRPr="00566CD3">
        <w:rPr>
          <w:caps/>
        </w:rPr>
        <w:br w:type="page"/>
      </w:r>
      <w:bookmarkStart w:id="449" w:name="_Toc87002542"/>
      <w:bookmarkStart w:id="450" w:name="_Ref90061249"/>
      <w:bookmarkStart w:id="451" w:name="_Ref90216228"/>
      <w:bookmarkStart w:id="452" w:name="_Ref90216244"/>
      <w:bookmarkStart w:id="453" w:name="_Ref90230414"/>
    </w:p>
    <w:p w14:paraId="6D69EA59" w14:textId="760DE40F" w:rsidR="00E8286C" w:rsidRPr="00566CD3" w:rsidRDefault="00E8286C" w:rsidP="00A62A7E">
      <w:pPr>
        <w:pStyle w:val="Ttulo1"/>
        <w:keepNext w:val="0"/>
        <w:pageBreakBefore w:val="0"/>
        <w:widowControl w:val="0"/>
        <w:spacing w:after="140" w:line="290" w:lineRule="auto"/>
        <w:rPr>
          <w:caps w:val="0"/>
        </w:rPr>
      </w:pPr>
      <w:bookmarkStart w:id="454" w:name="_Toc90045154"/>
      <w:bookmarkStart w:id="455" w:name="_Toc95928471"/>
      <w:r w:rsidRPr="00566CD3">
        <w:rPr>
          <w:caps w:val="0"/>
        </w:rPr>
        <w:lastRenderedPageBreak/>
        <w:t>VISÃO GERAL DA LEI 12.431</w:t>
      </w:r>
      <w:bookmarkEnd w:id="428"/>
      <w:bookmarkEnd w:id="429"/>
      <w:bookmarkEnd w:id="448"/>
      <w:bookmarkEnd w:id="449"/>
      <w:bookmarkEnd w:id="450"/>
      <w:bookmarkEnd w:id="451"/>
      <w:bookmarkEnd w:id="452"/>
      <w:bookmarkEnd w:id="453"/>
      <w:bookmarkEnd w:id="454"/>
      <w:bookmarkEnd w:id="455"/>
      <w:r w:rsidR="00DB205D" w:rsidRPr="00566CD3">
        <w:rPr>
          <w:caps w:val="0"/>
        </w:rPr>
        <w:t xml:space="preserve"> </w:t>
      </w:r>
    </w:p>
    <w:p w14:paraId="1350559D" w14:textId="77777777" w:rsidR="00E8286C" w:rsidRPr="00566CD3" w:rsidRDefault="00A47BED" w:rsidP="009E2BE2">
      <w:pPr>
        <w:widowControl w:val="0"/>
        <w:spacing w:after="140" w:line="290" w:lineRule="auto"/>
        <w:jc w:val="both"/>
      </w:pPr>
      <w:r w:rsidRPr="00566CD3">
        <w:t>A fim de aprimorar os mecanismos de captação de recursos para financiamentos de longo prazo, foram criados pela Lei 12.431 e regulamentados pelo Decreto 8.874, benefícios tributários para determinados valores mobiliários. Abaixo segue sumário dos principais aspectos de referidos valores mobiliários regulados pela Lei 12.431.</w:t>
      </w:r>
    </w:p>
    <w:p w14:paraId="0BF1367D" w14:textId="77777777" w:rsidR="00E8286C" w:rsidRPr="00D8141D" w:rsidRDefault="00E8286C" w:rsidP="009E2BE2">
      <w:pPr>
        <w:pStyle w:val="Ttulo2"/>
        <w:keepNext w:val="0"/>
        <w:keepLines w:val="0"/>
        <w:widowControl w:val="0"/>
        <w:spacing w:after="140" w:line="290" w:lineRule="auto"/>
        <w:jc w:val="both"/>
        <w:rPr>
          <w:rFonts w:eastAsia="Times New Roman" w:cs="Calibri"/>
          <w:b/>
          <w:szCs w:val="24"/>
          <w:lang w:val="pt-BR"/>
        </w:rPr>
      </w:pPr>
      <w:bookmarkStart w:id="456" w:name="_Toc427852331"/>
      <w:bookmarkStart w:id="457" w:name="_Toc428306470"/>
      <w:bookmarkStart w:id="458" w:name="_Toc87002543"/>
      <w:bookmarkStart w:id="459" w:name="_Toc90045155"/>
      <w:bookmarkStart w:id="460" w:name="_Toc95928472"/>
      <w:r w:rsidRPr="00D8141D">
        <w:rPr>
          <w:rFonts w:eastAsia="Times New Roman" w:cs="Calibri"/>
          <w:b/>
          <w:szCs w:val="24"/>
          <w:lang w:val="pt-BR"/>
        </w:rPr>
        <w:t>Sumário</w:t>
      </w:r>
      <w:bookmarkEnd w:id="456"/>
      <w:bookmarkEnd w:id="457"/>
      <w:bookmarkEnd w:id="458"/>
      <w:bookmarkEnd w:id="459"/>
      <w:bookmarkEnd w:id="460"/>
    </w:p>
    <w:p w14:paraId="3FC413B4" w14:textId="77777777" w:rsidR="00E8286C" w:rsidRPr="00566CD3" w:rsidRDefault="00E8286C" w:rsidP="009E2BE2">
      <w:pPr>
        <w:pStyle w:val="Ttulo3"/>
        <w:keepNext w:val="0"/>
        <w:keepLines w:val="0"/>
        <w:widowControl w:val="0"/>
        <w:spacing w:after="140" w:line="290" w:lineRule="auto"/>
        <w:jc w:val="both"/>
        <w:rPr>
          <w:i/>
        </w:rPr>
      </w:pPr>
      <w:bookmarkStart w:id="461" w:name="_Toc427852332"/>
      <w:bookmarkStart w:id="462" w:name="_Toc87002544"/>
      <w:bookmarkStart w:id="463" w:name="_Toc90045156"/>
      <w:bookmarkStart w:id="464" w:name="_Toc95928473"/>
      <w:r w:rsidRPr="00566CD3">
        <w:rPr>
          <w:i/>
        </w:rPr>
        <w:t>Valores mobiliários de longo prazo – descrição</w:t>
      </w:r>
      <w:bookmarkEnd w:id="461"/>
      <w:bookmarkEnd w:id="462"/>
      <w:bookmarkEnd w:id="463"/>
      <w:bookmarkEnd w:id="464"/>
    </w:p>
    <w:p w14:paraId="6034C65E" w14:textId="77777777" w:rsidR="00531FB5" w:rsidRPr="00566CD3" w:rsidRDefault="00531FB5" w:rsidP="009E2BE2">
      <w:pPr>
        <w:widowControl w:val="0"/>
        <w:spacing w:after="140" w:line="290" w:lineRule="auto"/>
        <w:jc w:val="both"/>
      </w:pPr>
      <w:r w:rsidRPr="00566CD3">
        <w:t>Os Valores mobiliários sujeitos aos benefícios fiscais criados pela Lei 12.431 compreendem:</w:t>
      </w:r>
    </w:p>
    <w:p w14:paraId="63AAE627" w14:textId="77777777" w:rsidR="00531FB5" w:rsidRPr="00566CD3" w:rsidRDefault="00A47BED" w:rsidP="00566CD3">
      <w:pPr>
        <w:pStyle w:val="GradeMdia1-nfase21"/>
        <w:widowControl w:val="0"/>
        <w:numPr>
          <w:ilvl w:val="0"/>
          <w:numId w:val="42"/>
        </w:numPr>
        <w:spacing w:after="140" w:line="290" w:lineRule="auto"/>
        <w:jc w:val="both"/>
      </w:pPr>
      <w:r w:rsidRPr="00566CD3">
        <w:t xml:space="preserve">valores mobiliários relacionados à captação de recursos para implementar projeto de investimento na área de infraestrutura ou de produção econômica intensiva em pesquisa, desenvolvimento e inovação, considerados como prioritários na forma regulamentada pelo Poder Executivo federal, a saber: </w:t>
      </w:r>
      <w:r w:rsidRPr="00566CD3">
        <w:rPr>
          <w:b/>
        </w:rPr>
        <w:t>(a)</w:t>
      </w:r>
      <w:r w:rsidRPr="00566CD3">
        <w:t xml:space="preserve"> debêntures de infraestrutura; </w:t>
      </w:r>
      <w:r w:rsidRPr="00566CD3">
        <w:rPr>
          <w:b/>
        </w:rPr>
        <w:t>(b)</w:t>
      </w:r>
      <w:r w:rsidRPr="00566CD3">
        <w:t xml:space="preserve"> quotas emitidas por fundos de investimento em direitos creditórios constituídos sob a forma de condomínio fechado; e </w:t>
      </w:r>
      <w:r w:rsidRPr="00566CD3">
        <w:rPr>
          <w:b/>
        </w:rPr>
        <w:t>(c)</w:t>
      </w:r>
      <w:r w:rsidRPr="00566CD3">
        <w:t xml:space="preserve"> certificados de recebíveis imobiliários; </w:t>
      </w:r>
    </w:p>
    <w:p w14:paraId="2E4C567D" w14:textId="77777777" w:rsidR="00531FB5" w:rsidRPr="00566CD3" w:rsidRDefault="00531FB5" w:rsidP="00566CD3">
      <w:pPr>
        <w:pStyle w:val="GradeMdia1-nfase21"/>
        <w:widowControl w:val="0"/>
        <w:spacing w:after="140" w:line="290" w:lineRule="auto"/>
        <w:ind w:left="1080"/>
        <w:jc w:val="both"/>
      </w:pPr>
    </w:p>
    <w:p w14:paraId="419EB79A" w14:textId="77777777" w:rsidR="00531FB5" w:rsidRPr="00566CD3" w:rsidRDefault="00A47BED" w:rsidP="00566CD3">
      <w:pPr>
        <w:pStyle w:val="GradeMdia1-nfase21"/>
        <w:widowControl w:val="0"/>
        <w:numPr>
          <w:ilvl w:val="0"/>
          <w:numId w:val="42"/>
        </w:numPr>
        <w:spacing w:after="140" w:line="290" w:lineRule="auto"/>
        <w:jc w:val="both"/>
      </w:pPr>
      <w:r w:rsidRPr="00566CD3">
        <w:t xml:space="preserve">valores mobiliários para financiar projeto de investimento, incluindo </w:t>
      </w:r>
      <w:r w:rsidRPr="00566CD3">
        <w:rPr>
          <w:b/>
        </w:rPr>
        <w:t>(a)</w:t>
      </w:r>
      <w:r w:rsidRPr="00566CD3">
        <w:t xml:space="preserve"> certificados de recebíveis imobiliários; e </w:t>
      </w:r>
      <w:r w:rsidRPr="00566CD3">
        <w:rPr>
          <w:b/>
        </w:rPr>
        <w:t>(b)</w:t>
      </w:r>
      <w:r w:rsidRPr="00566CD3">
        <w:t xml:space="preserve"> quotas emitidas por fundos de investimento em direitos creditórios constituídos sob a forma de condomínio fechado, cujo originador ou cedente da carteira de direitos creditórios não seja instituição financeira; e </w:t>
      </w:r>
    </w:p>
    <w:p w14:paraId="00F65FA6" w14:textId="77777777" w:rsidR="00531FB5" w:rsidRPr="00566CD3" w:rsidRDefault="00531FB5" w:rsidP="00566CD3">
      <w:pPr>
        <w:pStyle w:val="GradeMdia1-nfase21"/>
      </w:pPr>
    </w:p>
    <w:p w14:paraId="06C00879" w14:textId="77777777" w:rsidR="00E8286C" w:rsidRPr="00566CD3" w:rsidRDefault="00A47BED" w:rsidP="00566CD3">
      <w:pPr>
        <w:pStyle w:val="GradeMdia1-nfase21"/>
        <w:widowControl w:val="0"/>
        <w:numPr>
          <w:ilvl w:val="0"/>
          <w:numId w:val="42"/>
        </w:numPr>
        <w:spacing w:after="140" w:line="290" w:lineRule="auto"/>
        <w:jc w:val="both"/>
      </w:pPr>
      <w:r w:rsidRPr="00566CD3">
        <w:t>fundos de investimento em valores mobiliários de projeto prioritários, desde que autorizado pela regulação aplicável a cada tipo de fundo de investimento.</w:t>
      </w:r>
    </w:p>
    <w:p w14:paraId="1011C109" w14:textId="77777777" w:rsidR="00E8286C" w:rsidRPr="00566CD3" w:rsidRDefault="00E8286C" w:rsidP="009E2BE2">
      <w:pPr>
        <w:pStyle w:val="Ttulo3"/>
        <w:keepNext w:val="0"/>
        <w:keepLines w:val="0"/>
        <w:widowControl w:val="0"/>
        <w:spacing w:after="140" w:line="290" w:lineRule="auto"/>
        <w:jc w:val="both"/>
        <w:rPr>
          <w:i/>
        </w:rPr>
      </w:pPr>
      <w:bookmarkStart w:id="465" w:name="_Toc427852333"/>
      <w:bookmarkStart w:id="466" w:name="_Toc87002545"/>
      <w:bookmarkStart w:id="467" w:name="_Toc90045157"/>
      <w:bookmarkStart w:id="468" w:name="_Toc95928474"/>
      <w:r w:rsidRPr="00566CD3">
        <w:rPr>
          <w:i/>
        </w:rPr>
        <w:t xml:space="preserve">Principais características das </w:t>
      </w:r>
      <w:r w:rsidR="00A47BED" w:rsidRPr="00566CD3">
        <w:rPr>
          <w:i/>
        </w:rPr>
        <w:t xml:space="preserve">Debêntures </w:t>
      </w:r>
      <w:r w:rsidRPr="00566CD3">
        <w:rPr>
          <w:i/>
        </w:rPr>
        <w:t xml:space="preserve">de </w:t>
      </w:r>
      <w:bookmarkEnd w:id="465"/>
      <w:r w:rsidR="00A47BED" w:rsidRPr="00566CD3">
        <w:rPr>
          <w:i/>
        </w:rPr>
        <w:t>Infraestrutura</w:t>
      </w:r>
      <w:bookmarkEnd w:id="466"/>
      <w:bookmarkEnd w:id="467"/>
      <w:bookmarkEnd w:id="468"/>
      <w:r w:rsidR="00A47BED" w:rsidRPr="00566CD3">
        <w:rPr>
          <w:i/>
        </w:rPr>
        <w:t xml:space="preserve"> </w:t>
      </w:r>
    </w:p>
    <w:p w14:paraId="1427224B" w14:textId="77777777" w:rsidR="00E8286C" w:rsidRPr="00566CD3" w:rsidRDefault="00A47BED" w:rsidP="009E2BE2">
      <w:pPr>
        <w:widowControl w:val="0"/>
        <w:spacing w:after="140" w:line="290" w:lineRule="auto"/>
        <w:jc w:val="both"/>
      </w:pPr>
      <w:r w:rsidRPr="00566CD3">
        <w:t xml:space="preserve">As Debêntures de Infraestrutura devem apresentar as seguintes características: </w:t>
      </w:r>
      <w:r w:rsidRPr="00566CD3">
        <w:rPr>
          <w:b/>
        </w:rPr>
        <w:t>(i)</w:t>
      </w:r>
      <w:r w:rsidRPr="00566CD3">
        <w:t xml:space="preserve"> remuneração por taxa de juros prefixada, vinculada à índice de preço ou à taxa referencial; </w:t>
      </w:r>
      <w:r w:rsidRPr="00566CD3">
        <w:rPr>
          <w:b/>
        </w:rPr>
        <w:t>(ii)</w:t>
      </w:r>
      <w:r w:rsidRPr="00566CD3">
        <w:t xml:space="preserve"> não admitir a pactuação total ou parcial de taxa de juros pós-fixada; </w:t>
      </w:r>
      <w:r w:rsidRPr="00566CD3">
        <w:rPr>
          <w:b/>
        </w:rPr>
        <w:t>(iii)</w:t>
      </w:r>
      <w:r w:rsidRPr="00566CD3">
        <w:t xml:space="preserve"> prazo médio ponderado superior a quatro anos; </w:t>
      </w:r>
      <w:r w:rsidRPr="00566CD3">
        <w:rPr>
          <w:b/>
        </w:rPr>
        <w:t>(iv)</w:t>
      </w:r>
      <w:r w:rsidRPr="00566CD3">
        <w:t xml:space="preserve"> vedação à resgate antecipado pelo respectivo emissor, salvo na forma a ser regulamentada pelo CMN; </w:t>
      </w:r>
      <w:r w:rsidRPr="00566CD3">
        <w:rPr>
          <w:b/>
        </w:rPr>
        <w:t>(v)</w:t>
      </w:r>
      <w:r w:rsidRPr="00566CD3">
        <w:t xml:space="preserve"> vedação a compromisso de revenda assumido pelo titular; </w:t>
      </w:r>
      <w:r w:rsidRPr="00566CD3">
        <w:rPr>
          <w:b/>
        </w:rPr>
        <w:t>(vi)</w:t>
      </w:r>
      <w:r w:rsidRPr="00566CD3">
        <w:t xml:space="preserve"> prazo de pagamento periódico de rendimentos, se existente, com intervalos de, no mínimo, 180 (cento e oitenta) dias; </w:t>
      </w:r>
      <w:r w:rsidRPr="00566CD3">
        <w:rPr>
          <w:b/>
        </w:rPr>
        <w:t>(vii)</w:t>
      </w:r>
      <w:r w:rsidRPr="00566CD3">
        <w:t xml:space="preserve"> comprovação de seu registro em sistema de registro devidamente autorizado pelo Banco Central ou pela CVM, nas suas respectivas áreas de competência; e </w:t>
      </w:r>
      <w:r w:rsidRPr="00566CD3">
        <w:rPr>
          <w:b/>
        </w:rPr>
        <w:t>(viii)</w:t>
      </w:r>
      <w:r w:rsidRPr="00566CD3">
        <w:t xml:space="preserve"> alocação dos recursos captados com as Debêntures de Infraestrutura em projeto de investimento considerado como prioritário pelo ministério competente.</w:t>
      </w:r>
    </w:p>
    <w:p w14:paraId="3E93DE74" w14:textId="77777777" w:rsidR="00FC06D9" w:rsidRDefault="00FC06D9">
      <w:pPr>
        <w:spacing w:after="0" w:line="240" w:lineRule="auto"/>
        <w:rPr>
          <w:rFonts w:eastAsia="MS Mincho"/>
          <w:b/>
          <w:bCs/>
          <w:i/>
          <w:szCs w:val="26"/>
        </w:rPr>
      </w:pPr>
      <w:bookmarkStart w:id="469" w:name="_Toc427852334"/>
      <w:bookmarkStart w:id="470" w:name="_Toc87002546"/>
      <w:r>
        <w:rPr>
          <w:i/>
        </w:rPr>
        <w:br w:type="page"/>
      </w:r>
    </w:p>
    <w:p w14:paraId="3C5B52ED" w14:textId="0DF301AC" w:rsidR="00E8286C" w:rsidRPr="00566CD3" w:rsidRDefault="00E8286C" w:rsidP="009E2BE2">
      <w:pPr>
        <w:pStyle w:val="Ttulo3"/>
        <w:keepNext w:val="0"/>
        <w:keepLines w:val="0"/>
        <w:widowControl w:val="0"/>
        <w:spacing w:after="140" w:line="290" w:lineRule="auto"/>
        <w:jc w:val="both"/>
        <w:rPr>
          <w:i/>
        </w:rPr>
      </w:pPr>
      <w:bookmarkStart w:id="471" w:name="_Toc90045158"/>
      <w:bookmarkStart w:id="472" w:name="_Toc95928475"/>
      <w:r w:rsidRPr="00566CD3">
        <w:rPr>
          <w:i/>
        </w:rPr>
        <w:lastRenderedPageBreak/>
        <w:t xml:space="preserve">Investimento em </w:t>
      </w:r>
      <w:bookmarkEnd w:id="469"/>
      <w:r w:rsidR="00531FB5" w:rsidRPr="00566CD3">
        <w:rPr>
          <w:i/>
        </w:rPr>
        <w:t>Projetos de Investimentos prioritários</w:t>
      </w:r>
      <w:bookmarkEnd w:id="470"/>
      <w:bookmarkEnd w:id="471"/>
      <w:bookmarkEnd w:id="472"/>
    </w:p>
    <w:p w14:paraId="16892EB8" w14:textId="77777777" w:rsidR="00E8286C" w:rsidRPr="00566CD3" w:rsidRDefault="00A47BED" w:rsidP="009E2BE2">
      <w:pPr>
        <w:widowControl w:val="0"/>
        <w:spacing w:after="140" w:line="290" w:lineRule="auto"/>
        <w:jc w:val="both"/>
      </w:pPr>
      <w:r w:rsidRPr="00566CD3">
        <w:t>Os recursos captados em ofertas de Debêntures de Infraestrutura</w:t>
      </w:r>
      <w:r w:rsidRPr="00566CD3" w:rsidDel="00D909FB">
        <w:t xml:space="preserve"> </w:t>
      </w:r>
      <w:r w:rsidRPr="00566CD3">
        <w:t xml:space="preserve">devem ser destinados: </w:t>
      </w:r>
      <w:r w:rsidRPr="00566CD3">
        <w:rPr>
          <w:b/>
        </w:rPr>
        <w:t>(i)</w:t>
      </w:r>
      <w:r w:rsidRPr="00566CD3">
        <w:t xml:space="preserve"> ao pagamento futuro de projeto de investimento prioritários; ou </w:t>
      </w:r>
      <w:r w:rsidRPr="00566CD3">
        <w:rPr>
          <w:b/>
        </w:rPr>
        <w:t>(ii)</w:t>
      </w:r>
      <w:r w:rsidRPr="00566CD3">
        <w:t xml:space="preserve"> ao reembolso de gastos, despesas ou dívidas relacionadas com tais projeto de investimento prioritários, incorridos até 24 </w:t>
      </w:r>
      <w:r w:rsidR="00744F05" w:rsidRPr="00566CD3">
        <w:t xml:space="preserve">(vinte e quatro) </w:t>
      </w:r>
      <w:r w:rsidRPr="00566CD3">
        <w:t>meses antes do encerramento da oferta dos respectivos valores mobiliários.</w:t>
      </w:r>
    </w:p>
    <w:p w14:paraId="27D2181F" w14:textId="77777777" w:rsidR="00E8286C" w:rsidRPr="00566CD3" w:rsidRDefault="00E8286C" w:rsidP="009E2BE2">
      <w:pPr>
        <w:pStyle w:val="Ttulo3"/>
        <w:keepNext w:val="0"/>
        <w:keepLines w:val="0"/>
        <w:widowControl w:val="0"/>
        <w:spacing w:after="140" w:line="290" w:lineRule="auto"/>
        <w:jc w:val="both"/>
        <w:rPr>
          <w:i/>
        </w:rPr>
      </w:pPr>
      <w:bookmarkStart w:id="473" w:name="_Toc427852335"/>
      <w:bookmarkStart w:id="474" w:name="_Toc87002547"/>
      <w:bookmarkStart w:id="475" w:name="_Toc90045159"/>
      <w:bookmarkStart w:id="476" w:name="_Toc95928476"/>
      <w:r w:rsidRPr="00566CD3">
        <w:rPr>
          <w:i/>
        </w:rPr>
        <w:t>Qualificação dos emissores</w:t>
      </w:r>
      <w:bookmarkEnd w:id="473"/>
      <w:bookmarkEnd w:id="474"/>
      <w:bookmarkEnd w:id="475"/>
      <w:bookmarkEnd w:id="476"/>
      <w:r w:rsidRPr="00566CD3">
        <w:rPr>
          <w:i/>
        </w:rPr>
        <w:t xml:space="preserve"> </w:t>
      </w:r>
    </w:p>
    <w:p w14:paraId="41F4177B" w14:textId="77777777" w:rsidR="00E8286C" w:rsidRPr="00566CD3" w:rsidRDefault="00A47BED" w:rsidP="009E2BE2">
      <w:pPr>
        <w:widowControl w:val="0"/>
        <w:spacing w:after="140" w:line="290" w:lineRule="auto"/>
        <w:jc w:val="both"/>
      </w:pPr>
      <w:r w:rsidRPr="00566CD3">
        <w:rPr>
          <w:spacing w:val="-2"/>
        </w:rPr>
        <w:t xml:space="preserve">Os emissores de Debêntures de Infraestrutura devem ser constituídos sob a forma de sociedade por ações e qualificados como: </w:t>
      </w:r>
      <w:r w:rsidRPr="00566CD3">
        <w:rPr>
          <w:b/>
          <w:spacing w:val="-2"/>
        </w:rPr>
        <w:t>(i)</w:t>
      </w:r>
      <w:r w:rsidRPr="00566CD3">
        <w:rPr>
          <w:spacing w:val="-2"/>
        </w:rPr>
        <w:t xml:space="preserve"> sociedade de propósito específico dedicada à implementação de um projeto de investimento prioritário; ou </w:t>
      </w:r>
      <w:r w:rsidRPr="00566CD3">
        <w:rPr>
          <w:b/>
          <w:spacing w:val="-2"/>
        </w:rPr>
        <w:t>(ii)</w:t>
      </w:r>
      <w:r w:rsidRPr="00566CD3">
        <w:rPr>
          <w:spacing w:val="-2"/>
        </w:rPr>
        <w:t xml:space="preserve"> sociedades controladoras das pessoas jurídicas mencionadas no item (i) acima; ou </w:t>
      </w:r>
      <w:r w:rsidRPr="00566CD3">
        <w:rPr>
          <w:b/>
          <w:spacing w:val="-2"/>
        </w:rPr>
        <w:t>(iii)</w:t>
      </w:r>
      <w:r w:rsidRPr="00566CD3">
        <w:rPr>
          <w:spacing w:val="-2"/>
        </w:rPr>
        <w:t xml:space="preserve"> concessionária, permissionária, autorizatária ou arrendatária.</w:t>
      </w:r>
    </w:p>
    <w:p w14:paraId="4C35A8B1" w14:textId="77777777" w:rsidR="00E8286C" w:rsidRPr="00566CD3" w:rsidRDefault="00E8286C" w:rsidP="00566177">
      <w:pPr>
        <w:pStyle w:val="Ttulo3"/>
        <w:keepNext w:val="0"/>
        <w:keepLines w:val="0"/>
        <w:widowControl w:val="0"/>
        <w:tabs>
          <w:tab w:val="left" w:pos="7876"/>
        </w:tabs>
        <w:spacing w:after="140" w:line="290" w:lineRule="auto"/>
        <w:jc w:val="both"/>
        <w:rPr>
          <w:i/>
        </w:rPr>
      </w:pPr>
      <w:bookmarkStart w:id="477" w:name="_Toc427852336"/>
      <w:bookmarkStart w:id="478" w:name="_Toc87002548"/>
      <w:bookmarkStart w:id="479" w:name="_Toc90045160"/>
      <w:bookmarkStart w:id="480" w:name="_Toc95928477"/>
      <w:r w:rsidRPr="00566CD3">
        <w:rPr>
          <w:i/>
        </w:rPr>
        <w:t xml:space="preserve">Decreto </w:t>
      </w:r>
      <w:bookmarkEnd w:id="477"/>
      <w:r w:rsidRPr="00566CD3">
        <w:rPr>
          <w:i/>
        </w:rPr>
        <w:t>8.874</w:t>
      </w:r>
      <w:bookmarkEnd w:id="478"/>
      <w:bookmarkEnd w:id="479"/>
      <w:bookmarkEnd w:id="480"/>
      <w:r w:rsidRPr="00566CD3">
        <w:rPr>
          <w:i/>
        </w:rPr>
        <w:t xml:space="preserve"> </w:t>
      </w:r>
    </w:p>
    <w:p w14:paraId="4195746E" w14:textId="77777777" w:rsidR="00E8286C" w:rsidRPr="00566CD3" w:rsidRDefault="00744F05" w:rsidP="00744F05">
      <w:pPr>
        <w:autoSpaceDE w:val="0"/>
        <w:autoSpaceDN w:val="0"/>
        <w:adjustRightInd w:val="0"/>
        <w:jc w:val="both"/>
      </w:pPr>
      <w:r w:rsidRPr="00566CD3">
        <w:t xml:space="preserve">Decreto 8.874 regulamenta as condições para aprovação dos projetos de investimento considerados como prioritários na área de infraestrutura ou de produção econômica intensiva em pesquisa, desenvolvimento e inovação. Para um Projeto de Investimento ser considerado prioritário, requerimento específico deve ser apresentado para aprovação pelo Ministério competente para a avaliação de tal Projeto de Investimento, nos termos da portaria publicada por cada ministério. Desta maneira, a Emissora submeteu o Projeto de Investimento à aprovação do </w:t>
      </w:r>
      <w:r w:rsidR="00ED4305" w:rsidRPr="00566CD3">
        <w:t>Ministério</w:t>
      </w:r>
      <w:r w:rsidRPr="00566CD3">
        <w:t xml:space="preserve"> da Infraestrutura, obedecendo ao disposto na Portaria </w:t>
      </w:r>
      <w:r w:rsidR="003719E2" w:rsidRPr="00566CD3">
        <w:t>do Ministério de Minas e Energia</w:t>
      </w:r>
      <w:r w:rsidRPr="00566CD3">
        <w:t>.</w:t>
      </w:r>
    </w:p>
    <w:p w14:paraId="1DA0698B" w14:textId="77777777" w:rsidR="00744F05" w:rsidRPr="00566CD3" w:rsidRDefault="00744F05" w:rsidP="00744F05">
      <w:pPr>
        <w:autoSpaceDE w:val="0"/>
        <w:autoSpaceDN w:val="0"/>
        <w:adjustRightInd w:val="0"/>
        <w:jc w:val="both"/>
      </w:pPr>
    </w:p>
    <w:p w14:paraId="2DFDBB36" w14:textId="4D56805E" w:rsidR="00E8286C" w:rsidRPr="00566CD3" w:rsidRDefault="00E8286C" w:rsidP="00744F05">
      <w:pPr>
        <w:widowControl w:val="0"/>
        <w:spacing w:after="140" w:line="290" w:lineRule="auto"/>
        <w:jc w:val="both"/>
        <w:rPr>
          <w:b/>
        </w:rPr>
      </w:pPr>
      <w:r w:rsidRPr="00566CD3">
        <w:rPr>
          <w:b/>
        </w:rPr>
        <w:t>Para mais informações sobre o</w:t>
      </w:r>
      <w:r w:rsidR="000B3C60" w:rsidRPr="00566CD3">
        <w:rPr>
          <w:b/>
        </w:rPr>
        <w:t>s</w:t>
      </w:r>
      <w:r w:rsidRPr="00566CD3">
        <w:rPr>
          <w:b/>
        </w:rPr>
        <w:t xml:space="preserve"> Projeto</w:t>
      </w:r>
      <w:r w:rsidR="000B3C60" w:rsidRPr="00566CD3">
        <w:rPr>
          <w:b/>
        </w:rPr>
        <w:t>s</w:t>
      </w:r>
      <w:r w:rsidRPr="00566CD3">
        <w:rPr>
          <w:b/>
        </w:rPr>
        <w:t xml:space="preserve">, vide seção </w:t>
      </w:r>
      <w:r w:rsidR="002A4B8C" w:rsidRPr="00566CD3">
        <w:rPr>
          <w:b/>
        </w:rPr>
        <w:t>“</w:t>
      </w:r>
      <w:r w:rsidRPr="00566CD3">
        <w:rPr>
          <w:b/>
        </w:rPr>
        <w:t>Destinação dos Recursos</w:t>
      </w:r>
      <w:r w:rsidR="002A4B8C" w:rsidRPr="00566CD3">
        <w:rPr>
          <w:b/>
        </w:rPr>
        <w:t>”</w:t>
      </w:r>
      <w:r w:rsidRPr="00566CD3">
        <w:rPr>
          <w:b/>
        </w:rPr>
        <w:t xml:space="preserve"> na página </w:t>
      </w:r>
      <w:r w:rsidR="00DF1B9F" w:rsidRPr="00D8141D">
        <w:rPr>
          <w:rFonts w:eastAsia="Times New Roman" w:cs="Calibri"/>
          <w:b/>
          <w:lang w:eastAsia="pt-BR"/>
        </w:rPr>
        <w:fldChar w:fldCharType="begin"/>
      </w:r>
      <w:r w:rsidR="00DF1B9F" w:rsidRPr="00566CD3">
        <w:rPr>
          <w:b/>
        </w:rPr>
        <w:instrText xml:space="preserve"> PAGEREF _Ref90229592 \h </w:instrText>
      </w:r>
      <w:r w:rsidR="00DF1B9F" w:rsidRPr="00D8141D">
        <w:rPr>
          <w:rFonts w:eastAsia="Times New Roman" w:cs="Calibri"/>
          <w:b/>
          <w:lang w:eastAsia="pt-BR"/>
        </w:rPr>
      </w:r>
      <w:r w:rsidR="00DF1B9F" w:rsidRPr="00D8141D">
        <w:rPr>
          <w:rFonts w:eastAsia="Times New Roman" w:cs="Calibri"/>
          <w:b/>
          <w:lang w:eastAsia="pt-BR"/>
        </w:rPr>
        <w:fldChar w:fldCharType="separate"/>
      </w:r>
      <w:r w:rsidR="001166EA">
        <w:rPr>
          <w:b/>
          <w:noProof/>
        </w:rPr>
        <w:t>145</w:t>
      </w:r>
      <w:r w:rsidR="00DF1B9F" w:rsidRPr="00D8141D">
        <w:rPr>
          <w:rFonts w:eastAsia="Times New Roman" w:cs="Calibri"/>
          <w:b/>
          <w:lang w:eastAsia="pt-BR"/>
        </w:rPr>
        <w:fldChar w:fldCharType="end"/>
      </w:r>
      <w:r w:rsidR="003719E2" w:rsidRPr="00566CD3">
        <w:rPr>
          <w:b/>
        </w:rPr>
        <w:t xml:space="preserve"> </w:t>
      </w:r>
      <w:r w:rsidRPr="00566CD3">
        <w:rPr>
          <w:b/>
        </w:rPr>
        <w:t xml:space="preserve">deste Prospecto. </w:t>
      </w:r>
    </w:p>
    <w:p w14:paraId="7A03C58E" w14:textId="77777777" w:rsidR="00E8286C" w:rsidRPr="00566CD3" w:rsidRDefault="00E06611" w:rsidP="009E2BE2">
      <w:pPr>
        <w:widowControl w:val="0"/>
        <w:spacing w:after="140" w:line="290" w:lineRule="auto"/>
        <w:jc w:val="both"/>
      </w:pPr>
      <w:r w:rsidRPr="00566CD3">
        <w:t>Por esta razão, as Debêntures contarão com benefício tributário nos termos dos artigos 2º da Lei 12.431.</w:t>
      </w:r>
    </w:p>
    <w:p w14:paraId="7DBEC89A" w14:textId="77777777" w:rsidR="00E8286C" w:rsidRPr="00566CD3" w:rsidRDefault="00E8286C" w:rsidP="009E2BE2">
      <w:pPr>
        <w:pStyle w:val="Ttulo3"/>
        <w:keepNext w:val="0"/>
        <w:keepLines w:val="0"/>
        <w:widowControl w:val="0"/>
        <w:spacing w:after="140" w:line="290" w:lineRule="auto"/>
        <w:jc w:val="both"/>
        <w:rPr>
          <w:i/>
        </w:rPr>
      </w:pPr>
      <w:bookmarkStart w:id="481" w:name="_Toc427852337"/>
      <w:bookmarkStart w:id="482" w:name="_Toc87002549"/>
      <w:bookmarkStart w:id="483" w:name="_Ref90230474"/>
      <w:bookmarkStart w:id="484" w:name="_Ref90230483"/>
      <w:bookmarkStart w:id="485" w:name="_Toc90045161"/>
      <w:bookmarkStart w:id="486" w:name="_Toc95928478"/>
      <w:r w:rsidRPr="00566CD3">
        <w:rPr>
          <w:i/>
        </w:rPr>
        <w:t>Tributação das Debêntures</w:t>
      </w:r>
      <w:bookmarkEnd w:id="481"/>
      <w:bookmarkEnd w:id="482"/>
      <w:bookmarkEnd w:id="483"/>
      <w:bookmarkEnd w:id="484"/>
      <w:bookmarkEnd w:id="485"/>
      <w:bookmarkEnd w:id="486"/>
    </w:p>
    <w:p w14:paraId="1B22AB11" w14:textId="77777777" w:rsidR="00E23324" w:rsidRPr="00566CD3" w:rsidRDefault="00E23324" w:rsidP="009E2BE2">
      <w:pPr>
        <w:widowControl w:val="0"/>
        <w:spacing w:after="140" w:line="290" w:lineRule="auto"/>
        <w:jc w:val="both"/>
      </w:pPr>
      <w:r w:rsidRPr="00566CD3">
        <w:t xml:space="preserve">O disposto neste capítulo foi elaborado com base na legislação brasileira em vigor na data de aprovação deste Prospecto, e tem por objetivo descrever genericamente o tratamento tributário aplicável aos investidores, no caso de as Debêntures cumprirem integralmente os requisitos previstos nos artigos 1º e 2º da Lei 12.431. </w:t>
      </w:r>
    </w:p>
    <w:p w14:paraId="1C096D0A" w14:textId="77777777" w:rsidR="00E23324" w:rsidRPr="00566CD3" w:rsidRDefault="00E23324" w:rsidP="009E2BE2">
      <w:pPr>
        <w:widowControl w:val="0"/>
        <w:spacing w:after="140" w:line="290" w:lineRule="auto"/>
        <w:jc w:val="both"/>
      </w:pPr>
      <w:r w:rsidRPr="00566CD3">
        <w:t xml:space="preserve">Caso a Emissora não tenha êxito em alocar integralmente os recursos captados pelas Debêntures no pagamento futuro ou no reembolso de gastos, despesas ou </w:t>
      </w:r>
      <w:r w:rsidR="00744F05" w:rsidRPr="00566CD3">
        <w:t>dívidas relacionadas</w:t>
      </w:r>
      <w:r w:rsidRPr="00566CD3">
        <w:t xml:space="preserve"> aos Projetos, a Emissora estará </w:t>
      </w:r>
      <w:r w:rsidR="00483D36" w:rsidRPr="00566CD3">
        <w:t xml:space="preserve">sujeita </w:t>
      </w:r>
      <w:r w:rsidRPr="00566CD3">
        <w:t>à multa equivalente a 20% (vinte por cento) do valor captado e não alocado nos Projetos, mantido, mesmo nesta hipótese, o tratamento tributário abaixo descrito.</w:t>
      </w:r>
    </w:p>
    <w:p w14:paraId="60A74F16" w14:textId="77777777" w:rsidR="00FC06D9" w:rsidRDefault="00FC06D9">
      <w:pPr>
        <w:spacing w:after="0" w:line="240" w:lineRule="auto"/>
      </w:pPr>
      <w:r>
        <w:br w:type="page"/>
      </w:r>
    </w:p>
    <w:p w14:paraId="30A8E583" w14:textId="49C9E01B" w:rsidR="00E23324" w:rsidRPr="00566CD3" w:rsidRDefault="00E23324" w:rsidP="009E2BE2">
      <w:pPr>
        <w:widowControl w:val="0"/>
        <w:spacing w:after="140" w:line="290" w:lineRule="auto"/>
        <w:jc w:val="both"/>
      </w:pPr>
      <w:r w:rsidRPr="00566CD3">
        <w:lastRenderedPageBreak/>
        <w:t>Os comentários desta seção tomam por base a interpretação da legislação vigente em termos gerais, podendo haver exceções, motivo pelo qual os investidores devem consultar seus assessores jurídicos com relação à tributação aplicável nos investimentos realizados nas Debêntures.</w:t>
      </w:r>
    </w:p>
    <w:p w14:paraId="5A799400" w14:textId="77777777" w:rsidR="00E06611" w:rsidRPr="00566CD3" w:rsidRDefault="00E23324" w:rsidP="009E2BE2">
      <w:pPr>
        <w:widowControl w:val="0"/>
        <w:spacing w:after="140" w:line="290" w:lineRule="auto"/>
        <w:jc w:val="both"/>
      </w:pPr>
      <w:r w:rsidRPr="00566CD3">
        <w:t xml:space="preserve">Os Debenturistas não devem considerar unicamente as informações contidas neste Prospecto para fins de avaliar o tratamento tributário de seu investimento nas Debêntures, devendo consultar seus próprios assessores quanto à tributação específica à qual estarão sujeitos, especialmente quanto a outros tributos que não o imposto de renda eventualmente aplicáveis a esse investimento ou a ganhos porventura auferidos em transações com </w:t>
      </w:r>
      <w:r w:rsidR="00483D36" w:rsidRPr="00566CD3">
        <w:t xml:space="preserve">as </w:t>
      </w:r>
      <w:r w:rsidRPr="00566CD3">
        <w:t>Debêntures.</w:t>
      </w:r>
    </w:p>
    <w:p w14:paraId="052FB3CC" w14:textId="0BA32EC5" w:rsidR="00E8286C" w:rsidRPr="00566CD3" w:rsidRDefault="00E8286C" w:rsidP="009E2BE2">
      <w:pPr>
        <w:widowControl w:val="0"/>
        <w:spacing w:after="140" w:line="290" w:lineRule="auto"/>
        <w:jc w:val="both"/>
        <w:rPr>
          <w:b/>
          <w:i/>
          <w:color w:val="000000"/>
        </w:rPr>
      </w:pPr>
      <w:r w:rsidRPr="00566CD3">
        <w:rPr>
          <w:b/>
        </w:rPr>
        <w:t xml:space="preserve">Adicionalmente, os potenciais investidores deverão ler a seção </w:t>
      </w:r>
      <w:r w:rsidR="002A4B8C" w:rsidRPr="00566CD3">
        <w:rPr>
          <w:b/>
          <w:color w:val="000000"/>
        </w:rPr>
        <w:t>“</w:t>
      </w:r>
      <w:r w:rsidRPr="00566CD3">
        <w:rPr>
          <w:b/>
          <w:color w:val="000000"/>
        </w:rPr>
        <w:t xml:space="preserve">Fatores de Risco Relacionados com a Oferta e as Debêntures – </w:t>
      </w:r>
      <w:r w:rsidR="00DB205D" w:rsidRPr="00566CD3">
        <w:rPr>
          <w:b/>
          <w:color w:val="000000"/>
        </w:rPr>
        <w:t>As</w:t>
      </w:r>
      <w:r w:rsidRPr="00566CD3">
        <w:rPr>
          <w:b/>
          <w:color w:val="000000"/>
        </w:rPr>
        <w:t xml:space="preserve"> Debêntures</w:t>
      </w:r>
      <w:r w:rsidR="000B3C60" w:rsidRPr="00566CD3">
        <w:rPr>
          <w:b/>
          <w:color w:val="000000"/>
        </w:rPr>
        <w:t xml:space="preserve"> </w:t>
      </w:r>
      <w:r w:rsidR="00DB205D" w:rsidRPr="00566CD3">
        <w:rPr>
          <w:b/>
          <w:color w:val="000000"/>
        </w:rPr>
        <w:t>podem deixar</w:t>
      </w:r>
      <w:r w:rsidRPr="00566CD3">
        <w:rPr>
          <w:b/>
          <w:color w:val="000000"/>
        </w:rPr>
        <w:t xml:space="preserve"> de satisfazer determinadas características que as enquadrem como </w:t>
      </w:r>
      <w:r w:rsidR="00DB205D" w:rsidRPr="00566CD3">
        <w:rPr>
          <w:b/>
          <w:color w:val="000000"/>
        </w:rPr>
        <w:t>debêntures com incentivo fiscal</w:t>
      </w:r>
      <w:r w:rsidRPr="00566CD3">
        <w:rPr>
          <w:b/>
          <w:i/>
          <w:color w:val="000000"/>
        </w:rPr>
        <w:t>.</w:t>
      </w:r>
      <w:r w:rsidR="002A4B8C" w:rsidRPr="00566CD3">
        <w:rPr>
          <w:b/>
          <w:color w:val="000000"/>
        </w:rPr>
        <w:t>”</w:t>
      </w:r>
      <w:r w:rsidRPr="00566CD3">
        <w:rPr>
          <w:b/>
          <w:color w:val="000000"/>
        </w:rPr>
        <w:t xml:space="preserve"> na página </w:t>
      </w:r>
      <w:r w:rsidR="00C23EC2" w:rsidRPr="00D8141D">
        <w:rPr>
          <w:rFonts w:eastAsia="Times New Roman" w:cs="Calibri"/>
          <w:b/>
          <w:noProof/>
          <w:color w:val="000000"/>
          <w:lang w:eastAsia="pt-BR"/>
        </w:rPr>
        <w:fldChar w:fldCharType="begin"/>
      </w:r>
      <w:r w:rsidR="00C23EC2" w:rsidRPr="00566CD3">
        <w:rPr>
          <w:b/>
          <w:color w:val="000000"/>
        </w:rPr>
        <w:instrText xml:space="preserve"> PAGEREF _Ref90216386 \h </w:instrText>
      </w:r>
      <w:r w:rsidR="00C23EC2" w:rsidRPr="00D8141D">
        <w:rPr>
          <w:rFonts w:eastAsia="Times New Roman" w:cs="Calibri"/>
          <w:b/>
          <w:noProof/>
          <w:color w:val="000000"/>
          <w:lang w:eastAsia="pt-BR"/>
        </w:rPr>
      </w:r>
      <w:r w:rsidR="00C23EC2" w:rsidRPr="00D8141D">
        <w:rPr>
          <w:rFonts w:eastAsia="Times New Roman" w:cs="Calibri"/>
          <w:b/>
          <w:noProof/>
          <w:color w:val="000000"/>
          <w:lang w:eastAsia="pt-BR"/>
        </w:rPr>
        <w:fldChar w:fldCharType="separate"/>
      </w:r>
      <w:r w:rsidR="001166EA">
        <w:rPr>
          <w:b/>
          <w:noProof/>
          <w:color w:val="000000"/>
        </w:rPr>
        <w:t>128</w:t>
      </w:r>
      <w:r w:rsidR="00C23EC2" w:rsidRPr="00D8141D">
        <w:rPr>
          <w:rFonts w:eastAsia="Times New Roman" w:cs="Calibri"/>
          <w:b/>
          <w:noProof/>
          <w:color w:val="000000"/>
          <w:lang w:eastAsia="pt-BR"/>
        </w:rPr>
        <w:fldChar w:fldCharType="end"/>
      </w:r>
      <w:r w:rsidRPr="00566CD3">
        <w:rPr>
          <w:b/>
          <w:color w:val="000000"/>
        </w:rPr>
        <w:t xml:space="preserve"> deste Prospecto.</w:t>
      </w:r>
    </w:p>
    <w:p w14:paraId="12114CE3" w14:textId="77777777" w:rsidR="00E8286C" w:rsidRPr="00566CD3" w:rsidRDefault="00E8286C" w:rsidP="009E2BE2">
      <w:pPr>
        <w:widowControl w:val="0"/>
        <w:spacing w:after="140" w:line="290" w:lineRule="auto"/>
        <w:jc w:val="both"/>
        <w:rPr>
          <w:u w:val="single"/>
        </w:rPr>
      </w:pPr>
      <w:r w:rsidRPr="00566CD3">
        <w:rPr>
          <w:u w:val="single"/>
        </w:rPr>
        <w:t>IR Fonte</w:t>
      </w:r>
    </w:p>
    <w:p w14:paraId="3CBF67A6" w14:textId="77777777" w:rsidR="00E8286C" w:rsidRPr="00566CD3" w:rsidRDefault="00E8286C" w:rsidP="009E2BE2">
      <w:pPr>
        <w:widowControl w:val="0"/>
        <w:spacing w:after="140" w:line="290" w:lineRule="auto"/>
        <w:jc w:val="both"/>
        <w:rPr>
          <w:i/>
        </w:rPr>
      </w:pPr>
      <w:r w:rsidRPr="00566CD3">
        <w:rPr>
          <w:i/>
        </w:rPr>
        <w:t>Titulares de Debêntures</w:t>
      </w:r>
      <w:r w:rsidR="00E80280" w:rsidRPr="00566CD3">
        <w:rPr>
          <w:i/>
        </w:rPr>
        <w:t xml:space="preserve"> </w:t>
      </w:r>
      <w:r w:rsidRPr="00566CD3">
        <w:rPr>
          <w:i/>
        </w:rPr>
        <w:t>residentes no Brasil</w:t>
      </w:r>
    </w:p>
    <w:p w14:paraId="15F81436" w14:textId="77777777" w:rsidR="00E8286C" w:rsidRPr="00566CD3" w:rsidRDefault="00E23324" w:rsidP="009E2BE2">
      <w:pPr>
        <w:widowControl w:val="0"/>
        <w:spacing w:after="140" w:line="290" w:lineRule="auto"/>
        <w:jc w:val="both"/>
      </w:pPr>
      <w:bookmarkStart w:id="487" w:name="_DV_M569"/>
      <w:bookmarkEnd w:id="487"/>
      <w:r w:rsidRPr="00566CD3">
        <w:t xml:space="preserve">Os rendimentos decorrentes dos investimentos nas Debêntures, incluindo os ganhos de capital auferidos em sua alienação, estarão sujeitos à incidência do IR Fonte: </w:t>
      </w:r>
      <w:r w:rsidRPr="00566CD3">
        <w:rPr>
          <w:b/>
        </w:rPr>
        <w:t>(i)</w:t>
      </w:r>
      <w:r w:rsidRPr="00566CD3">
        <w:t xml:space="preserve"> à alíquota de 0% (zero por cento), quando auferidos por pessoas físicas; e </w:t>
      </w:r>
      <w:r w:rsidRPr="00566CD3">
        <w:rPr>
          <w:b/>
        </w:rPr>
        <w:t>(ii)</w:t>
      </w:r>
      <w:r w:rsidRPr="00566CD3">
        <w:t xml:space="preserve"> à alíquota de 15% (quinze por cento), quando auferidos por pessoa jurídica, hipótese em que os rendimentos serão excluídos na apuração do lucro real para fins de cálculo do IRPJ e adicionados à base de cálculo da CSLL.</w:t>
      </w:r>
      <w:r w:rsidR="00E8286C" w:rsidRPr="00566CD3">
        <w:t xml:space="preserve"> </w:t>
      </w:r>
    </w:p>
    <w:p w14:paraId="692C2B57" w14:textId="77777777" w:rsidR="00E8286C" w:rsidRPr="00566CD3" w:rsidRDefault="00E8286C" w:rsidP="009E2BE2">
      <w:pPr>
        <w:widowControl w:val="0"/>
        <w:spacing w:after="140" w:line="290" w:lineRule="auto"/>
        <w:jc w:val="both"/>
        <w:rPr>
          <w:i/>
        </w:rPr>
      </w:pPr>
      <w:bookmarkStart w:id="488" w:name="_DV_M573"/>
      <w:bookmarkStart w:id="489" w:name="_DV_M575"/>
      <w:bookmarkEnd w:id="488"/>
      <w:bookmarkEnd w:id="489"/>
      <w:r w:rsidRPr="00566CD3">
        <w:rPr>
          <w:i/>
        </w:rPr>
        <w:t>Titulares de Debêntures</w:t>
      </w:r>
      <w:r w:rsidR="00E80280" w:rsidRPr="00566CD3">
        <w:rPr>
          <w:i/>
        </w:rPr>
        <w:t xml:space="preserve"> </w:t>
      </w:r>
      <w:r w:rsidRPr="00566CD3">
        <w:rPr>
          <w:i/>
        </w:rPr>
        <w:t>não residentes no Brasil</w:t>
      </w:r>
    </w:p>
    <w:p w14:paraId="5E878CA2" w14:textId="77777777" w:rsidR="00E8286C" w:rsidRPr="00566CD3" w:rsidRDefault="00E23324" w:rsidP="009E2BE2">
      <w:pPr>
        <w:widowControl w:val="0"/>
        <w:spacing w:after="140" w:line="290" w:lineRule="auto"/>
        <w:jc w:val="both"/>
      </w:pPr>
      <w:bookmarkStart w:id="490" w:name="_DV_M576"/>
      <w:bookmarkEnd w:id="490"/>
      <w:r w:rsidRPr="00566CD3">
        <w:t>Aos investidores residentes no exterior que realizem investimento em conformidade com a Resolução CMN 4.373 é aplicável tratamento tributário específico determinado em função de residirem ou não em Jurisdição de Tributação Favorecida.</w:t>
      </w:r>
    </w:p>
    <w:p w14:paraId="112B0F80" w14:textId="77777777" w:rsidR="00E8286C" w:rsidRPr="00566CD3" w:rsidRDefault="00E23324" w:rsidP="009E2BE2">
      <w:pPr>
        <w:pStyle w:val="Level5"/>
        <w:widowControl w:val="0"/>
        <w:tabs>
          <w:tab w:val="clear" w:pos="2722"/>
          <w:tab w:val="num" w:pos="680"/>
        </w:tabs>
        <w:spacing w:after="140" w:line="290" w:lineRule="auto"/>
        <w:ind w:left="680"/>
        <w:jc w:val="both"/>
      </w:pPr>
      <w:r w:rsidRPr="00566CD3">
        <w:t>Investidores não residentes no Brasil que não estejam domiciliados em Jurisdição de Tributação Favorecida: os rendimentos decorrentes dos investimentos nas Debêntures, compreendem os ganhos de capital auferidos em sua alienação, estarão sujeitos à incidência do IR Fonte à alíquota de 0% (zero por cento).</w:t>
      </w:r>
    </w:p>
    <w:p w14:paraId="3BFE6383" w14:textId="77777777" w:rsidR="00E8286C" w:rsidRPr="00566CD3" w:rsidRDefault="00E23324" w:rsidP="009E2BE2">
      <w:pPr>
        <w:pStyle w:val="Level5"/>
        <w:widowControl w:val="0"/>
        <w:tabs>
          <w:tab w:val="clear" w:pos="2722"/>
          <w:tab w:val="num" w:pos="680"/>
        </w:tabs>
        <w:spacing w:after="140" w:line="290" w:lineRule="auto"/>
        <w:ind w:left="680"/>
        <w:jc w:val="both"/>
      </w:pPr>
      <w:r w:rsidRPr="00566CD3">
        <w:t xml:space="preserve">Investidores não residentes no Brasil que estejam domiciliados em Jurisdição de Tributação Favorecida: os rendimentos decorrentes dos investimentos nas Debêntures estarão sujeitos à incidência do IR Fonte, que será cobrado segundo o prazo do investimento nas Debêntures, com a aplicação de alíquotas decrescentes do IR Fonte: </w:t>
      </w:r>
      <w:r w:rsidRPr="00566CD3">
        <w:rPr>
          <w:b/>
        </w:rPr>
        <w:t>(i)</w:t>
      </w:r>
      <w:r w:rsidRPr="00566CD3">
        <w:t xml:space="preserve"> 22,50%, para aplicações com prazo de até 180 dias, </w:t>
      </w:r>
      <w:r w:rsidRPr="00566CD3">
        <w:rPr>
          <w:b/>
        </w:rPr>
        <w:t>(ii)</w:t>
      </w:r>
      <w:r w:rsidRPr="00566CD3">
        <w:t xml:space="preserve"> 20%, para aplicações com prazo de 181 dias até 360 dias, </w:t>
      </w:r>
      <w:r w:rsidRPr="00566CD3">
        <w:rPr>
          <w:b/>
        </w:rPr>
        <w:t>(iii)</w:t>
      </w:r>
      <w:r w:rsidRPr="00566CD3">
        <w:t xml:space="preserve"> 17,50%, para aplicações com prazo de 361 dias até 720 dias, ou </w:t>
      </w:r>
      <w:r w:rsidRPr="00566CD3">
        <w:rPr>
          <w:b/>
        </w:rPr>
        <w:t>(iv)</w:t>
      </w:r>
      <w:r w:rsidRPr="00566CD3">
        <w:t xml:space="preserve"> 15%, para aplicações com prazo acima de 720 dias. Os ganhos auferidos na alienação das Debêntures estarão </w:t>
      </w:r>
      <w:r w:rsidRPr="00566CD3">
        <w:lastRenderedPageBreak/>
        <w:t xml:space="preserve">sujeitos à tributação pelo Imposto de Renda </w:t>
      </w:r>
      <w:r w:rsidRPr="00566CD3">
        <w:rPr>
          <w:b/>
        </w:rPr>
        <w:t>(i)</w:t>
      </w:r>
      <w:r w:rsidRPr="00566CD3">
        <w:t xml:space="preserve"> à alíquota de 15% (quinze por cento) sobre os ganhos auferidos em negociação conduzida em bolsa de valores ou mercado de balcão organizado; ou </w:t>
      </w:r>
      <w:r w:rsidRPr="00566CD3">
        <w:rPr>
          <w:b/>
        </w:rPr>
        <w:t>(ii)</w:t>
      </w:r>
      <w:r w:rsidRPr="00566CD3">
        <w:t xml:space="preserve"> à alíquota de 25% (vinte e cinco por cento) em caso de negociação conduzida em outro ambiente, tal como em mercado de balcão não organizado. Adicionalmente, sobre as operações realizadas em ambiente de bolsa, mercado de balcão organizado ou mercado de balcão não organizado com intermediação, haverá retenção do IR Fonte, à alíquota de 0,005% (cinco milésimos por cento).</w:t>
      </w:r>
    </w:p>
    <w:p w14:paraId="293C7368" w14:textId="77777777" w:rsidR="00E8286C" w:rsidRPr="00566CD3" w:rsidRDefault="00E8286C" w:rsidP="009E2BE2">
      <w:pPr>
        <w:widowControl w:val="0"/>
        <w:spacing w:after="140" w:line="290" w:lineRule="auto"/>
        <w:jc w:val="both"/>
        <w:rPr>
          <w:u w:val="single"/>
        </w:rPr>
      </w:pPr>
      <w:r w:rsidRPr="00566CD3">
        <w:rPr>
          <w:u w:val="single"/>
        </w:rPr>
        <w:t>IOF/Títulos</w:t>
      </w:r>
    </w:p>
    <w:p w14:paraId="0F2415F4" w14:textId="77777777" w:rsidR="00E8286C" w:rsidRPr="00566CD3" w:rsidRDefault="00E23324" w:rsidP="009E2BE2">
      <w:pPr>
        <w:widowControl w:val="0"/>
        <w:spacing w:after="140" w:line="290" w:lineRule="auto"/>
        <w:jc w:val="both"/>
      </w:pPr>
      <w:bookmarkStart w:id="491" w:name="_DV_M574"/>
      <w:bookmarkEnd w:id="491"/>
      <w:r w:rsidRPr="00566CD3">
        <w:t>As operações com Debêntures estão sujeitas ao IOF/Títulos à alíquota de 0% (zero por cento). A alíquota do IOF/Títulos pode ser majorada a qualquer tempo por ato do Poder Executivo, até o percentual de 1,5%</w:t>
      </w:r>
      <w:r w:rsidR="00483D36" w:rsidRPr="00566CD3">
        <w:t xml:space="preserve"> (um inteiro e cinco décimos por cento)</w:t>
      </w:r>
      <w:r w:rsidRPr="00566CD3">
        <w:t xml:space="preserve"> ao dia, embora essa possibilidade seja válida apenas para as transações efetuadas em data futura à majoração da alíquota.</w:t>
      </w:r>
    </w:p>
    <w:p w14:paraId="766AFBD1" w14:textId="77777777" w:rsidR="00E8286C" w:rsidRPr="00566CD3" w:rsidRDefault="00E8286C" w:rsidP="009E2BE2">
      <w:pPr>
        <w:widowControl w:val="0"/>
        <w:spacing w:after="140" w:line="290" w:lineRule="auto"/>
        <w:jc w:val="both"/>
        <w:rPr>
          <w:u w:val="single"/>
        </w:rPr>
      </w:pPr>
      <w:r w:rsidRPr="00566CD3">
        <w:rPr>
          <w:u w:val="single"/>
        </w:rPr>
        <w:t>IOF/Câmbio</w:t>
      </w:r>
    </w:p>
    <w:p w14:paraId="014B7A64" w14:textId="77777777" w:rsidR="00E8286C" w:rsidRPr="00566CD3" w:rsidRDefault="00E23324" w:rsidP="009E2BE2">
      <w:pPr>
        <w:widowControl w:val="0"/>
        <w:spacing w:after="140" w:line="290" w:lineRule="auto"/>
        <w:jc w:val="both"/>
      </w:pPr>
      <w:bookmarkStart w:id="492" w:name="_DV_M586"/>
      <w:bookmarkEnd w:id="492"/>
      <w:r w:rsidRPr="00566CD3">
        <w:t>Conversões de moeda estrangeira para a moeda Brasileira, bem como de moeda Brasileira para moeda estrangeira, porventura geradas no investimento em Debêntures, estarão sujeitas ao IOF/Câmbio. A despeito de atualmente a alíquota do IOF/Câmbio aplicável à maioria das operações de câmbio ser de 0,38%</w:t>
      </w:r>
      <w:r w:rsidR="00483D36" w:rsidRPr="00566CD3">
        <w:t xml:space="preserve"> (trinta e oito centésimos por cento)</w:t>
      </w:r>
      <w:r w:rsidRPr="00566CD3">
        <w:t>, as operações de câmbio conduzidas por investidores residentes e domiciliados no exterior, por ingressarem recursos no Brasil por intermédio dos mecanismos previstos na Resolução CMN 4.373 para fins de investimento nos mercados financeiro e de capitais, e vinculadas às aplicações nas Debêntures estão sujeitas à alíquota de 0% (zero por cento) do IOF/Câmbio. Em qualquer caso, a alíquota do IOF/Câmbio pode ser majorada a qualquer tempo, por ato do Poder Executivo, até o percentual de 25%</w:t>
      </w:r>
      <w:r w:rsidR="00483D36" w:rsidRPr="00566CD3">
        <w:t xml:space="preserve"> (vinte e cinco por cento)</w:t>
      </w:r>
      <w:r w:rsidRPr="00566CD3">
        <w:t>, relativamente a operações ocorridas após tal eventual aumento.</w:t>
      </w:r>
    </w:p>
    <w:p w14:paraId="47A2EC60" w14:textId="77777777" w:rsidR="00E8286C" w:rsidRPr="00566CD3" w:rsidRDefault="00E8286C" w:rsidP="009E2BE2">
      <w:pPr>
        <w:widowControl w:val="0"/>
        <w:spacing w:after="140" w:line="290" w:lineRule="auto"/>
        <w:jc w:val="both"/>
        <w:rPr>
          <w:u w:val="single"/>
        </w:rPr>
      </w:pPr>
      <w:r w:rsidRPr="00566CD3">
        <w:rPr>
          <w:u w:val="single"/>
        </w:rPr>
        <w:t>Outros Impostos válidos no Brasil</w:t>
      </w:r>
    </w:p>
    <w:p w14:paraId="5052F27F" w14:textId="77777777" w:rsidR="00E8286C" w:rsidRPr="00566CD3" w:rsidRDefault="00E23324" w:rsidP="009E2BE2">
      <w:pPr>
        <w:widowControl w:val="0"/>
        <w:spacing w:after="140" w:line="290" w:lineRule="auto"/>
        <w:jc w:val="both"/>
      </w:pPr>
      <w:bookmarkStart w:id="493" w:name="_DV_M592"/>
      <w:bookmarkEnd w:id="493"/>
      <w:r w:rsidRPr="00566CD3">
        <w:t xml:space="preserve">No âmbito federal, o sistema fiscal brasileiro não prevê o pagamento de impostos sobre herança, doações ou </w:t>
      </w:r>
      <w:r w:rsidR="002051C5" w:rsidRPr="00566CD3">
        <w:t>sucessões aplicadas</w:t>
      </w:r>
      <w:r w:rsidRPr="00566CD3">
        <w:t xml:space="preserve"> sobre a propriedade, transmissão ou alienação de capital. Entretanto, impostos sobre doações e herança são cobrados em alguns estados do País sobre transações efetuadas por investidores não residentes em benefício de indivíduos ou instituições domiciliadas ou residentes nessas unidades federativas. Segundo as normas brasileiras, os investidores não residentes não estão sujeitos ao pagamento de impostos ou taxas semelhantes sobre selo, emissão, registro ou similares.</w:t>
      </w:r>
    </w:p>
    <w:p w14:paraId="192DCC5A" w14:textId="77777777" w:rsidR="00E8286C" w:rsidRPr="00566CD3" w:rsidRDefault="00E8286C" w:rsidP="009E2BE2">
      <w:pPr>
        <w:widowControl w:val="0"/>
        <w:spacing w:after="140" w:line="290" w:lineRule="auto"/>
        <w:jc w:val="both"/>
        <w:rPr>
          <w:u w:val="single"/>
        </w:rPr>
      </w:pPr>
      <w:r w:rsidRPr="00566CD3">
        <w:rPr>
          <w:u w:val="single"/>
        </w:rPr>
        <w:t xml:space="preserve">Verificação de Imunidade ou Isenção Tributária dos Debenturistas </w:t>
      </w:r>
    </w:p>
    <w:p w14:paraId="0D0566D9" w14:textId="77777777" w:rsidR="00E8286C" w:rsidRPr="00566CD3" w:rsidRDefault="00E23324" w:rsidP="009E2BE2">
      <w:pPr>
        <w:widowControl w:val="0"/>
        <w:spacing w:after="140" w:line="290" w:lineRule="auto"/>
        <w:jc w:val="both"/>
        <w:rPr>
          <w:spacing w:val="-4"/>
        </w:rPr>
      </w:pPr>
      <w:r w:rsidRPr="00566CD3">
        <w:rPr>
          <w:spacing w:val="-4"/>
        </w:rPr>
        <w:t xml:space="preserve">Caso qualquer Debenturista tenha tratamento tributário diferente daquele previsto na Lei 12.431, este(s) deverá(ão) encaminhar ao </w:t>
      </w:r>
      <w:r w:rsidR="009D09A0" w:rsidRPr="00566CD3">
        <w:rPr>
          <w:spacing w:val="-4"/>
        </w:rPr>
        <w:t>Agente de Liquidação</w:t>
      </w:r>
      <w:r w:rsidRPr="00566CD3">
        <w:rPr>
          <w:spacing w:val="-4"/>
        </w:rPr>
        <w:t xml:space="preserve">, no prazo mínimo de 10 (dez) Dias Úteis anteriores à data prevista para recebimento de valores relativos às Debêntures, documentação </w:t>
      </w:r>
      <w:r w:rsidRPr="00566CD3">
        <w:rPr>
          <w:spacing w:val="-4"/>
        </w:rPr>
        <w:lastRenderedPageBreak/>
        <w:t xml:space="preserve">comprobatória do referido tratamento tributário julgada apropriada pelo </w:t>
      </w:r>
      <w:r w:rsidR="009D09A0" w:rsidRPr="00566CD3">
        <w:rPr>
          <w:spacing w:val="-4"/>
        </w:rPr>
        <w:t>Agente de Liquidação</w:t>
      </w:r>
      <w:r w:rsidRPr="00566CD3">
        <w:rPr>
          <w:spacing w:val="-4"/>
        </w:rPr>
        <w:t>, sob pena de ter descontado de seus pagamentos os valores devidos nos termos da legislação tributária em vigor, como se não fosse imune ou gozasse de isenção tributária</w:t>
      </w:r>
      <w:r w:rsidR="009310B2" w:rsidRPr="00566CD3">
        <w:rPr>
          <w:spacing w:val="-4"/>
        </w:rPr>
        <w:t>.</w:t>
      </w:r>
      <w:r w:rsidRPr="00566CD3">
        <w:rPr>
          <w:spacing w:val="-4"/>
        </w:rPr>
        <w:t xml:space="preserve"> O Debenturista que tenha apresentado documentação comprobatória de sua condição de imunidade ou isenção tributária deverá comunicar esse fato, de forma detalhada e por escrito, ao </w:t>
      </w:r>
      <w:r w:rsidR="009D09A0" w:rsidRPr="00566CD3">
        <w:rPr>
          <w:spacing w:val="-4"/>
        </w:rPr>
        <w:t>Agente de Liquidação</w:t>
      </w:r>
      <w:r w:rsidRPr="00566CD3">
        <w:rPr>
          <w:spacing w:val="-4"/>
        </w:rPr>
        <w:t xml:space="preserve">, bem como prestar qualquer informação adicional em relação ao tema que lhe seja solicitada pelo </w:t>
      </w:r>
      <w:r w:rsidR="009D09A0" w:rsidRPr="00566CD3">
        <w:rPr>
          <w:spacing w:val="-4"/>
        </w:rPr>
        <w:t>Agente de Liquidação</w:t>
      </w:r>
      <w:r w:rsidR="00E06611" w:rsidRPr="00566CD3">
        <w:rPr>
          <w:spacing w:val="-4"/>
        </w:rPr>
        <w:t>.</w:t>
      </w:r>
      <w:r w:rsidR="00E8286C" w:rsidRPr="00566CD3">
        <w:rPr>
          <w:spacing w:val="-4"/>
        </w:rPr>
        <w:t xml:space="preserve"> Caso a documentação comprobatória da imunidade de que trata este parágrafo não seja suficiente para comprová-la, o pagamento será realizado com o desconto da alíquota dos tributos incidentes, nos termos da legislação tributária em vigor e da Lei 12.431</w:t>
      </w:r>
      <w:r w:rsidR="000B3C60" w:rsidRPr="00566CD3">
        <w:rPr>
          <w:spacing w:val="-4"/>
        </w:rPr>
        <w:t>, conforme o caso</w:t>
      </w:r>
      <w:r w:rsidR="00E8286C" w:rsidRPr="00566CD3">
        <w:rPr>
          <w:spacing w:val="-4"/>
        </w:rPr>
        <w:t>.</w:t>
      </w:r>
    </w:p>
    <w:p w14:paraId="2347579E" w14:textId="77777777" w:rsidR="00E8286C" w:rsidRPr="00566CD3" w:rsidRDefault="00E8286C" w:rsidP="009E2BE2">
      <w:pPr>
        <w:widowControl w:val="0"/>
        <w:spacing w:after="140" w:line="290" w:lineRule="auto"/>
        <w:jc w:val="both"/>
      </w:pPr>
      <w:r w:rsidRPr="00566CD3">
        <w:t xml:space="preserve">Será de responsabilidade do </w:t>
      </w:r>
      <w:r w:rsidR="009D09A0" w:rsidRPr="00566CD3">
        <w:t>Agente de Liquidação</w:t>
      </w:r>
      <w:r w:rsidRPr="00566CD3">
        <w:t xml:space="preserve"> a avaliação e validação da imunidade ou isenção tributária, podendo, inclusive, solicitar documentos adicionais para a comprovação de mencionada situação jurídica tributária. Desta forma, enquanto pendente o processo de avaliação, não poderá ser imputada à Emissora ou ao </w:t>
      </w:r>
      <w:r w:rsidR="009D09A0" w:rsidRPr="00566CD3">
        <w:t>Agente de Liquidação</w:t>
      </w:r>
      <w:r w:rsidRPr="00566CD3">
        <w:t xml:space="preserve"> qualquer responsabilidade pelo não pagamento no prazo estabelecido por meio da Escritura de Emissão.</w:t>
      </w:r>
    </w:p>
    <w:p w14:paraId="02F91880" w14:textId="77777777" w:rsidR="00E8286C" w:rsidRPr="00566CD3" w:rsidRDefault="00E8286C" w:rsidP="009E2BE2">
      <w:pPr>
        <w:widowControl w:val="0"/>
        <w:spacing w:after="140" w:line="290" w:lineRule="auto"/>
        <w:jc w:val="both"/>
      </w:pPr>
      <w:r w:rsidRPr="00566CD3">
        <w:t>Mesmo que tenha recebido a documentação comprobatória referida acima, e desde que tenha fundamento legal para tanto, fica facultado à Emissora depositar em juízo ou descontar de quaisquer valores relacionados às Debêntures a tributação que entender devida.</w:t>
      </w:r>
    </w:p>
    <w:p w14:paraId="292DA0A5" w14:textId="77777777" w:rsidR="00E8286C" w:rsidRPr="00566CD3" w:rsidRDefault="00E8286C" w:rsidP="009E2BE2">
      <w:pPr>
        <w:widowControl w:val="0"/>
        <w:spacing w:after="140" w:line="290" w:lineRule="auto"/>
        <w:jc w:val="both"/>
        <w:rPr>
          <w:u w:val="single"/>
        </w:rPr>
      </w:pPr>
      <w:r w:rsidRPr="00566CD3">
        <w:rPr>
          <w:u w:val="single"/>
        </w:rPr>
        <w:t>Multa</w:t>
      </w:r>
    </w:p>
    <w:p w14:paraId="5678B1FC" w14:textId="77777777" w:rsidR="00E8286C" w:rsidRPr="00566CD3" w:rsidRDefault="00E06611" w:rsidP="009E2BE2">
      <w:pPr>
        <w:widowControl w:val="0"/>
        <w:spacing w:after="140" w:line="290" w:lineRule="auto"/>
        <w:jc w:val="both"/>
      </w:pPr>
      <w:r w:rsidRPr="00566CD3">
        <w:t>Considerando a atratividade da tributação relacionada com as Debêntures de Infraestrutura, os tomadores dos recursos captados, e não seus investidores, estão sujeitos à multa, caso os recursos não sejam destinados ao projeto de investimento a eles relacionados, como previsto na Lei 12.431. A referida multa equivale a 20% (vinte por cento) do montante total dos recursos captados não investido no projeto de investimento, e é devida pelo referido emissor à Receita Federal do Brasil.</w:t>
      </w:r>
    </w:p>
    <w:p w14:paraId="6F50EB6F" w14:textId="77777777" w:rsidR="00E8286C" w:rsidRPr="00566CD3" w:rsidRDefault="00E8286C" w:rsidP="009E2BE2">
      <w:pPr>
        <w:widowControl w:val="0"/>
        <w:spacing w:after="140" w:line="290" w:lineRule="auto"/>
        <w:jc w:val="both"/>
        <w:rPr>
          <w:u w:val="single"/>
        </w:rPr>
      </w:pPr>
      <w:r w:rsidRPr="00566CD3">
        <w:rPr>
          <w:u w:val="single"/>
        </w:rPr>
        <w:t>Perda do Tratamento Tributário da Lei 12.431</w:t>
      </w:r>
    </w:p>
    <w:p w14:paraId="0E64E7D4" w14:textId="2F2C256C" w:rsidR="00E8286C" w:rsidRPr="00566CD3" w:rsidRDefault="00E8286C" w:rsidP="009E2BE2">
      <w:pPr>
        <w:widowControl w:val="0"/>
        <w:spacing w:after="140" w:line="290" w:lineRule="auto"/>
        <w:jc w:val="both"/>
      </w:pPr>
      <w:r w:rsidRPr="00566CD3">
        <w:t>Nos termos da Escritura de Emissão, caso a Emissora não utilize os recursos obtidos com a colocação das Debêntures</w:t>
      </w:r>
      <w:r w:rsidR="00E80280" w:rsidRPr="00566CD3">
        <w:t xml:space="preserve"> </w:t>
      </w:r>
      <w:r w:rsidRPr="00566CD3">
        <w:t xml:space="preserve">conforme descrito na seção </w:t>
      </w:r>
      <w:r w:rsidR="002A4B8C" w:rsidRPr="00566CD3">
        <w:t>“</w:t>
      </w:r>
      <w:r w:rsidRPr="00566CD3">
        <w:t>Destinação dos Recursos</w:t>
      </w:r>
      <w:r w:rsidR="002A4B8C" w:rsidRPr="00566CD3">
        <w:t>”</w:t>
      </w:r>
      <w:r w:rsidRPr="00566CD3">
        <w:t xml:space="preserve"> na página </w:t>
      </w:r>
      <w:r w:rsidR="00970229" w:rsidRPr="00D8141D">
        <w:rPr>
          <w:rFonts w:eastAsia="Times New Roman" w:cs="Calibri"/>
          <w:noProof/>
          <w:lang w:eastAsia="pt-BR"/>
        </w:rPr>
        <w:fldChar w:fldCharType="begin"/>
      </w:r>
      <w:r w:rsidR="00970229" w:rsidRPr="00566CD3">
        <w:instrText xml:space="preserve"> PAGEREF _Ref90229652 \h </w:instrText>
      </w:r>
      <w:r w:rsidR="00970229" w:rsidRPr="00D8141D">
        <w:rPr>
          <w:rFonts w:eastAsia="Times New Roman" w:cs="Calibri"/>
          <w:noProof/>
          <w:lang w:eastAsia="pt-BR"/>
        </w:rPr>
      </w:r>
      <w:r w:rsidR="00970229" w:rsidRPr="00D8141D">
        <w:rPr>
          <w:rFonts w:eastAsia="Times New Roman" w:cs="Calibri"/>
          <w:noProof/>
          <w:lang w:eastAsia="pt-BR"/>
        </w:rPr>
        <w:fldChar w:fldCharType="separate"/>
      </w:r>
      <w:r w:rsidR="001166EA">
        <w:rPr>
          <w:noProof/>
        </w:rPr>
        <w:t>145</w:t>
      </w:r>
      <w:r w:rsidR="00970229" w:rsidRPr="00D8141D">
        <w:rPr>
          <w:rFonts w:eastAsia="Times New Roman" w:cs="Calibri"/>
          <w:noProof/>
          <w:lang w:eastAsia="pt-BR"/>
        </w:rPr>
        <w:fldChar w:fldCharType="end"/>
      </w:r>
      <w:r w:rsidRPr="00566CD3">
        <w:t xml:space="preserve"> deste Prospecto, dando causa ao seu desenquadramento</w:t>
      </w:r>
      <w:r w:rsidR="008D4390" w:rsidRPr="00566CD3">
        <w:t>,</w:t>
      </w:r>
      <w:r w:rsidRPr="00566CD3">
        <w:t xml:space="preserve"> nos termos do parágrafo 8º, do artigo 1º da Lei 12.431, a Emissora será responsável pela multa a ser paga nos termos da Lei 12.431, equivalente a 20% (vinte por cento) do valor não alocado no</w:t>
      </w:r>
      <w:r w:rsidR="000B3C60" w:rsidRPr="00566CD3">
        <w:t>s</w:t>
      </w:r>
      <w:r w:rsidRPr="00566CD3">
        <w:t xml:space="preserve"> Projeto</w:t>
      </w:r>
      <w:r w:rsidR="000B3C60" w:rsidRPr="00566CD3">
        <w:t>s</w:t>
      </w:r>
      <w:r w:rsidRPr="00566CD3">
        <w:t>.</w:t>
      </w:r>
    </w:p>
    <w:p w14:paraId="501E7613" w14:textId="0036B937" w:rsidR="00E8286C" w:rsidRPr="00566CD3" w:rsidRDefault="00E23324" w:rsidP="009E2BE2">
      <w:pPr>
        <w:widowControl w:val="0"/>
        <w:spacing w:after="140" w:line="290" w:lineRule="auto"/>
        <w:jc w:val="both"/>
      </w:pPr>
      <w:r w:rsidRPr="00566CD3">
        <w:t xml:space="preserve">Sem prejuízo do disposto acima e sem prejuízo da possibilidade de declaração de vencimento antecipado em razão de descumprimento de legislação e da obrigação de destinação dos recursos, nos termos na seção “Destinação dos Recursos” na página </w:t>
      </w:r>
      <w:r w:rsidR="00210867" w:rsidRPr="00D8141D">
        <w:rPr>
          <w:rFonts w:eastAsia="Times New Roman" w:cs="Calibri"/>
          <w:noProof/>
          <w:lang w:eastAsia="pt-BR"/>
        </w:rPr>
        <w:fldChar w:fldCharType="begin"/>
      </w:r>
      <w:r w:rsidR="00210867" w:rsidRPr="00566CD3">
        <w:instrText xml:space="preserve"> PAGEREF _Ref90229671 \h </w:instrText>
      </w:r>
      <w:r w:rsidR="00210867" w:rsidRPr="00D8141D">
        <w:rPr>
          <w:rFonts w:eastAsia="Times New Roman" w:cs="Calibri"/>
          <w:noProof/>
          <w:lang w:eastAsia="pt-BR"/>
        </w:rPr>
      </w:r>
      <w:r w:rsidR="00210867" w:rsidRPr="00D8141D">
        <w:rPr>
          <w:rFonts w:eastAsia="Times New Roman" w:cs="Calibri"/>
          <w:noProof/>
          <w:lang w:eastAsia="pt-BR"/>
        </w:rPr>
        <w:fldChar w:fldCharType="separate"/>
      </w:r>
      <w:r w:rsidR="001166EA">
        <w:rPr>
          <w:noProof/>
        </w:rPr>
        <w:t>145</w:t>
      </w:r>
      <w:r w:rsidR="00210867" w:rsidRPr="00D8141D">
        <w:rPr>
          <w:rFonts w:eastAsia="Times New Roman" w:cs="Calibri"/>
          <w:noProof/>
          <w:lang w:eastAsia="pt-BR"/>
        </w:rPr>
        <w:fldChar w:fldCharType="end"/>
      </w:r>
      <w:r w:rsidRPr="00566CD3">
        <w:t xml:space="preserve"> deste Prospecto, caso, a qualquer momento durante a vigência da presente Emissão e até a respectiva Data de Vencimento (a) ocorra a perda do benefício tributário previsto na Lei 12.431, em razão do não atendimento, pela Emissora, dos requisitos estabelecidos na Lei 12.431, a Emissora, desde já, se obriga a arcar com todos os </w:t>
      </w:r>
      <w:r w:rsidRPr="00566CD3">
        <w:lastRenderedPageBreak/>
        <w:t xml:space="preserve">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(b) seja editada lei determinando a incidência de imposto sobre a renda retido na fonte sobre a Remuneração devida aos Debenturistas em alíquotas superiores àquelas em vigor na presente data, a Emissora poderá, a seu exclusivo critério, desde que permitido pelas regras expedidas pelo CMN e pela legislação e regulamentação aplicáveis, realizar Oferta de Resgate Antecipado Facultativo, sendo que tal oferta deverá ser realizada em até 30 (trinta) dias a contar da data da edição da lei. Caso os Debenturistas não aceitem tal oferta, estes passarão a arcar com todos os tributos que venham a ser devidos em razão da perda do tratamento tributário previsto na Lei 12.431. Caso a Emissora opte por não realizar a Oferta de Resgate Antecipado Facultativo acima referida, ou esta, por qualquer razão, não seja realizada pela Emissora, a Emissora deverá arcar com os tributos que venham a ser devidos pelos Debenturistas, acrescendo, aos pagamentos de Remuneração, valores adicionais suficientes para que os Debenturistas recebam tais pagamentos como se a incidência de imposto sobre a renda retido na fonte se desse às alíquotas vigentes na data de assinatura </w:t>
      </w:r>
      <w:r w:rsidR="000B6864" w:rsidRPr="00566CD3">
        <w:t>da</w:t>
      </w:r>
      <w:r w:rsidRPr="00566CD3">
        <w:t xml:space="preserve"> Escritura de Emissão, fora do âmbito da B3.</w:t>
      </w:r>
    </w:p>
    <w:p w14:paraId="3BA48A60" w14:textId="77777777" w:rsidR="00E8286C" w:rsidRPr="00566CD3" w:rsidRDefault="00E8286C" w:rsidP="009E2BE2">
      <w:pPr>
        <w:widowControl w:val="0"/>
        <w:spacing w:after="140" w:line="290" w:lineRule="auto"/>
        <w:jc w:val="both"/>
        <w:rPr>
          <w:u w:val="single"/>
        </w:rPr>
      </w:pPr>
      <w:r w:rsidRPr="00566CD3">
        <w:rPr>
          <w:u w:val="single"/>
        </w:rPr>
        <w:t>Prazo de Isenção</w:t>
      </w:r>
    </w:p>
    <w:p w14:paraId="325D45B0" w14:textId="77777777" w:rsidR="00E8286C" w:rsidRPr="00566CD3" w:rsidRDefault="00E23324" w:rsidP="009E2BE2">
      <w:pPr>
        <w:widowControl w:val="0"/>
        <w:spacing w:after="140" w:line="290" w:lineRule="auto"/>
        <w:jc w:val="both"/>
        <w:rPr>
          <w:b/>
        </w:rPr>
      </w:pPr>
      <w:r w:rsidRPr="00566CD3">
        <w:t xml:space="preserve">A Lei 13.043, </w:t>
      </w:r>
      <w:r w:rsidR="002051C5" w:rsidRPr="00566CD3">
        <w:t>de 13 de novembro de 2014, conforme alterada, prorrogou as alíquotas constantes das Debêntures de Infraestrutura, nos termos da Lei 12.431, para emissões que ocorrem até 31 de dezembro de 2030</w:t>
      </w:r>
      <w:r w:rsidR="00E8286C" w:rsidRPr="00566CD3">
        <w:t>.</w:t>
      </w:r>
    </w:p>
    <w:p w14:paraId="3F474F59" w14:textId="77777777" w:rsidR="00E23324" w:rsidRPr="00566CD3" w:rsidRDefault="00E23324" w:rsidP="009E2BE2">
      <w:pPr>
        <w:jc w:val="both"/>
        <w:rPr>
          <w:b/>
          <w:caps/>
          <w:kern w:val="32"/>
        </w:rPr>
      </w:pPr>
      <w:bookmarkStart w:id="494" w:name="_Toc428306471"/>
      <w:bookmarkStart w:id="495" w:name="_Ref434934662"/>
      <w:bookmarkStart w:id="496" w:name="_Ref434934763"/>
      <w:bookmarkStart w:id="497" w:name="_Ref434935494"/>
      <w:bookmarkStart w:id="498" w:name="_Ref434935520"/>
      <w:bookmarkStart w:id="499" w:name="_Ref434935550"/>
      <w:bookmarkStart w:id="500" w:name="_Ref434935577"/>
      <w:bookmarkStart w:id="501" w:name="_Ref434935837"/>
      <w:bookmarkStart w:id="502" w:name="_Ref434935865"/>
      <w:bookmarkStart w:id="503" w:name="_Ref434936671"/>
      <w:bookmarkStart w:id="504" w:name="_Ref434936753"/>
      <w:bookmarkStart w:id="505" w:name="_Ref459515407"/>
      <w:bookmarkStart w:id="506" w:name="_Ref515314604"/>
      <w:r w:rsidRPr="00566CD3">
        <w:br w:type="page"/>
      </w:r>
    </w:p>
    <w:p w14:paraId="056FAF66" w14:textId="46DEAE2C" w:rsidR="00E8286C" w:rsidRPr="00566CD3" w:rsidRDefault="00E8286C" w:rsidP="009E5F9A">
      <w:pPr>
        <w:pStyle w:val="Ttulo1"/>
        <w:keepNext w:val="0"/>
        <w:pageBreakBefore w:val="0"/>
        <w:widowControl w:val="0"/>
        <w:spacing w:after="140" w:line="290" w:lineRule="auto"/>
        <w:rPr>
          <w:caps w:val="0"/>
        </w:rPr>
      </w:pPr>
      <w:bookmarkStart w:id="507" w:name="_Toc90045162"/>
      <w:bookmarkStart w:id="508" w:name="_Toc87002550"/>
      <w:bookmarkStart w:id="509" w:name="_Ref90046184"/>
      <w:bookmarkStart w:id="510" w:name="_Ref90230310"/>
      <w:bookmarkStart w:id="511" w:name="_Toc95928479"/>
      <w:r w:rsidRPr="00566CD3">
        <w:rPr>
          <w:caps w:val="0"/>
        </w:rPr>
        <w:lastRenderedPageBreak/>
        <w:t>FATORES DE RISCO</w:t>
      </w:r>
      <w:bookmarkEnd w:id="430"/>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28A8984C" w14:textId="77777777" w:rsidR="00E8286C" w:rsidRPr="00566CD3" w:rsidRDefault="00E8286C" w:rsidP="009E2BE2">
      <w:pPr>
        <w:widowControl w:val="0"/>
        <w:spacing w:after="140" w:line="290" w:lineRule="auto"/>
        <w:jc w:val="both"/>
        <w:rPr>
          <w:i/>
        </w:rPr>
      </w:pPr>
      <w:r w:rsidRPr="00566CD3">
        <w:rPr>
          <w:i/>
        </w:rPr>
        <w:t>Esta seção contempla, exclusivamente, os fatores de risco diretamente relacionados às Debêntures e à Oferta e não descreve todos os fatores de risco relativos à Emissora e suas atividades ou o mercado que atua, os quais o investidor deve considerar antes de subscrever Debêntures no âmbito da Oferta.</w:t>
      </w:r>
    </w:p>
    <w:p w14:paraId="66E776F2" w14:textId="77777777" w:rsidR="00E8286C" w:rsidRPr="00566CD3" w:rsidRDefault="00E8286C" w:rsidP="009E2BE2">
      <w:pPr>
        <w:widowControl w:val="0"/>
        <w:spacing w:after="140" w:line="290" w:lineRule="auto"/>
        <w:jc w:val="both"/>
        <w:rPr>
          <w:i/>
        </w:rPr>
      </w:pPr>
      <w:r w:rsidRPr="00566CD3">
        <w:rPr>
          <w:i/>
        </w:rPr>
        <w:t xml:space="preserve">O investimento nas Debêntures envolve a exposição a determinados riscos. Antes de tomar qualquer decisão de investimento nas Debêntures, os potenciais investidores devem analisar cuidadosamente todas as informações contidas neste Prospecto e no Formulário de Referência, incorporado por referência a este Prospecto, incluindo os riscos mencionados abaixo e no item </w:t>
      </w:r>
      <w:r w:rsidR="002A4B8C" w:rsidRPr="00566CD3">
        <w:rPr>
          <w:i/>
        </w:rPr>
        <w:t>“</w:t>
      </w:r>
      <w:r w:rsidRPr="00566CD3">
        <w:rPr>
          <w:i/>
        </w:rPr>
        <w:t>4. Fatores de Risco</w:t>
      </w:r>
      <w:r w:rsidR="002A4B8C" w:rsidRPr="00566CD3">
        <w:rPr>
          <w:i/>
        </w:rPr>
        <w:t>”</w:t>
      </w:r>
      <w:r w:rsidRPr="00566CD3">
        <w:rPr>
          <w:i/>
        </w:rPr>
        <w:t xml:space="preserve"> do Formulário de Referência, e as demonstrações financeiras e informações trimestrais (ITR) da Emissora e respectivas notas explicativas incorporadas por referência a este Prospecto.</w:t>
      </w:r>
    </w:p>
    <w:p w14:paraId="58CB0BDD" w14:textId="77777777" w:rsidR="00E8286C" w:rsidRPr="00566CD3" w:rsidRDefault="00E8286C" w:rsidP="009E2BE2">
      <w:pPr>
        <w:widowControl w:val="0"/>
        <w:spacing w:after="140" w:line="290" w:lineRule="auto"/>
        <w:jc w:val="both"/>
        <w:rPr>
          <w:i/>
        </w:rPr>
      </w:pPr>
      <w:r w:rsidRPr="00566CD3">
        <w:rPr>
          <w:i/>
        </w:rPr>
        <w:t xml:space="preserve">A leitura deste Prospecto não substitui a leitura do Formulário de Referência. Os negócios, a situação financeira, os resultados operacionais, o fluxo de caixa, a liquidez e/ou os negócios atuais e futuros da Emissora podem ser afetados de maneira adversa por qualquer dos fatores de risco mencionados abaixo e na seção </w:t>
      </w:r>
      <w:r w:rsidR="002A4B8C" w:rsidRPr="00566CD3">
        <w:rPr>
          <w:i/>
        </w:rPr>
        <w:t>“</w:t>
      </w:r>
      <w:r w:rsidRPr="00566CD3">
        <w:rPr>
          <w:i/>
        </w:rPr>
        <w:t>4. Fatores de Risco</w:t>
      </w:r>
      <w:r w:rsidR="002A4B8C" w:rsidRPr="00566CD3">
        <w:rPr>
          <w:i/>
        </w:rPr>
        <w:t>”</w:t>
      </w:r>
      <w:r w:rsidRPr="00566CD3">
        <w:rPr>
          <w:i/>
        </w:rPr>
        <w:t xml:space="preserve"> do Formulário de Referência. O preço de mercado das Debêntures e a capacidade de pagamento da Emissora podem ser adversamente afetados em razão de qualquer desses e/ou de outros fatores de risco, hipóteses em que os potenciais investidores poderão perder parte substancial ou a totalidade de seu investimento nas Debêntures.</w:t>
      </w:r>
    </w:p>
    <w:p w14:paraId="0092F0FC" w14:textId="77777777" w:rsidR="00E8286C" w:rsidRPr="00566CD3" w:rsidRDefault="00E8286C" w:rsidP="009E2BE2">
      <w:pPr>
        <w:widowControl w:val="0"/>
        <w:spacing w:after="140" w:line="290" w:lineRule="auto"/>
        <w:jc w:val="both"/>
        <w:rPr>
          <w:i/>
        </w:rPr>
      </w:pPr>
      <w:r w:rsidRPr="00566CD3">
        <w:rPr>
          <w:i/>
        </w:rPr>
        <w:t xml:space="preserve">Este Prospecto contém apenas uma descrição resumida dos termos e condições das Debêntures e das obrigações assumidas pela Emissora no âmbito da Oferta. É essencial e indispensável que os Investidores leiam a Escritura de Emissão e compreendam integralmente seus termos e condições, os quais são específicos desta operação. Os potenciais investidores podem perder parte substancial ou todo o seu investimento. </w:t>
      </w:r>
    </w:p>
    <w:p w14:paraId="2033A2E7" w14:textId="77777777" w:rsidR="00E8286C" w:rsidRPr="00566CD3" w:rsidRDefault="00E8286C" w:rsidP="009E2BE2">
      <w:pPr>
        <w:widowControl w:val="0"/>
        <w:spacing w:after="140" w:line="290" w:lineRule="auto"/>
        <w:jc w:val="both"/>
        <w:rPr>
          <w:i/>
        </w:rPr>
      </w:pPr>
      <w:r w:rsidRPr="00566CD3">
        <w:rPr>
          <w:i/>
        </w:rPr>
        <w:t xml:space="preserve">Os riscos descritos abaixo e na seção </w:t>
      </w:r>
      <w:r w:rsidR="002A4B8C" w:rsidRPr="00566CD3">
        <w:rPr>
          <w:i/>
        </w:rPr>
        <w:t>“</w:t>
      </w:r>
      <w:r w:rsidRPr="00566CD3">
        <w:rPr>
          <w:i/>
        </w:rPr>
        <w:t>4. Fatores de Risco</w:t>
      </w:r>
      <w:r w:rsidR="002A4B8C" w:rsidRPr="00566CD3">
        <w:rPr>
          <w:i/>
        </w:rPr>
        <w:t>”</w:t>
      </w:r>
      <w:r w:rsidRPr="00566CD3">
        <w:rPr>
          <w:i/>
        </w:rPr>
        <w:t xml:space="preserve"> do Formulário de Referência são aqueles que a Emissora e o </w:t>
      </w:r>
      <w:r w:rsidR="005609F4" w:rsidRPr="00566CD3">
        <w:rPr>
          <w:i/>
        </w:rPr>
        <w:t>Coordenador Líder</w:t>
      </w:r>
      <w:r w:rsidRPr="00566CD3">
        <w:rPr>
          <w:i/>
        </w:rPr>
        <w:t xml:space="preserve"> conhecem e que acreditam que atualmente podem afetar de maneira adversa as Debêntures e a Oferta e/ou o ambiente macroeconômico, podendo riscos adicionais e incertezas atualmente não conhecidos pela Emissora e pelo </w:t>
      </w:r>
      <w:r w:rsidR="005609F4" w:rsidRPr="00566CD3">
        <w:rPr>
          <w:i/>
        </w:rPr>
        <w:t>Coordenador Líder</w:t>
      </w:r>
      <w:r w:rsidRPr="00566CD3">
        <w:rPr>
          <w:i/>
        </w:rPr>
        <w:t>, ou que estes considerem atualmente irrelevantes, também prejudicar as atividades, situação financeira e resultados operacionais da Emissora, à Oferta e/ou às Debêntures de maneira significativa.</w:t>
      </w:r>
    </w:p>
    <w:p w14:paraId="77FD49F6" w14:textId="77777777" w:rsidR="00E8286C" w:rsidRPr="00566CD3" w:rsidRDefault="00E8286C" w:rsidP="009E2BE2">
      <w:pPr>
        <w:widowControl w:val="0"/>
        <w:spacing w:after="140" w:line="290" w:lineRule="auto"/>
        <w:jc w:val="both"/>
        <w:rPr>
          <w:i/>
        </w:rPr>
      </w:pPr>
      <w:r w:rsidRPr="00566CD3">
        <w:rPr>
          <w:i/>
        </w:rPr>
        <w:t xml:space="preserve">Para os fins desta seção, exceto se expressamente indicado de maneira diversa ou se o contexto assim o exigir, a menção ao fato de que um risco, incerteza ou problema poderá causar ou ter ou causará ou terá </w:t>
      </w:r>
      <w:r w:rsidR="002A4B8C" w:rsidRPr="00566CD3">
        <w:rPr>
          <w:i/>
        </w:rPr>
        <w:t>“</w:t>
      </w:r>
      <w:r w:rsidRPr="00566CD3">
        <w:rPr>
          <w:i/>
        </w:rPr>
        <w:t>efeito adverso</w:t>
      </w:r>
      <w:r w:rsidR="002A4B8C" w:rsidRPr="00566CD3">
        <w:rPr>
          <w:i/>
        </w:rPr>
        <w:t>”</w:t>
      </w:r>
      <w:r w:rsidRPr="00566CD3">
        <w:rPr>
          <w:i/>
        </w:rPr>
        <w:t xml:space="preserve"> ou </w:t>
      </w:r>
      <w:r w:rsidR="002A4B8C" w:rsidRPr="00566CD3">
        <w:rPr>
          <w:i/>
        </w:rPr>
        <w:t>“</w:t>
      </w:r>
      <w:r w:rsidRPr="00566CD3">
        <w:rPr>
          <w:i/>
        </w:rPr>
        <w:t>efeito negativo</w:t>
      </w:r>
      <w:r w:rsidR="002A4B8C" w:rsidRPr="00566CD3">
        <w:rPr>
          <w:i/>
        </w:rPr>
        <w:t>”</w:t>
      </w:r>
      <w:r w:rsidRPr="00566CD3">
        <w:rPr>
          <w:i/>
        </w:rPr>
        <w:t xml:space="preserve"> para a Emissora, ou expressões similares, significa que tal risco, incerteza ou problema poderá ou poderia causar efeito adverso relevante nos negócios, na situação financeira, nos resultados operacionais, no fluxo de caixa, na liquidez e/ou nos negócios atuais e futuros da Emissora, bem como no preço das Debêntures. Expressões similares incluídas nesta seção devem ser compreendidas nesse contexto.</w:t>
      </w:r>
    </w:p>
    <w:p w14:paraId="4B0B6A19" w14:textId="77777777" w:rsidR="00E23324" w:rsidRPr="00D8141D" w:rsidRDefault="00E8286C" w:rsidP="0020727A">
      <w:pPr>
        <w:pStyle w:val="EDP-corpodetexto"/>
        <w:widowControl w:val="0"/>
        <w:spacing w:after="140" w:line="290" w:lineRule="auto"/>
        <w:rPr>
          <w:rFonts w:cs="Calibri"/>
          <w:b/>
          <w:bCs/>
          <w:smallCaps/>
          <w:szCs w:val="24"/>
          <w:lang w:eastAsia="pt-BR"/>
        </w:rPr>
      </w:pPr>
      <w:r w:rsidRPr="00D8141D">
        <w:rPr>
          <w:rFonts w:cs="Calibri"/>
          <w:b/>
          <w:sz w:val="22"/>
          <w:szCs w:val="22"/>
        </w:rPr>
        <w:lastRenderedPageBreak/>
        <w:t>RECOMENDA-SE AOS INVESTIDORES DA OFERTA INTERESSADOS QUE CONTATEM SEUS CONSULTORES JURÍDICOS E FINANCEIROS ANTES DE INVESTIR NAS DEBÊNTURES.</w:t>
      </w:r>
    </w:p>
    <w:p w14:paraId="0FF22FC1" w14:textId="77777777" w:rsidR="00E8286C" w:rsidRPr="00566CD3" w:rsidRDefault="00E8286C" w:rsidP="00DF73F4">
      <w:pPr>
        <w:pStyle w:val="Ttulo1"/>
        <w:keepNext w:val="0"/>
        <w:pageBreakBefore w:val="0"/>
        <w:widowControl w:val="0"/>
        <w:spacing w:after="140" w:line="290" w:lineRule="auto"/>
        <w:jc w:val="left"/>
      </w:pPr>
      <w:bookmarkStart w:id="512" w:name="_Toc87002551"/>
      <w:bookmarkStart w:id="513" w:name="_Toc90045163"/>
      <w:bookmarkStart w:id="514" w:name="_Toc95928480"/>
      <w:r w:rsidRPr="00566CD3">
        <w:t>Fatores de Riscos Relacionados à Emissora e ao Ambiente Macroeconômico</w:t>
      </w:r>
      <w:bookmarkEnd w:id="512"/>
      <w:bookmarkEnd w:id="513"/>
      <w:bookmarkEnd w:id="514"/>
    </w:p>
    <w:p w14:paraId="591EBD74" w14:textId="77777777" w:rsidR="003719E2" w:rsidRPr="00566CD3" w:rsidRDefault="00E8286C" w:rsidP="009E2BE2">
      <w:pPr>
        <w:widowControl w:val="0"/>
        <w:spacing w:after="140" w:line="290" w:lineRule="auto"/>
        <w:jc w:val="both"/>
      </w:pPr>
      <w:r w:rsidRPr="00566CD3">
        <w:t>Os fatores de risco relacionados à Emissora, seus controladores</w:t>
      </w:r>
      <w:r w:rsidR="00A35C5E" w:rsidRPr="00566CD3">
        <w:t>, suas controladas</w:t>
      </w:r>
      <w:r w:rsidRPr="00566CD3">
        <w:t xml:space="preserve">, seus acionistas, seus investidores, ao seu ramo de atuação e ao ambiente macroeconômico estão disponíveis em seu Formulário de Referência, no item </w:t>
      </w:r>
      <w:r w:rsidR="002A4B8C" w:rsidRPr="00566CD3">
        <w:t>“</w:t>
      </w:r>
      <w:r w:rsidRPr="00566CD3">
        <w:t>4.</w:t>
      </w:r>
      <w:r w:rsidR="007D6CA5" w:rsidRPr="00566CD3">
        <w:t>1 e 4.2</w:t>
      </w:r>
      <w:r w:rsidRPr="00566CD3">
        <w:t xml:space="preserve"> Fatores de Risco</w:t>
      </w:r>
      <w:r w:rsidR="002A4B8C" w:rsidRPr="00566CD3">
        <w:t>”</w:t>
      </w:r>
      <w:r w:rsidRPr="00566CD3">
        <w:t>, incorporado por referência a este Prospecto.</w:t>
      </w:r>
    </w:p>
    <w:p w14:paraId="0B56E9C7" w14:textId="77777777" w:rsidR="00E8286C" w:rsidRPr="00566CD3" w:rsidRDefault="00E8286C" w:rsidP="002051C5">
      <w:pPr>
        <w:pStyle w:val="Ttulo1"/>
        <w:keepNext w:val="0"/>
        <w:pageBreakBefore w:val="0"/>
        <w:widowControl w:val="0"/>
        <w:spacing w:after="140" w:line="290" w:lineRule="auto"/>
        <w:jc w:val="left"/>
      </w:pPr>
      <w:bookmarkStart w:id="515" w:name="_Toc87002552"/>
      <w:bookmarkStart w:id="516" w:name="_Ref90046203"/>
      <w:bookmarkStart w:id="517" w:name="_Ref90046525"/>
      <w:bookmarkStart w:id="518" w:name="_Ref90050461"/>
      <w:bookmarkStart w:id="519" w:name="_Ref90051398"/>
      <w:bookmarkStart w:id="520" w:name="_Ref90052092"/>
      <w:bookmarkStart w:id="521" w:name="_Ref90056282"/>
      <w:bookmarkStart w:id="522" w:name="_Ref90056635"/>
      <w:bookmarkStart w:id="523" w:name="_Ref90056663"/>
      <w:bookmarkStart w:id="524" w:name="_Ref90056705"/>
      <w:bookmarkStart w:id="525" w:name="_Ref90058387"/>
      <w:bookmarkStart w:id="526" w:name="_Ref90058749"/>
      <w:bookmarkStart w:id="527" w:name="_Ref90060511"/>
      <w:bookmarkStart w:id="528" w:name="_Ref90061181"/>
      <w:bookmarkStart w:id="529" w:name="_Ref90222734"/>
      <w:bookmarkStart w:id="530" w:name="_Ref90230281"/>
      <w:bookmarkStart w:id="531" w:name="_Ref93411956"/>
      <w:bookmarkStart w:id="532" w:name="_Toc90045164"/>
      <w:bookmarkStart w:id="533" w:name="_Toc95928481"/>
      <w:r w:rsidRPr="00566CD3">
        <w:t xml:space="preserve">Fatores </w:t>
      </w:r>
      <w:r w:rsidR="00A62B36" w:rsidRPr="00566CD3">
        <w:t xml:space="preserve">de </w:t>
      </w:r>
      <w:r w:rsidRPr="00566CD3">
        <w:t xml:space="preserve">Riscos Relacionadas </w:t>
      </w:r>
      <w:r w:rsidR="00A62B36" w:rsidRPr="00566CD3">
        <w:t xml:space="preserve">à </w:t>
      </w:r>
      <w:r w:rsidRPr="00566CD3">
        <w:t xml:space="preserve">Oferta </w:t>
      </w:r>
      <w:r w:rsidR="00A62B36" w:rsidRPr="00566CD3">
        <w:t xml:space="preserve">e às </w:t>
      </w:r>
      <w:r w:rsidRPr="00566CD3">
        <w:t>Debêntures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20533A95" w14:textId="77777777" w:rsidR="00DD04B1" w:rsidRPr="00566CD3" w:rsidRDefault="00091EEF" w:rsidP="00F4417F">
      <w:pPr>
        <w:pStyle w:val="Ttulo1"/>
        <w:keepNext w:val="0"/>
        <w:pageBreakBefore w:val="0"/>
        <w:widowControl w:val="0"/>
        <w:spacing w:after="140" w:line="290" w:lineRule="auto"/>
        <w:jc w:val="left"/>
        <w:rPr>
          <w:b w:val="0"/>
          <w:i/>
        </w:rPr>
      </w:pPr>
      <w:bookmarkStart w:id="534" w:name="_Ref90216386"/>
      <w:bookmarkStart w:id="535" w:name="_Toc95870967"/>
      <w:bookmarkStart w:id="536" w:name="_Toc95900807"/>
      <w:bookmarkStart w:id="537" w:name="_Toc95928482"/>
      <w:bookmarkStart w:id="538" w:name="caso_as_deb_deixem"/>
      <w:r w:rsidRPr="00566CD3">
        <w:rPr>
          <w:i/>
        </w:rPr>
        <w:t xml:space="preserve">As </w:t>
      </w:r>
      <w:r w:rsidR="00F4417F" w:rsidRPr="00566CD3">
        <w:rPr>
          <w:i/>
          <w:caps w:val="0"/>
        </w:rPr>
        <w:t>debêntures podem deixar de satisfazer determinadas características que as enquadrem como debêntures com incentivo fiscal</w:t>
      </w:r>
      <w:bookmarkEnd w:id="534"/>
      <w:bookmarkEnd w:id="535"/>
      <w:bookmarkEnd w:id="536"/>
      <w:bookmarkEnd w:id="537"/>
    </w:p>
    <w:p w14:paraId="33FB1DF4" w14:textId="77777777" w:rsidR="001A7F42" w:rsidRPr="00566CD3" w:rsidRDefault="001A7F42" w:rsidP="009E2BE2">
      <w:pPr>
        <w:widowControl w:val="0"/>
        <w:autoSpaceDE w:val="0"/>
        <w:autoSpaceDN w:val="0"/>
        <w:adjustRightInd w:val="0"/>
        <w:spacing w:after="140" w:line="290" w:lineRule="auto"/>
        <w:ind w:right="20"/>
        <w:jc w:val="both"/>
        <w:rPr>
          <w:spacing w:val="-4"/>
        </w:rPr>
      </w:pPr>
      <w:r w:rsidRPr="00566CD3">
        <w:rPr>
          <w:spacing w:val="-4"/>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Países de Tributação Favorecida (“</w:t>
      </w:r>
      <w:r w:rsidRPr="00566CD3">
        <w:rPr>
          <w:b/>
          <w:spacing w:val="-4"/>
        </w:rPr>
        <w:t>Pessoas Residentes no Exterior</w:t>
      </w:r>
      <w:r w:rsidRPr="00566CD3">
        <w:rPr>
          <w:spacing w:val="-4"/>
        </w:rPr>
        <w:t>”) em decorrência da sua titularidade de, dentre outros, de Debêntures de Infraestrutura, como as Debêntures, e que tenham sido objeto de oferta pública de distribuição por pessoas jurídicas de direito privado não classificadas como instituições financeiras e regulamentadas pelo CMN ou CVM, como a Emissora.</w:t>
      </w:r>
    </w:p>
    <w:p w14:paraId="43B8D97B" w14:textId="77777777" w:rsidR="001A7F42" w:rsidRPr="00566CD3" w:rsidRDefault="001A7F42" w:rsidP="009E2BE2">
      <w:pPr>
        <w:widowControl w:val="0"/>
        <w:autoSpaceDE w:val="0"/>
        <w:autoSpaceDN w:val="0"/>
        <w:adjustRightInd w:val="0"/>
        <w:spacing w:after="140" w:line="290" w:lineRule="auto"/>
        <w:ind w:right="20"/>
        <w:jc w:val="both"/>
      </w:pPr>
      <w:r w:rsidRPr="00566CD3">
        <w:t>Adicionalmente, a Lei 12.431 estabeleceu que os rendimentos auferidos por pessoas físicas residentes ou domiciliadas no Brasil (“</w:t>
      </w:r>
      <w:r w:rsidRPr="00566CD3">
        <w:rPr>
          <w:b/>
        </w:rPr>
        <w:t>Pessoas Físicas Residentes no Brasil</w:t>
      </w:r>
      <w:r w:rsidRPr="00566CD3">
        <w:t>” e, em conjunto com as Pessoas Residentes no Exterior, “</w:t>
      </w:r>
      <w:r w:rsidRPr="00566CD3">
        <w:rPr>
          <w:b/>
        </w:rPr>
        <w:t>Pessoas Elegíveis</w:t>
      </w:r>
      <w:r w:rsidRPr="00566CD3">
        <w:t>”) em decorrência de sua titularidade de Debêntures de Infraestrutura, como as Debêntures, que tenham sido emitidas por concessionária constituída sob a forma de sociedade por ações, para implementar projetos de investimento na área de infraestrutura, como a Emissora, sujeitam-se à incidência do imposto sobre a renda na fonte a alíquota de 0% (zero por cento), desde que os projetos de investimento na área de infraestrutura sejam considerados como prioritários na forma regulamentada pelo Governo Federal.</w:t>
      </w:r>
    </w:p>
    <w:p w14:paraId="257C143C" w14:textId="7727701C" w:rsidR="001A7F42" w:rsidRPr="00566CD3" w:rsidRDefault="001A7F42" w:rsidP="009E2BE2">
      <w:pPr>
        <w:widowControl w:val="0"/>
        <w:autoSpaceDE w:val="0"/>
        <w:autoSpaceDN w:val="0"/>
        <w:adjustRightInd w:val="0"/>
        <w:spacing w:after="140" w:line="290" w:lineRule="auto"/>
        <w:ind w:right="20"/>
        <w:jc w:val="both"/>
      </w:pPr>
      <w:r w:rsidRPr="00566CD3">
        <w:t>São consideradas Debêntures de Infraestrutura as debêntures que, além dos requisitos descritos acima</w:t>
      </w:r>
      <w:r w:rsidR="00E23324" w:rsidRPr="00566CD3">
        <w:t xml:space="preserve"> e no Decreto 8.874</w:t>
      </w:r>
      <w:r w:rsidRPr="00566CD3">
        <w:t xml:space="preserve">, apresentem, cumulativamente, as seguintes características: </w:t>
      </w:r>
      <w:r w:rsidRPr="00566CD3">
        <w:rPr>
          <w:b/>
        </w:rPr>
        <w:t>(i)</w:t>
      </w:r>
      <w:r w:rsidRPr="00566CD3">
        <w:t xml:space="preserve"> sejam remuneradas por taxa de juros prefixada, vinculada </w:t>
      </w:r>
      <w:r w:rsidR="00DA7E57" w:rsidRPr="00566CD3">
        <w:t>à</w:t>
      </w:r>
      <w:r w:rsidRPr="00566CD3">
        <w:t xml:space="preserve"> índice de preço ou à taxa referencial</w:t>
      </w:r>
      <w:r w:rsidR="00DA7E57" w:rsidRPr="00566CD3">
        <w:t xml:space="preserve">; </w:t>
      </w:r>
      <w:r w:rsidRPr="00566CD3">
        <w:rPr>
          <w:b/>
        </w:rPr>
        <w:t>(ii)</w:t>
      </w:r>
      <w:r w:rsidRPr="00566CD3">
        <w:t xml:space="preserve"> não admitam a pactuação total ou parcial de taxa de juros pós-fixada</w:t>
      </w:r>
      <w:r w:rsidR="00DA7E57" w:rsidRPr="00566CD3">
        <w:t xml:space="preserve">; </w:t>
      </w:r>
      <w:r w:rsidRPr="00566CD3">
        <w:rPr>
          <w:b/>
        </w:rPr>
        <w:t>(iii)</w:t>
      </w:r>
      <w:r w:rsidRPr="00566CD3">
        <w:t xml:space="preserve"> apresentem prazo médio ponderado superior a quatro anos</w:t>
      </w:r>
      <w:r w:rsidR="00DA7E57" w:rsidRPr="00566CD3">
        <w:t xml:space="preserve">; </w:t>
      </w:r>
      <w:r w:rsidRPr="00566CD3">
        <w:rPr>
          <w:b/>
        </w:rPr>
        <w:t xml:space="preserve">(iv) </w:t>
      </w:r>
      <w:r w:rsidRPr="00566CD3">
        <w:t>não admitam a sua recompra pelo respectivo emissor nos dois primeiros anos após a sua emissão, tampouco a sua liquidação antecipada por meio de resgate ou pré-pagamento</w:t>
      </w:r>
      <w:r w:rsidR="00DA7E57" w:rsidRPr="00566CD3">
        <w:t xml:space="preserve">; </w:t>
      </w:r>
      <w:r w:rsidRPr="00566CD3">
        <w:rPr>
          <w:b/>
        </w:rPr>
        <w:t>(v)</w:t>
      </w:r>
      <w:r w:rsidRPr="00566CD3">
        <w:t xml:space="preserve"> não estabeleçam compromisso de revenda assumido pelo respectivo titular</w:t>
      </w:r>
      <w:r w:rsidR="00DA7E57" w:rsidRPr="00566CD3">
        <w:t xml:space="preserve">; </w:t>
      </w:r>
      <w:r w:rsidRPr="00566CD3">
        <w:rPr>
          <w:b/>
        </w:rPr>
        <w:t>(vi)</w:t>
      </w:r>
      <w:r w:rsidRPr="00566CD3">
        <w:t xml:space="preserve"> apresentem prazo de pagamento periódico de rendimentos, se existente, com intervalos de, </w:t>
      </w:r>
      <w:r w:rsidRPr="00566CD3">
        <w:lastRenderedPageBreak/>
        <w:t>no mínimo, 180 dias</w:t>
      </w:r>
      <w:r w:rsidR="00DA7E57" w:rsidRPr="00566CD3">
        <w:t xml:space="preserve">; </w:t>
      </w:r>
      <w:r w:rsidRPr="00566CD3">
        <w:rPr>
          <w:b/>
        </w:rPr>
        <w:t>(vii)</w:t>
      </w:r>
      <w:r w:rsidRPr="00566CD3">
        <w:t xml:space="preserve"> comprove-se a sua negociação em mercados regulamentados de valores mobiliários no Brasil</w:t>
      </w:r>
      <w:r w:rsidR="00DA7E57" w:rsidRPr="00566CD3">
        <w:t xml:space="preserve">; </w:t>
      </w:r>
      <w:r w:rsidRPr="00566CD3">
        <w:t xml:space="preserve">e </w:t>
      </w:r>
      <w:r w:rsidRPr="00566CD3">
        <w:rPr>
          <w:b/>
        </w:rPr>
        <w:t>(viii)</w:t>
      </w:r>
      <w:r w:rsidRPr="00566CD3">
        <w:t xml:space="preserve"> os recursos captados com as Debêntures sejam alocados integralmente nos Projetos . Para informações adicionais sobre as Debêntures de Infraestrutura, ver seção “Visão Geral da Lei 12.431” na página </w:t>
      </w:r>
      <w:r w:rsidR="00A91793" w:rsidRPr="00D8141D">
        <w:rPr>
          <w:rFonts w:cs="Calibri"/>
          <w:noProof/>
          <w:lang w:eastAsia="pt-BR"/>
        </w:rPr>
        <w:fldChar w:fldCharType="begin"/>
      </w:r>
      <w:r w:rsidR="00A91793" w:rsidRPr="00566CD3">
        <w:instrText xml:space="preserve"> PAGEREF _Ref90061249 \h </w:instrText>
      </w:r>
      <w:r w:rsidR="00A91793" w:rsidRPr="00D8141D">
        <w:rPr>
          <w:rFonts w:cs="Calibri"/>
          <w:noProof/>
          <w:lang w:eastAsia="pt-BR"/>
        </w:rPr>
      </w:r>
      <w:r w:rsidR="00A91793" w:rsidRPr="00D8141D">
        <w:rPr>
          <w:rFonts w:cs="Calibri"/>
          <w:noProof/>
          <w:lang w:eastAsia="pt-BR"/>
        </w:rPr>
        <w:fldChar w:fldCharType="separate"/>
      </w:r>
      <w:r w:rsidR="001166EA">
        <w:rPr>
          <w:noProof/>
        </w:rPr>
        <w:t>121</w:t>
      </w:r>
      <w:r w:rsidR="00A91793" w:rsidRPr="00D8141D">
        <w:rPr>
          <w:rFonts w:cs="Calibri"/>
          <w:noProof/>
          <w:lang w:eastAsia="pt-BR"/>
        </w:rPr>
        <w:fldChar w:fldCharType="end"/>
      </w:r>
      <w:r w:rsidRPr="00566CD3">
        <w:t xml:space="preserve"> deste Prospecto.</w:t>
      </w:r>
    </w:p>
    <w:p w14:paraId="2420FF64" w14:textId="77777777" w:rsidR="001A7F42" w:rsidRPr="00566CD3" w:rsidRDefault="001A7F42" w:rsidP="009E2BE2">
      <w:pPr>
        <w:widowControl w:val="0"/>
        <w:autoSpaceDE w:val="0"/>
        <w:autoSpaceDN w:val="0"/>
        <w:adjustRightInd w:val="0"/>
        <w:spacing w:after="140" w:line="290" w:lineRule="auto"/>
        <w:ind w:right="23"/>
        <w:jc w:val="both"/>
      </w:pPr>
      <w:r w:rsidRPr="00566CD3">
        <w:t>Dessa forma, caso as Debêntures deixem de satisfazer qualquer uma das características relacionadas nos itens (i) a (viii) do parágrafo anterior, não há como garantir que as Debêntures continuarão a receber o tratamento tributário previsto na Lei 12.431.</w:t>
      </w:r>
    </w:p>
    <w:p w14:paraId="20F25EA5" w14:textId="77777777" w:rsidR="001A7F42" w:rsidRPr="00566CD3" w:rsidRDefault="001A7F42" w:rsidP="009E2BE2">
      <w:pPr>
        <w:widowControl w:val="0"/>
        <w:autoSpaceDE w:val="0"/>
        <w:autoSpaceDN w:val="0"/>
        <w:adjustRightInd w:val="0"/>
        <w:spacing w:after="140" w:line="290" w:lineRule="auto"/>
        <w:ind w:right="23"/>
        <w:jc w:val="both"/>
      </w:pPr>
      <w:r w:rsidRPr="00566CD3">
        <w:t xml:space="preserve">Nessa hipótese, não há como garantir que os rendimentos auferidos em decorrência da titularidade das Debêntures pelas Pessoas Elegíveis continuarão a ser tributada a alíquota de 0% (zero por cento), passando a ser tributados </w:t>
      </w:r>
      <w:r w:rsidR="00DA7E57" w:rsidRPr="00566CD3">
        <w:t>à</w:t>
      </w:r>
      <w:r w:rsidRPr="00566CD3">
        <w:t xml:space="preserve">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que não tribute a renda ou a tribute à alíquota máxima inferior a 20% (vinte por cento). Da mesma forma, não há como garantir que os rendimentos auferidos desde a </w:t>
      </w:r>
      <w:r w:rsidR="00DD04B1" w:rsidRPr="00566CD3">
        <w:t>primeira Data de Integralização</w:t>
      </w:r>
      <w:r w:rsidRPr="00566CD3">
        <w:t xml:space="preserve"> das Debêntures não serão cobrados pelas autoridades brasileiras competentes, acrescido</w:t>
      </w:r>
      <w:r w:rsidR="00E23324" w:rsidRPr="00566CD3">
        <w:t>s</w:t>
      </w:r>
      <w:r w:rsidRPr="00566CD3">
        <w:t xml:space="preserve"> de juros calculados segundo a taxa SELIC e multa. Além disso, não há como garantir que a Lei 12.431 não será novamente alterada, questionada, </w:t>
      </w:r>
      <w:r w:rsidR="00DA7E57" w:rsidRPr="00566CD3">
        <w:t xml:space="preserve">revogada </w:t>
      </w:r>
      <w:r w:rsidRPr="00566CD3">
        <w:t>ou substituída por leis mais restritivas, o que poderia afetar ou comprometer o tratamento tributário previsto na Lei 12.431 conferido às Debêntures.</w:t>
      </w:r>
    </w:p>
    <w:p w14:paraId="0D25A614" w14:textId="1CA7A3EB" w:rsidR="00E8286C" w:rsidRPr="00566CD3" w:rsidRDefault="001A7F42" w:rsidP="009E2BE2">
      <w:pPr>
        <w:widowControl w:val="0"/>
        <w:spacing w:after="140" w:line="290" w:lineRule="auto"/>
        <w:jc w:val="both"/>
      </w:pPr>
      <w:r w:rsidRPr="00566CD3">
        <w:t xml:space="preserve">Adicionalmente, na hipótese de não aplicação dos recursos oriundos da Oferta das Debêntures nos Projetos, é estabelecida uma penalidade de 20% (vinte por cento) sobre o valor não destinado aos Projetos, ainda que, em caso de penalidade, seja mantido o tratamento tributário diferenciado previsto na Lei 12.431 aos investidores nas Debêntures que sejam Pessoas Elegíveis. Além disso, não há como garantir que </w:t>
      </w:r>
      <w:r w:rsidR="00E23324" w:rsidRPr="00566CD3">
        <w:t xml:space="preserve">a Emissora terá </w:t>
      </w:r>
      <w:r w:rsidRPr="00566CD3">
        <w:t xml:space="preserve">recursos suficientes para o pagamento dessa penalidade ou, se tiver, que isso não terá um efeito adverso para a </w:t>
      </w:r>
      <w:r w:rsidR="00B8282C" w:rsidRPr="00566CD3">
        <w:t>Emissora</w:t>
      </w:r>
      <w:r w:rsidRPr="00566CD3">
        <w:t>.</w:t>
      </w:r>
      <w:bookmarkEnd w:id="538"/>
    </w:p>
    <w:p w14:paraId="78610156" w14:textId="77777777" w:rsidR="00E8286C" w:rsidRPr="00566CD3" w:rsidRDefault="00E8286C" w:rsidP="0016572D">
      <w:pPr>
        <w:pStyle w:val="Ttulo1"/>
        <w:keepNext w:val="0"/>
        <w:pageBreakBefore w:val="0"/>
        <w:widowControl w:val="0"/>
        <w:spacing w:after="140" w:line="290" w:lineRule="auto"/>
        <w:jc w:val="left"/>
        <w:rPr>
          <w:i/>
          <w:caps w:val="0"/>
        </w:rPr>
      </w:pPr>
      <w:bookmarkStart w:id="539" w:name="_Ref90058358"/>
      <w:bookmarkStart w:id="540" w:name="_Toc95870968"/>
      <w:bookmarkStart w:id="541" w:name="_Toc95900808"/>
      <w:bookmarkStart w:id="542" w:name="_Toc95928483"/>
      <w:bookmarkStart w:id="543" w:name="espécie_quirografaria"/>
      <w:r w:rsidRPr="00566CD3">
        <w:rPr>
          <w:i/>
          <w:caps w:val="0"/>
        </w:rPr>
        <w:t>As Debêntures são da espécie quirografária, sem quaisquer garantias reais</w:t>
      </w:r>
      <w:r w:rsidR="00A35C5E" w:rsidRPr="00566CD3">
        <w:rPr>
          <w:i/>
          <w:caps w:val="0"/>
        </w:rPr>
        <w:t>, fidejussórias</w:t>
      </w:r>
      <w:r w:rsidRPr="00566CD3">
        <w:rPr>
          <w:i/>
          <w:caps w:val="0"/>
        </w:rPr>
        <w:t xml:space="preserve"> e sem preferência.</w:t>
      </w:r>
      <w:bookmarkEnd w:id="539"/>
      <w:bookmarkEnd w:id="540"/>
      <w:bookmarkEnd w:id="541"/>
      <w:bookmarkEnd w:id="542"/>
    </w:p>
    <w:bookmarkEnd w:id="543"/>
    <w:p w14:paraId="3C7D49A9" w14:textId="77777777" w:rsidR="00E8286C" w:rsidRPr="00566CD3" w:rsidRDefault="00E8286C" w:rsidP="009E2BE2">
      <w:pPr>
        <w:widowControl w:val="0"/>
        <w:spacing w:after="140" w:line="290" w:lineRule="auto"/>
        <w:jc w:val="both"/>
      </w:pPr>
      <w:r w:rsidRPr="00566CD3">
        <w:t>As Debêntures não contarão com qualquer garantia real</w:t>
      </w:r>
      <w:r w:rsidR="00A35C5E" w:rsidRPr="00566CD3">
        <w:t>, fidejussória</w:t>
      </w:r>
      <w:r w:rsidRPr="00566CD3">
        <w:t xml:space="preserve"> ou preferência em relação aos demais credores da Emissora, pois são da espécie quirografária. Dessa forma, na hipótese de eventual falência da Emissora, os titulares das Debêntures estarão subordinados aos demais credores da Emissora que contarem com garantia real ou privilégio (em atendimento ao critério legal de classificação dos créditos na falência). Em caso de falência da Emissora, não há como garantir que os titulares das Debêntures receberão a totalidade ou mesmo parte dos seus créditos.</w:t>
      </w:r>
    </w:p>
    <w:p w14:paraId="2786D3E9" w14:textId="77777777" w:rsidR="00A62A7E" w:rsidRDefault="00A62A7E">
      <w:pPr>
        <w:spacing w:after="0" w:line="240" w:lineRule="auto"/>
        <w:rPr>
          <w:b/>
          <w:i/>
        </w:rPr>
      </w:pPr>
      <w:r>
        <w:rPr>
          <w:b/>
          <w:i/>
        </w:rPr>
        <w:br w:type="page"/>
      </w:r>
    </w:p>
    <w:p w14:paraId="2D7FB755" w14:textId="5EE237E2" w:rsidR="00091EEF" w:rsidRPr="00566CD3" w:rsidRDefault="00091EEF" w:rsidP="009E2BE2">
      <w:pPr>
        <w:widowControl w:val="0"/>
        <w:spacing w:after="140" w:line="290" w:lineRule="auto"/>
        <w:jc w:val="both"/>
        <w:rPr>
          <w:b/>
          <w:i/>
        </w:rPr>
      </w:pPr>
      <w:r w:rsidRPr="00566CD3">
        <w:rPr>
          <w:b/>
          <w:i/>
        </w:rPr>
        <w:lastRenderedPageBreak/>
        <w:t>É possível que decisões judiciais, administrativas ou arbitrais futuras prejudiquem a estrutura da Oferta</w:t>
      </w:r>
    </w:p>
    <w:p w14:paraId="17A8F0AD" w14:textId="77777777" w:rsidR="00091EEF" w:rsidRPr="00566CD3" w:rsidRDefault="00091EEF" w:rsidP="00091EEF">
      <w:pPr>
        <w:autoSpaceDE w:val="0"/>
        <w:autoSpaceDN w:val="0"/>
        <w:adjustRightInd w:val="0"/>
        <w:jc w:val="both"/>
      </w:pPr>
      <w:r w:rsidRPr="00566CD3">
        <w:t xml:space="preserve">Não pode ser afastada a hipótese de decisões judiciais, administrativas ou arbitrais futuras que possam ser contrárias ao disposto nos documentos da Oferta. Além disso, toda a estrutura de emissão e remuneração das Debêntures foi realizada com base em disposições legais vigentes atualmente. Dessa forma, eventuais restrições de natureza legal ou regulatória, que possam vir a ser editadas podem afetar adversamente a validade da Emissão, podendo gerar perda do capital investido pelos Debenturistas, caso tais decisões tenham efeitos retroativos. </w:t>
      </w:r>
    </w:p>
    <w:p w14:paraId="14A3E490" w14:textId="77777777" w:rsidR="00E8286C" w:rsidRPr="00566CD3" w:rsidRDefault="00E8286C" w:rsidP="009E2BE2">
      <w:pPr>
        <w:widowControl w:val="0"/>
        <w:spacing w:after="140" w:line="290" w:lineRule="auto"/>
        <w:jc w:val="both"/>
        <w:rPr>
          <w:b/>
          <w:i/>
        </w:rPr>
      </w:pPr>
      <w:r w:rsidRPr="00566CD3">
        <w:rPr>
          <w:b/>
          <w:i/>
        </w:rPr>
        <w:t>A volatilidade do mercado de capitais brasileiro e a baixa liquidez do mercado secundário brasileiro de debêntures pode dificultar a venda das Debêntures e afetar o valor a ser recebido por seus titulares.</w:t>
      </w:r>
    </w:p>
    <w:p w14:paraId="6E842AC5" w14:textId="77777777" w:rsidR="00E8286C" w:rsidRPr="00566CD3" w:rsidRDefault="00E8286C" w:rsidP="009E2BE2">
      <w:pPr>
        <w:widowControl w:val="0"/>
        <w:spacing w:after="140" w:line="290" w:lineRule="auto"/>
        <w:jc w:val="both"/>
      </w:pPr>
      <w:r w:rsidRPr="00566CD3">
        <w:t xml:space="preserve">O investimento em valores mobiliários negociados em países de economia emergente, tais como o Brasil, envolve </w:t>
      </w:r>
      <w:r w:rsidR="00B22FEF" w:rsidRPr="00566CD3">
        <w:t>maior</w:t>
      </w:r>
      <w:r w:rsidRPr="00566CD3">
        <w:t xml:space="preserve"> risco se comparado a investimentos em valores mobiliários de empresas localizadas em mercados de títulos</w:t>
      </w:r>
      <w:r w:rsidR="00E23324" w:rsidRPr="00566CD3">
        <w:t xml:space="preserve"> e valores mobiliários</w:t>
      </w:r>
      <w:r w:rsidRPr="00566CD3">
        <w:t xml:space="preserve"> internacionais. O mercado de capitais brasileiro é significativamente menor, menos líquido, mais concentrado e mais volátil do que alguns mercados internacionais, como o dos Estados Unidos.</w:t>
      </w:r>
    </w:p>
    <w:p w14:paraId="5F69CC30" w14:textId="77777777" w:rsidR="00E8286C" w:rsidRPr="00566CD3" w:rsidRDefault="00E8286C" w:rsidP="009E2BE2">
      <w:pPr>
        <w:widowControl w:val="0"/>
        <w:spacing w:after="140" w:line="290" w:lineRule="auto"/>
        <w:jc w:val="both"/>
      </w:pPr>
      <w:r w:rsidRPr="00566CD3">
        <w:t>Atualmente, o mercado secundário brasileiro apresenta baixa liquidez para negociações de debêntures. Os subscritores das Debêntures não têm nenhuma garantia de que no futuro terão um mercado líquido em que possam negociar a alienação desses títulos, caso queiram optar pelo desinvestimento. Isso pode trazer dificuldades aos titulares de Debêntures que queiram vendê-las no mercado secundário.</w:t>
      </w:r>
    </w:p>
    <w:p w14:paraId="78CB3AC1" w14:textId="77777777" w:rsidR="00E8286C" w:rsidRPr="00566CD3" w:rsidRDefault="00E8286C" w:rsidP="009E2BE2">
      <w:pPr>
        <w:widowControl w:val="0"/>
        <w:spacing w:after="140" w:line="290" w:lineRule="auto"/>
        <w:jc w:val="both"/>
        <w:rPr>
          <w:b/>
          <w:i/>
        </w:rPr>
      </w:pPr>
      <w:r w:rsidRPr="00566CD3">
        <w:rPr>
          <w:b/>
          <w:i/>
        </w:rPr>
        <w:t>A percepção de riscos em outros países, especialmente nos países de economia emergente, poderá afetar o valor de mercado de títulos e de valores mobiliários brasileiros, incluindo as Debêntures.</w:t>
      </w:r>
    </w:p>
    <w:p w14:paraId="2799FED8" w14:textId="77777777" w:rsidR="00E8286C" w:rsidRPr="00566CD3" w:rsidRDefault="00091EEF" w:rsidP="00091EEF">
      <w:pPr>
        <w:widowControl w:val="0"/>
        <w:spacing w:after="140" w:line="290" w:lineRule="auto"/>
        <w:jc w:val="both"/>
      </w:pPr>
      <w:r w:rsidRPr="00566CD3">
        <w:t>O valor de mercado de valores mobiliários de emissão de companhias brasileiras é influenciado, em diferentes graus, pelas condições econômicas e de mercado do Brasil e de outros países, inclusive Estados Unidos, países membros da União Europeia e de economias emergentes. A reação dos investidores aos acontecimentos nesses países pode causar um efeito adverso sobre o valor de mercado dos valores mobiliários de companhias brasileiras, inclusive das Debêntures. Crises no Brasil, nos Estados Unidos, na União Europeia ou em países de economia emergente podem reduzir o interesse dos investidores nos valores mobiliários das companhias brasileiras, inclusive os valores mobiliários de emissão da Companhia</w:t>
      </w:r>
      <w:r w:rsidR="00E8286C" w:rsidRPr="00566CD3">
        <w:t>.</w:t>
      </w:r>
    </w:p>
    <w:p w14:paraId="59D25A57" w14:textId="77777777" w:rsidR="00091EEF" w:rsidRPr="00566CD3" w:rsidRDefault="00091EEF" w:rsidP="00091EEF">
      <w:pPr>
        <w:widowControl w:val="0"/>
        <w:spacing w:after="140" w:line="290" w:lineRule="auto"/>
        <w:jc w:val="both"/>
      </w:pPr>
      <w:r w:rsidRPr="00566CD3">
        <w:t>Adicionalmente, a economia brasileira é afetada pelas condições de mercado e pelas condições econômicas internacionais, especialmente, pelas condições econômicas dos Estados Unidos. Os preços das ações na B3 S.A. Brasil, Bolsa, Balcão, por exemplo, são altamente afetados pelas flutuações nas taxas de juros dos Estados Unidos e pelo comportamento das principais bolsas norte-</w:t>
      </w:r>
      <w:r w:rsidRPr="00566CD3">
        <w:lastRenderedPageBreak/>
        <w:t>americanas. Qualquer aumento nas taxas de juros em outros países, especialmente os Estados Unidos, poderá reduzir a liquidez global e o interesse do investidor em realizar investimentos no mercado de capitais brasileiro.</w:t>
      </w:r>
    </w:p>
    <w:p w14:paraId="75E0AC72" w14:textId="77777777" w:rsidR="00091EEF" w:rsidRPr="00A62A7E" w:rsidRDefault="00091EEF" w:rsidP="00091EEF">
      <w:pPr>
        <w:widowControl w:val="0"/>
        <w:spacing w:after="140" w:line="290" w:lineRule="auto"/>
        <w:jc w:val="both"/>
        <w:rPr>
          <w:spacing w:val="-4"/>
        </w:rPr>
      </w:pPr>
      <w:r w:rsidRPr="00A62A7E">
        <w:rPr>
          <w:spacing w:val="-4"/>
        </w:rPr>
        <w:t>Não é possível assegurar que o mercado de capitais brasileiro estará aberto às companhias brasileiras e que os custos de financiamento no mercado sejam favoráveis às companhias brasileiras. Crises políticas ou econômicas no Brasil e em mercados emergentes podem reduzir o interesse do investidor por valores mobiliários de companhias brasileiras, inclusive os valores mobiliários emitidos pela Companhia. Isso poderá afetar a liquidez e o preço de mercado das Debêntures, bem como poderá afetar o seu futuro acesso ao mercado de capitais brasileiros e a financiamentos em termos aceitáveis, o que poderá afetar adversamente o preço de mercado das Debêntures.</w:t>
      </w:r>
    </w:p>
    <w:p w14:paraId="47448062" w14:textId="77777777" w:rsidR="00091EEF" w:rsidRPr="00566CD3" w:rsidRDefault="00091EEF" w:rsidP="001A4D54">
      <w:pPr>
        <w:widowControl w:val="0"/>
        <w:spacing w:after="140"/>
        <w:jc w:val="both"/>
        <w:rPr>
          <w:b/>
          <w:i/>
        </w:rPr>
      </w:pPr>
      <w:bookmarkStart w:id="544" w:name="eventual_rebaixamento_na_class"/>
      <w:r w:rsidRPr="00566CD3">
        <w:rPr>
          <w:b/>
          <w:i/>
        </w:rPr>
        <w:t>O surto de doenças transmissíveis no Brasil e/ou no mundo, a exemplo da pandemia declarada pela Organização Mundial da Saúde (“OMS”) em razão da disseminação do novo Coronavírus (COVID-19), provocou e pode continuar provocando um efeito adverso em nossas operações. A extensão da pandemia do COVID-19, a percepção de seus efeitos, ou a forma pela qual tal pandemia impactará os nossos negócios depende de desenvolvimentos futuros, que são altamente incertos e imprevisíveis, podendo resultar em um efeito adverso relevante para os negócios, condições financeiras, resultados das operações e fluxos de caixa e, finalmente, a nossa capacidade de continuar operando os nossos negócios.</w:t>
      </w:r>
    </w:p>
    <w:p w14:paraId="29FE09E4" w14:textId="77777777" w:rsidR="00091EEF" w:rsidRPr="00566CD3" w:rsidRDefault="00091EEF" w:rsidP="009E2BE2">
      <w:pPr>
        <w:widowControl w:val="0"/>
        <w:spacing w:after="140" w:line="290" w:lineRule="auto"/>
        <w:jc w:val="both"/>
      </w:pPr>
      <w:r w:rsidRPr="00566CD3">
        <w:t>Em dezembro de 2019, foi relatado que a COVID-19 surgiu em Wuhan, China. Em março de 2020, a OMS declarou como pandêmico o surto de COVID-19, desencadeando severas medidas por parte de autoridades governamentais no mundo todo, a fim de tentar controlar o surto, resultando em medidas restritivas relacionadas ao fluxo de pessoas, incluindo quarentena e lockdown, restrições às viagens e transportes públicos. Tais medidas influenciaram o comportamento da população em geral, incluindo nossos passageiros, resultando na acentuada queda ou até mesmo na paralisação das atividades de empresas de diversos setores.</w:t>
      </w:r>
    </w:p>
    <w:p w14:paraId="11CE44F3" w14:textId="77777777" w:rsidR="00091EEF" w:rsidRPr="00566CD3" w:rsidRDefault="00091EEF" w:rsidP="00091EEF">
      <w:pPr>
        <w:widowControl w:val="0"/>
        <w:spacing w:after="140" w:line="290" w:lineRule="auto"/>
        <w:jc w:val="both"/>
      </w:pPr>
      <w:r w:rsidRPr="00566CD3">
        <w:t>Além disso, uma recessão e/ou desaceleração econômica global, notadamente no Brasil, incluindo aumento do desemprego, que pode resultar em menor atividade comercial, tanto durante a pandemia do COVID-19 quanto depois que o surto diminuir. Como resultado, acreditamos que a pandemia provocada pelo novo Coronavírus continuará a afetar negativamente nossos negócios, condição financeira, resultados operacionais, liquidez e fluxos de caixa.</w:t>
      </w:r>
    </w:p>
    <w:p w14:paraId="3137DEF1" w14:textId="77777777" w:rsidR="00091EEF" w:rsidRPr="00566CD3" w:rsidRDefault="00091EEF" w:rsidP="00091EEF">
      <w:pPr>
        <w:widowControl w:val="0"/>
        <w:spacing w:after="140" w:line="290" w:lineRule="auto"/>
        <w:jc w:val="both"/>
      </w:pPr>
      <w:r w:rsidRPr="00566CD3">
        <w:t>A extensão do impacto que a COVID-19 terá em nossos negócios ainda depende de desenvolvimentos futuros, que são incertos e não podem ser previstos e estão fora de nosso controle, incluindo novas informações que podem rapidamente surgir sobre o escopo do surto, as ações para contê-lo ou tratar seu impacto e novas ondas de disseminação da doença, entre outros. A pandemia do vírus COVID-19 resultou em uma volatilidade significativa no mercado financeiro e incerteza em todo o mundo. Portanto, o valor de mercado de nossas ações pode ser afetado adversamente por eventos que ocorrem dentro ou fora do Brasil.</w:t>
      </w:r>
    </w:p>
    <w:p w14:paraId="47709406" w14:textId="77777777" w:rsidR="00091EEF" w:rsidRPr="00566CD3" w:rsidRDefault="00091EEF" w:rsidP="00091EEF">
      <w:pPr>
        <w:widowControl w:val="0"/>
        <w:spacing w:after="140" w:line="290" w:lineRule="auto"/>
        <w:jc w:val="both"/>
      </w:pPr>
      <w:r w:rsidRPr="00566CD3">
        <w:lastRenderedPageBreak/>
        <w:t>Não conseguimos garantir que outros surtos regionais e/ou globais não acontecerão. E, caso aconteçam, não conseguimos garantir que seremos capazes de tomar as providências necessárias para impedir um impacto negativo nos nossos negócios de dimensão igual ou até superior ao impacto provocado pela pandemia do COVID-19.</w:t>
      </w:r>
    </w:p>
    <w:p w14:paraId="44EB872A" w14:textId="77777777" w:rsidR="00091EEF" w:rsidRPr="00566CD3" w:rsidRDefault="00091EEF" w:rsidP="001A4D54">
      <w:pPr>
        <w:widowControl w:val="0"/>
        <w:spacing w:after="140"/>
        <w:jc w:val="both"/>
      </w:pPr>
      <w:r w:rsidRPr="00566CD3">
        <w:t>Surtos ou potenciais surtos de doenças, tais como o Coronavírus (COVID-19), Zika, Ebola, gripe aviária, febre aftosa, gripe suína, Síndrome Respiratória do Oriente Médio, ou MERS, e Síndrome Respiratória Aguda Severa, ou SARS, podem ter um impacto adverso sobre viagens aéreas globais. Qualquer surto de uma doença que afete o comportamento das pessoas ou que demande políticas públicas de restrição à circulação de pessoas e/ou de contato social pode ter um impacto adverso nos nossos negócios, bem como na economia brasileira.</w:t>
      </w:r>
    </w:p>
    <w:p w14:paraId="1AAD400F" w14:textId="77777777" w:rsidR="00091EEF" w:rsidRPr="00566CD3" w:rsidRDefault="00091EEF" w:rsidP="00091EEF">
      <w:pPr>
        <w:widowControl w:val="0"/>
        <w:spacing w:after="140" w:line="290" w:lineRule="auto"/>
        <w:jc w:val="both"/>
      </w:pPr>
      <w:r w:rsidRPr="00566CD3">
        <w:t>Não temos conhecimento de eventos comparáveis que possam nos fornecer uma orientação quanto ao efeito da disseminação do COVID-19 e de uma pandemia global e, como resultado, o impacto final do surto do COVID-19 é altamente incerto. Para informações sobre o impacto do COVID em nossos negócios, vide itens 4.1 e 10.9 do Formulário de Referência incorporado por referência a este Prospecto. Até a data deste Prospecto, as informações disponíveis a respeito do impacto do surto do COVID-19 em nossos negócios foram apresentadas nos itens 7.1, 10.1, 10.8 e 10.9 do Formulário de Referência incorporado por referência a este Prospecto. Na data deste Prospecto, não é possível assegurar se, futuramente, tal avaliação será prejudicada ou a extensão de tais prejuízos, tampouco é possível assegurar que não haverá incertezas materiais na capacidade da nossa Companhia continuar operando nossos negócios.</w:t>
      </w:r>
    </w:p>
    <w:p w14:paraId="037F4536" w14:textId="77777777" w:rsidR="007F102A" w:rsidRPr="00566CD3" w:rsidRDefault="007F102A" w:rsidP="009E2BE2">
      <w:pPr>
        <w:widowControl w:val="0"/>
        <w:spacing w:after="140" w:line="290" w:lineRule="auto"/>
        <w:jc w:val="both"/>
        <w:rPr>
          <w:b/>
          <w:i/>
        </w:rPr>
      </w:pPr>
      <w:r w:rsidRPr="00566CD3">
        <w:rPr>
          <w:b/>
          <w:i/>
        </w:rPr>
        <w:t xml:space="preserve">A modificação das práticas contábeis utilizadas para cálculo do Índice Financeiro pode afetar negativa a percepção de risco dos investidores e gerar efeitos adversos nos preços dos valores mobiliários da Emissora no mercado secundário. </w:t>
      </w:r>
    </w:p>
    <w:p w14:paraId="448EE037" w14:textId="77777777" w:rsidR="007F102A" w:rsidRPr="00566CD3" w:rsidRDefault="007F102A" w:rsidP="007F102A">
      <w:pPr>
        <w:widowControl w:val="0"/>
        <w:spacing w:after="140" w:line="290" w:lineRule="auto"/>
        <w:jc w:val="both"/>
      </w:pPr>
      <w:r w:rsidRPr="00566CD3">
        <w:t>O Índice Financeiro estabelecido na Escritura de Emissão será calculado em conformidade com as práticas contábeis vigentes quando da publicação pela Emissora de suas informações financeiras, sendo que não há qualquer garantia que as práticas contábeis não serão alteradas ou que não poderá haver divergência em sua interpretação. A percepção de risco dos investidores poderá ser afetada negativamente, uma vez que pode haver divergência entre a forma como o Índice Financeiro será efetivamente calculado e a forma como seria calculado caso o cálculo fosse feito de acordo com as práticas contábeis modificadas. Adicionalmente, essa prática pode gerar efeitos adversos nos preços dos valores mobiliários da Emissora no mercado secundário, incluindo, mas a tanto não se limitando, o preço das Debêntures da presente Emissão.</w:t>
      </w:r>
    </w:p>
    <w:p w14:paraId="383C6F47" w14:textId="77777777" w:rsidR="007F102A" w:rsidRPr="00566CD3" w:rsidRDefault="007F102A" w:rsidP="007F102A">
      <w:pPr>
        <w:widowControl w:val="0"/>
        <w:spacing w:after="140" w:line="290" w:lineRule="auto"/>
        <w:jc w:val="both"/>
        <w:rPr>
          <w:spacing w:val="-4"/>
        </w:rPr>
      </w:pPr>
      <w:r w:rsidRPr="00566CD3">
        <w:rPr>
          <w:spacing w:val="-4"/>
        </w:rPr>
        <w:t>Além disso, a alteração do cálculo do Índice Financeiro poderá (i) acarretar uma redução do horizonte original de investimento esperado pelos Debenturistas; e/ou (ii) gerar dificuldade de reinvestimento do capital investido pelos Debenturistas à mesma taxa estabelecida para as Debêntures uma vez que poderá ser difícil encontrar valores mobiliários com as mesmas condições das Debêntures.</w:t>
      </w:r>
    </w:p>
    <w:p w14:paraId="0185D3B5" w14:textId="77777777" w:rsidR="00E8286C" w:rsidRPr="00566CD3" w:rsidRDefault="00E8286C" w:rsidP="00BB5ECD">
      <w:pPr>
        <w:pStyle w:val="Ttulo1"/>
        <w:keepNext w:val="0"/>
        <w:pageBreakBefore w:val="0"/>
        <w:widowControl w:val="0"/>
        <w:spacing w:after="140" w:line="290" w:lineRule="auto"/>
        <w:jc w:val="both"/>
        <w:rPr>
          <w:i/>
          <w:caps w:val="0"/>
        </w:rPr>
      </w:pPr>
      <w:bookmarkStart w:id="545" w:name="_Ref90057918"/>
      <w:bookmarkStart w:id="546" w:name="_Toc95870969"/>
      <w:bookmarkStart w:id="547" w:name="_Toc95900809"/>
      <w:bookmarkStart w:id="548" w:name="_Toc95928484"/>
      <w:r w:rsidRPr="00566CD3">
        <w:rPr>
          <w:i/>
          <w:caps w:val="0"/>
        </w:rPr>
        <w:lastRenderedPageBreak/>
        <w:t>Eventual rebaixamento na classificação de risco atribuída às Debêntures e/ou à Emissora poderá dificultar a captação de recursos pela Emissora, bem como acarretar redução de liquidez das Debêntures para negociação no mercado secundário e impacto negativo relevante na Emissora.</w:t>
      </w:r>
      <w:bookmarkEnd w:id="545"/>
      <w:bookmarkEnd w:id="546"/>
      <w:bookmarkEnd w:id="547"/>
      <w:bookmarkEnd w:id="548"/>
    </w:p>
    <w:bookmarkEnd w:id="544"/>
    <w:p w14:paraId="0617833A" w14:textId="77777777" w:rsidR="00E8286C" w:rsidRPr="00566CD3" w:rsidRDefault="00E8286C" w:rsidP="009E2BE2">
      <w:pPr>
        <w:widowControl w:val="0"/>
        <w:spacing w:after="140" w:line="290" w:lineRule="auto"/>
        <w:jc w:val="both"/>
      </w:pPr>
      <w:r w:rsidRPr="00566CD3">
        <w:t>Para se realizar uma classificação de risco (</w:t>
      </w:r>
      <w:r w:rsidRPr="00566CD3">
        <w:rPr>
          <w:i/>
        </w:rPr>
        <w:t>rating</w:t>
      </w:r>
      <w:r w:rsidRPr="00566CD3">
        <w:t>), certos fatores relativos à Emissora são levados em consideração, tais como sua condição financeira, sua administração e seu desempenho. São analisadas, também, as características das Debêntures, assim como as obrigações assumidas pela Emissora e os fatores político-econômicos que podem afetar a condição financeira da Emissora. Dessa forma, as avaliações representam uma opinião quanto às condições da Emissora de honrar seus compromissos financeiros, tais como pagamento do principal e juros no prazo estipulado. Um eventual rebaixamento em classificações de risco obtidas com relação à Oferta e/ou à Emissora durante a vigência das Debêntures poderá afetar negativamente o preço dessas Debêntures e sua negociação no mercado secundário. Além disso, a Emissora poderá encontrar dificuldades em realizar outras emissões de títulos e valores mobiliários, o que poderá, consequentemente, ter um impacto negativo relevante nos resultados e nas operações da Emissora e na sua capacidade de honrar com as obrigações relativas à Oferta.</w:t>
      </w:r>
    </w:p>
    <w:p w14:paraId="4F11EB96" w14:textId="77777777" w:rsidR="00E8286C" w:rsidRPr="00566CD3" w:rsidRDefault="00E8286C" w:rsidP="009E2BE2">
      <w:pPr>
        <w:widowControl w:val="0"/>
        <w:spacing w:after="140" w:line="290" w:lineRule="auto"/>
        <w:jc w:val="both"/>
        <w:rPr>
          <w:spacing w:val="-6"/>
        </w:rPr>
      </w:pPr>
      <w:r w:rsidRPr="00566CD3">
        <w:rPr>
          <w:spacing w:val="-6"/>
        </w:rPr>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7D87C292" w14:textId="77777777" w:rsidR="00935C01" w:rsidRPr="00566CD3" w:rsidRDefault="00935C01" w:rsidP="009E2BE2">
      <w:pPr>
        <w:widowControl w:val="0"/>
        <w:spacing w:after="140" w:line="290" w:lineRule="auto"/>
        <w:jc w:val="both"/>
      </w:pPr>
      <w:r w:rsidRPr="00566CD3">
        <w:t>Além disso, o rebaixamento na classificação de risco atribuída às Debêntures poderá (i) acarretar uma redução do horizonte original de investimento esperado pelos Debenturistas; e/ou (ii) gerar dificuldade de reinvestimento do capital investido pelos Debenturistas à mesma taxa estabelecida para as Debêntures, uma vez que poderá ser difícil encontrar valores mobiliários com as mesmas condições das Debêntures.</w:t>
      </w:r>
    </w:p>
    <w:p w14:paraId="5C405D43" w14:textId="77777777" w:rsidR="00E8286C" w:rsidRPr="00566CD3" w:rsidRDefault="003F13FD" w:rsidP="003F13FD">
      <w:pPr>
        <w:pStyle w:val="Ttulo1"/>
        <w:keepNext w:val="0"/>
        <w:pageBreakBefore w:val="0"/>
        <w:widowControl w:val="0"/>
        <w:spacing w:after="140" w:line="290" w:lineRule="auto"/>
        <w:jc w:val="left"/>
        <w:rPr>
          <w:i/>
        </w:rPr>
      </w:pPr>
      <w:bookmarkStart w:id="549" w:name="_Ref90050201"/>
      <w:bookmarkStart w:id="550" w:name="_Toc95870970"/>
      <w:bookmarkStart w:id="551" w:name="_Toc95900810"/>
      <w:bookmarkStart w:id="552" w:name="_Toc95928485"/>
      <w:bookmarkStart w:id="553" w:name="as_obrigações_da_emissora_estao"/>
      <w:r w:rsidRPr="00566CD3">
        <w:rPr>
          <w:i/>
          <w:caps w:val="0"/>
        </w:rPr>
        <w:t xml:space="preserve">As Obrigações da Emissora Constantes da Escritura de Emissão estão sujeitas a Hipóteses </w:t>
      </w:r>
      <w:r w:rsidR="0052697B" w:rsidRPr="00566CD3">
        <w:rPr>
          <w:i/>
          <w:caps w:val="0"/>
        </w:rPr>
        <w:t>d</w:t>
      </w:r>
      <w:r w:rsidRPr="00566CD3">
        <w:rPr>
          <w:i/>
          <w:caps w:val="0"/>
        </w:rPr>
        <w:t>e Vencimento Antecipado.</w:t>
      </w:r>
      <w:bookmarkEnd w:id="549"/>
      <w:bookmarkEnd w:id="550"/>
      <w:bookmarkEnd w:id="551"/>
      <w:bookmarkEnd w:id="552"/>
    </w:p>
    <w:p w14:paraId="2C46C7DB" w14:textId="77777777" w:rsidR="00E23324" w:rsidRPr="00566CD3" w:rsidRDefault="00E8286C" w:rsidP="001A4D54">
      <w:pPr>
        <w:widowControl w:val="0"/>
        <w:spacing w:after="140"/>
        <w:jc w:val="both"/>
        <w:rPr>
          <w:b/>
        </w:rPr>
      </w:pPr>
      <w:bookmarkStart w:id="554" w:name="fator_de_risco_pessoas_vinculadas"/>
      <w:bookmarkEnd w:id="553"/>
      <w:bookmarkEnd w:id="554"/>
      <w:r w:rsidRPr="00566CD3">
        <w:t>A Escritura de Emissão estabelece hipóteses que ensejam o vencimento antecipado (automático ou não) das obrigações da Emissora com relação às Debêntures, tais como, mas não se limitando ao (i) pedido de recuperação judicial e extrajudicial pela Emissora; (ii) não cumprimento de obrigações</w:t>
      </w:r>
      <w:r w:rsidR="00A35C5E" w:rsidRPr="00566CD3">
        <w:t>, pecuniárias ou não,</w:t>
      </w:r>
      <w:r w:rsidRPr="00566CD3">
        <w:t xml:space="preserve"> previstas na Escritura de Emissão; (iii) vencimento antecipado de outras dívidas</w:t>
      </w:r>
      <w:r w:rsidR="00E23324" w:rsidRPr="00566CD3">
        <w:t>, entre outras</w:t>
      </w:r>
      <w:r w:rsidRPr="00566CD3">
        <w:t>. Não há garantias de que a Emissora disporá de recursos suficientes em caixa para fazer face ao pagamento das Debêntures na hipótese de ocorrência de vencimento antecipado de suas obrigações, hipótese na qual os Debenturistas poderão sofrer um impacto negativo relevante no recebimento dos pagamentos relativos às Debêntures e a Emissora poderá sofrer um impacto negativo relevante nos seus resultados e operações.</w:t>
      </w:r>
    </w:p>
    <w:p w14:paraId="326DE158" w14:textId="77777777" w:rsidR="00E23324" w:rsidRPr="00566CD3" w:rsidRDefault="00E23324" w:rsidP="009E2BE2">
      <w:pPr>
        <w:widowControl w:val="0"/>
        <w:spacing w:after="140" w:line="290" w:lineRule="auto"/>
        <w:jc w:val="both"/>
        <w:rPr>
          <w:b/>
        </w:rPr>
      </w:pPr>
      <w:r w:rsidRPr="00566CD3">
        <w:lastRenderedPageBreak/>
        <w:t>Além disso, o vencimento antecipado das Debêntures poderá (i) acarretar na redução do horizonte original de investimento esperado pelos Debenturistas; (ii) gerar dificuldade de reinvestimento do capital investido pelos Debenturistas à mesma taxa estabelecida para as Debêntures</w:t>
      </w:r>
      <w:r w:rsidR="003B6F8C" w:rsidRPr="00566CD3">
        <w:t>; e/ou (iii) acarretar em eventuais impactos no tratamento tributário aplicável aos rendimentos auferidos pelos investidores em razão da redução do prazo de investimento</w:t>
      </w:r>
      <w:r w:rsidRPr="00566CD3">
        <w:t>.</w:t>
      </w:r>
    </w:p>
    <w:p w14:paraId="3C6ABD11" w14:textId="1E35E07C" w:rsidR="00E8286C" w:rsidRPr="00566CD3" w:rsidRDefault="00E8286C" w:rsidP="009E2BE2">
      <w:pPr>
        <w:widowControl w:val="0"/>
        <w:spacing w:after="140" w:line="290" w:lineRule="auto"/>
        <w:jc w:val="both"/>
        <w:rPr>
          <w:b/>
        </w:rPr>
      </w:pPr>
      <w:r w:rsidRPr="00566CD3">
        <w:rPr>
          <w:b/>
        </w:rPr>
        <w:t xml:space="preserve">Para mais informações, veja a seção </w:t>
      </w:r>
      <w:r w:rsidR="002A4B8C" w:rsidRPr="00566CD3">
        <w:rPr>
          <w:b/>
        </w:rPr>
        <w:t>“</w:t>
      </w:r>
      <w:r w:rsidRPr="00566CD3">
        <w:rPr>
          <w:b/>
        </w:rPr>
        <w:t>Informações Relativas à Emissão, à Oferta e às Debêntures – Vencimento Antecipado</w:t>
      </w:r>
      <w:r w:rsidR="002A4B8C" w:rsidRPr="00566CD3">
        <w:rPr>
          <w:b/>
        </w:rPr>
        <w:t>”</w:t>
      </w:r>
      <w:r w:rsidRPr="00566CD3">
        <w:rPr>
          <w:b/>
        </w:rPr>
        <w:t xml:space="preserve">, na página </w:t>
      </w:r>
      <w:r w:rsidR="00A91793" w:rsidRPr="00D8141D">
        <w:rPr>
          <w:rFonts w:eastAsia="Times New Roman" w:cs="Calibri"/>
          <w:b/>
          <w:lang w:eastAsia="pt-BR"/>
        </w:rPr>
        <w:fldChar w:fldCharType="begin"/>
      </w:r>
      <w:r w:rsidR="00A91793" w:rsidRPr="00566CD3">
        <w:rPr>
          <w:b/>
        </w:rPr>
        <w:instrText xml:space="preserve"> PAGEREF _Ref434935280 \h </w:instrText>
      </w:r>
      <w:r w:rsidR="00A91793" w:rsidRPr="00D8141D">
        <w:rPr>
          <w:rFonts w:eastAsia="Times New Roman" w:cs="Calibri"/>
          <w:b/>
          <w:lang w:eastAsia="pt-BR"/>
        </w:rPr>
      </w:r>
      <w:r w:rsidR="00A91793" w:rsidRPr="00D8141D">
        <w:rPr>
          <w:rFonts w:eastAsia="Times New Roman" w:cs="Calibri"/>
          <w:b/>
          <w:lang w:eastAsia="pt-BR"/>
        </w:rPr>
        <w:fldChar w:fldCharType="separate"/>
      </w:r>
      <w:r w:rsidR="001166EA">
        <w:rPr>
          <w:b/>
          <w:noProof/>
        </w:rPr>
        <w:t>92</w:t>
      </w:r>
      <w:r w:rsidR="00A91793" w:rsidRPr="00D8141D">
        <w:rPr>
          <w:rFonts w:eastAsia="Times New Roman" w:cs="Calibri"/>
          <w:b/>
          <w:lang w:eastAsia="pt-BR"/>
        </w:rPr>
        <w:fldChar w:fldCharType="end"/>
      </w:r>
      <w:r w:rsidR="003719E2" w:rsidRPr="00566CD3">
        <w:rPr>
          <w:b/>
        </w:rPr>
        <w:t xml:space="preserve"> </w:t>
      </w:r>
      <w:r w:rsidRPr="00566CD3">
        <w:rPr>
          <w:b/>
        </w:rPr>
        <w:t>deste Prospecto.</w:t>
      </w:r>
    </w:p>
    <w:p w14:paraId="65E415AE" w14:textId="77777777" w:rsidR="001A7F42" w:rsidRPr="00566CD3" w:rsidRDefault="00E23324" w:rsidP="000D2495">
      <w:pPr>
        <w:pStyle w:val="Ttulo1"/>
        <w:keepNext w:val="0"/>
        <w:pageBreakBefore w:val="0"/>
        <w:widowControl w:val="0"/>
        <w:spacing w:after="140" w:line="290" w:lineRule="auto"/>
        <w:jc w:val="both"/>
        <w:rPr>
          <w:i/>
          <w:caps w:val="0"/>
        </w:rPr>
      </w:pPr>
      <w:bookmarkStart w:id="555" w:name="_Ref90059225"/>
      <w:bookmarkStart w:id="556" w:name="_Toc95870971"/>
      <w:bookmarkStart w:id="557" w:name="_Toc95900811"/>
      <w:bookmarkStart w:id="558" w:name="_Toc95928486"/>
      <w:r w:rsidRPr="00566CD3">
        <w:rPr>
          <w:i/>
          <w:caps w:val="0"/>
        </w:rPr>
        <w:t>O</w:t>
      </w:r>
      <w:r w:rsidR="001A7F42" w:rsidRPr="00566CD3">
        <w:rPr>
          <w:i/>
          <w:caps w:val="0"/>
        </w:rPr>
        <w:t xml:space="preserve"> investimento nas Debêntures por Investidores da Oferta que sejam Pessoas Vinculadas poderá ter um impacto adverso na liquidez das Debêntures no mercado secundário.</w:t>
      </w:r>
      <w:bookmarkEnd w:id="555"/>
      <w:bookmarkEnd w:id="556"/>
      <w:bookmarkEnd w:id="557"/>
      <w:bookmarkEnd w:id="558"/>
    </w:p>
    <w:p w14:paraId="7A20B29D" w14:textId="77777777" w:rsidR="00E8286C" w:rsidRPr="00566CD3" w:rsidRDefault="00E23324" w:rsidP="009E2BE2">
      <w:pPr>
        <w:widowControl w:val="0"/>
        <w:spacing w:after="140" w:line="290" w:lineRule="auto"/>
        <w:ind w:right="20"/>
        <w:jc w:val="both"/>
      </w:pPr>
      <w:r w:rsidRPr="00566CD3">
        <w:t>O investimento nas Debêntures por</w:t>
      </w:r>
      <w:r w:rsidR="001A7F42" w:rsidRPr="00566CD3">
        <w:t xml:space="preserve"> Investidores da Oferta que sejam Pessoas Vinculadas pode ter um efeito adverso na liquidez das Debêntures no mercado secundário, uma vez que as Pessoas Vinculadas poder</w:t>
      </w:r>
      <w:r w:rsidR="00F90947" w:rsidRPr="00566CD3">
        <w:t>ão</w:t>
      </w:r>
      <w:r w:rsidR="001A7F42" w:rsidRPr="00566CD3">
        <w:t xml:space="preserve"> optar por manter suas Debêntures fora de circulação, influenciando a liquidez. A Emissora e o </w:t>
      </w:r>
      <w:r w:rsidR="005609F4" w:rsidRPr="00566CD3">
        <w:t>Coordenador Líder</w:t>
      </w:r>
      <w:r w:rsidR="001A7F42" w:rsidRPr="00566CD3">
        <w:t xml:space="preserve"> não têm como garantir que o investimento nas Debêntures por Pessoas Vinculadas não ocorrerá ou que referidas Pessoas Vinculadas não optarão por manter suas Debêntures fora de circulação.</w:t>
      </w:r>
    </w:p>
    <w:p w14:paraId="53711B48" w14:textId="77777777" w:rsidR="00E8286C" w:rsidRPr="00566CD3" w:rsidRDefault="00E8286C" w:rsidP="0052697B">
      <w:pPr>
        <w:pStyle w:val="Ttulo1"/>
        <w:keepNext w:val="0"/>
        <w:pageBreakBefore w:val="0"/>
        <w:widowControl w:val="0"/>
        <w:spacing w:after="140" w:line="290" w:lineRule="auto"/>
        <w:jc w:val="left"/>
        <w:rPr>
          <w:i/>
          <w:caps w:val="0"/>
        </w:rPr>
      </w:pPr>
      <w:bookmarkStart w:id="559" w:name="_Ref90050338"/>
      <w:bookmarkStart w:id="560" w:name="_Toc95870972"/>
      <w:bookmarkStart w:id="561" w:name="_Toc95900812"/>
      <w:bookmarkStart w:id="562" w:name="_Toc95928487"/>
      <w:bookmarkStart w:id="563" w:name="as_debentures_poderao_ser_objeto_de_aqui"/>
      <w:r w:rsidRPr="00566CD3">
        <w:rPr>
          <w:i/>
          <w:caps w:val="0"/>
        </w:rPr>
        <w:t xml:space="preserve">As Debêntures poderão ser objeto de </w:t>
      </w:r>
      <w:r w:rsidR="004F79F3" w:rsidRPr="00566CD3">
        <w:rPr>
          <w:i/>
          <w:caps w:val="0"/>
        </w:rPr>
        <w:t>Oferta de Resgate Antecipado</w:t>
      </w:r>
      <w:r w:rsidR="00DB205D" w:rsidRPr="00566CD3">
        <w:rPr>
          <w:i/>
          <w:caps w:val="0"/>
        </w:rPr>
        <w:t>,</w:t>
      </w:r>
      <w:r w:rsidR="00E23324" w:rsidRPr="00566CD3">
        <w:rPr>
          <w:i/>
          <w:caps w:val="0"/>
        </w:rPr>
        <w:t xml:space="preserve"> </w:t>
      </w:r>
      <w:r w:rsidRPr="00566CD3">
        <w:rPr>
          <w:i/>
          <w:caps w:val="0"/>
        </w:rPr>
        <w:t>Aquisição Facultativa</w:t>
      </w:r>
      <w:r w:rsidR="00DB205D" w:rsidRPr="00566CD3">
        <w:rPr>
          <w:i/>
          <w:caps w:val="0"/>
        </w:rPr>
        <w:t xml:space="preserve"> e Resgate Obrigatório Total</w:t>
      </w:r>
      <w:r w:rsidRPr="00566CD3">
        <w:rPr>
          <w:i/>
          <w:caps w:val="0"/>
        </w:rPr>
        <w:t>, nos termos previstos na Escritura de Emissão, o que poderá impactar de maneira adversa na liquidez das Debêntures no mercado secundário.</w:t>
      </w:r>
      <w:bookmarkEnd w:id="559"/>
      <w:bookmarkEnd w:id="560"/>
      <w:bookmarkEnd w:id="561"/>
      <w:bookmarkEnd w:id="562"/>
    </w:p>
    <w:bookmarkEnd w:id="563"/>
    <w:p w14:paraId="353088E0" w14:textId="39EEE1F0" w:rsidR="00E23324" w:rsidRPr="00566CD3" w:rsidRDefault="00E23324" w:rsidP="009E2BE2">
      <w:pPr>
        <w:widowControl w:val="0"/>
        <w:spacing w:after="140" w:line="290" w:lineRule="auto"/>
        <w:jc w:val="both"/>
      </w:pPr>
      <w:r w:rsidRPr="00566CD3">
        <w:t xml:space="preserve">Conforme descrito na Escritura de Emissão, as Debêntures, conforme o caso e na medida de sua aplicabilidade, poderão ser objeto de (i) </w:t>
      </w:r>
      <w:r w:rsidR="004F79F3" w:rsidRPr="00566CD3">
        <w:t>Oferta de Resgate Antecipado</w:t>
      </w:r>
      <w:r w:rsidR="00DB205D" w:rsidRPr="00566CD3">
        <w:t>; (ii) Aquisição Facultativa; (iii) Resgate Obrigatório Total</w:t>
      </w:r>
      <w:r w:rsidR="005777AA" w:rsidRPr="00566CD3">
        <w:t xml:space="preserve">, de acordo com as informações descritas na seção “Informações Relativas à Emissão, à Oferta e às Debêntures – Características da Emissão e das Debêntures – </w:t>
      </w:r>
      <w:r w:rsidR="005777AA" w:rsidRPr="00566CD3">
        <w:rPr>
          <w:color w:val="000000"/>
        </w:rPr>
        <w:t xml:space="preserve">Resgate Antecipado </w:t>
      </w:r>
      <w:r w:rsidR="00DB205D" w:rsidRPr="00566CD3">
        <w:rPr>
          <w:color w:val="000000"/>
        </w:rPr>
        <w:t xml:space="preserve">Facultativo, Amortização Extraordinária, Oferta De Resgate Antecipado E Aquisição Facultativa”, na página </w:t>
      </w:r>
      <w:r w:rsidR="000C56CD" w:rsidRPr="00D8141D">
        <w:rPr>
          <w:rFonts w:cs="Calibri"/>
          <w:iCs/>
          <w:color w:val="000000"/>
          <w:lang w:eastAsia="pt-BR"/>
        </w:rPr>
        <w:fldChar w:fldCharType="begin"/>
      </w:r>
      <w:r w:rsidR="000C56CD" w:rsidRPr="00566CD3">
        <w:rPr>
          <w:color w:val="000000"/>
        </w:rPr>
        <w:instrText xml:space="preserve"> PAGEREF _Ref90216943 \h </w:instrText>
      </w:r>
      <w:r w:rsidR="000C56CD" w:rsidRPr="00D8141D">
        <w:rPr>
          <w:rFonts w:cs="Calibri"/>
          <w:iCs/>
          <w:color w:val="000000"/>
          <w:lang w:eastAsia="pt-BR"/>
        </w:rPr>
      </w:r>
      <w:r w:rsidR="000C56CD" w:rsidRPr="00D8141D">
        <w:rPr>
          <w:rFonts w:cs="Calibri"/>
          <w:iCs/>
          <w:color w:val="000000"/>
          <w:lang w:eastAsia="pt-BR"/>
        </w:rPr>
        <w:fldChar w:fldCharType="separate"/>
      </w:r>
      <w:r w:rsidR="001166EA">
        <w:rPr>
          <w:noProof/>
          <w:color w:val="000000"/>
        </w:rPr>
        <w:t>86</w:t>
      </w:r>
      <w:r w:rsidR="000C56CD" w:rsidRPr="00D8141D">
        <w:rPr>
          <w:rFonts w:cs="Calibri"/>
          <w:iCs/>
          <w:color w:val="000000"/>
          <w:lang w:eastAsia="pt-BR"/>
        </w:rPr>
        <w:fldChar w:fldCharType="end"/>
      </w:r>
      <w:r w:rsidR="00DB205D" w:rsidRPr="00566CD3">
        <w:rPr>
          <w:color w:val="000000"/>
        </w:rPr>
        <w:t xml:space="preserve"> </w:t>
      </w:r>
      <w:r w:rsidR="00DB205D" w:rsidRPr="00566CD3">
        <w:t>deste Prospecto;.</w:t>
      </w:r>
    </w:p>
    <w:p w14:paraId="21FFCC8C" w14:textId="77777777" w:rsidR="00E23324" w:rsidRPr="00566CD3" w:rsidRDefault="00E23324" w:rsidP="009E2BE2">
      <w:pPr>
        <w:widowControl w:val="0"/>
        <w:spacing w:after="140" w:line="290" w:lineRule="auto"/>
        <w:jc w:val="both"/>
      </w:pPr>
      <w:r w:rsidRPr="00566CD3">
        <w:t xml:space="preserve">A realização da </w:t>
      </w:r>
      <w:r w:rsidR="004F79F3" w:rsidRPr="00566CD3">
        <w:t>Oferta de Resgate Antecipado Facultativo</w:t>
      </w:r>
      <w:r w:rsidR="005777AA" w:rsidRPr="00566CD3">
        <w:t xml:space="preserve"> e/ou do Resgate Antecipado Obrigatório</w:t>
      </w:r>
      <w:r w:rsidRPr="00566CD3">
        <w:t xml:space="preserve"> e/ou da aquisição facultativa, conforme o caso, nas hipóteses previstas acima, poderá (i) acarretar na redução do horizonte original de investimento esperado pelos Debenturistas; (ii) gerar dificuldade de reinvestimento do capital investido pelos Debenturistas à mesma taxa estabelecida para as Debêntures; (iii) ter impacto adverso na liquidez das Debêntures no mercado secundário, uma vez que, conforme o caso, parte considerável das Debêntures poderá ser retirada de negociação</w:t>
      </w:r>
      <w:r w:rsidR="003B6F8C" w:rsidRPr="00566CD3">
        <w:t>; e/ou (iv) acarretar em eventuais impactos no tratamento tributário aplicável aos rendimentos auferidos pelos investidores em razão da redução do prazo de investimento</w:t>
      </w:r>
      <w:r w:rsidRPr="00566CD3">
        <w:t>.</w:t>
      </w:r>
    </w:p>
    <w:p w14:paraId="6D56E229" w14:textId="77777777" w:rsidR="00935C01" w:rsidRPr="00566CD3" w:rsidRDefault="005777AA" w:rsidP="00935C01">
      <w:pPr>
        <w:widowControl w:val="0"/>
        <w:spacing w:after="140" w:line="290" w:lineRule="auto"/>
        <w:jc w:val="both"/>
      </w:pPr>
      <w:r w:rsidRPr="00566CD3">
        <w:t>Ainda, a Emissora poderá realizar a Oferta de Resgate Antecipado Facultativo e a Aquisição</w:t>
      </w:r>
      <w:r w:rsidR="00935C01" w:rsidRPr="00566CD3">
        <w:t xml:space="preserve"> Facultativa da totalidade das Debêntures da Primeira Série e/ou das Debêntures da Segunda Série, com o consequente cancelamento de tais Debêntures, independentemente de qualquer </w:t>
      </w:r>
      <w:r w:rsidR="00935C01" w:rsidRPr="00566CD3">
        <w:lastRenderedPageBreak/>
        <w:t>aprovação, desde que permitido pelas regras expedidas pelo CMN e pela legislação e regulamentação aplicáveis e desde que (i) após o prazo médio ponderado dos pagamentos transcorridos entre a Data de Emissão e a data do efetivo resgate antecipado facultativo ou efetiva amortização extraordinária facultativa superar 4 (quatro) anos, nos termos do inciso I, do artigo 1º, da Resolução CMN 4.751, ou a partir de 15 de junho de 2025 (inclusive), desde que venha a ser legalmente permitido, nos termos no artigo 1º, parágrafo 1º, inciso II da Lei nº 12.431, da regulamentação do CMN ou de outra legislação ou regulamentação aplicável, o que for maior; ou, ainda, (ii) na ocorrência de um Evento Tributário e, neste caso, desde que já tenha transcorrido o prazo indicado no inciso I do artigo 1º da Resolução CMN 4.751 ou outro que venha a ser autorizado pela legislação ou regulamentação aplicáveis.</w:t>
      </w:r>
    </w:p>
    <w:p w14:paraId="392F2DCA" w14:textId="77777777" w:rsidR="00935C01" w:rsidRPr="00566CD3" w:rsidRDefault="00935C01" w:rsidP="00935C01">
      <w:pPr>
        <w:widowControl w:val="0"/>
        <w:spacing w:after="140" w:line="290" w:lineRule="auto"/>
        <w:jc w:val="both"/>
      </w:pPr>
      <w:r w:rsidRPr="00566CD3">
        <w:t>Os Debenturistas poderão sofrer prejuízos financeiros em decorrência da Oferta de Resgate Antecipado Facultativo</w:t>
      </w:r>
      <w:r w:rsidR="005777AA" w:rsidRPr="00566CD3">
        <w:t>, do Resgate Antecipado Obrigatório e da Aquisição Facultativa</w:t>
      </w:r>
      <w:r w:rsidRPr="00566CD3">
        <w:t>, não havendo qualquer garantia de que existirão, no momento dos respectivos resgates, outros ativos no mercado de risco e retorno semelhantes aos das Debêntures.</w:t>
      </w:r>
    </w:p>
    <w:p w14:paraId="61FC71A0" w14:textId="77777777" w:rsidR="00E8286C" w:rsidRPr="00A62A7E" w:rsidRDefault="00E8286C" w:rsidP="009E2BE2">
      <w:pPr>
        <w:widowControl w:val="0"/>
        <w:spacing w:after="140" w:line="290" w:lineRule="auto"/>
        <w:jc w:val="both"/>
        <w:rPr>
          <w:b/>
          <w:i/>
          <w:spacing w:val="-6"/>
        </w:rPr>
      </w:pPr>
      <w:bookmarkStart w:id="564" w:name="fator_de_risco_oferta_resgate_2ª_série"/>
      <w:bookmarkStart w:id="565" w:name="fator_de_risco_resgate"/>
      <w:bookmarkEnd w:id="564"/>
      <w:bookmarkEnd w:id="565"/>
      <w:r w:rsidRPr="00A62A7E">
        <w:rPr>
          <w:b/>
          <w:i/>
          <w:spacing w:val="-6"/>
        </w:rPr>
        <w:t>As Debêntures</w:t>
      </w:r>
      <w:r w:rsidR="00F663D6" w:rsidRPr="00A62A7E">
        <w:rPr>
          <w:b/>
          <w:i/>
          <w:spacing w:val="-6"/>
        </w:rPr>
        <w:t xml:space="preserve"> </w:t>
      </w:r>
      <w:r w:rsidRPr="00A62A7E">
        <w:rPr>
          <w:b/>
          <w:i/>
          <w:spacing w:val="-6"/>
        </w:rPr>
        <w:t xml:space="preserve">poderão ser objeto de </w:t>
      </w:r>
      <w:r w:rsidR="00F663D6" w:rsidRPr="00A62A7E">
        <w:rPr>
          <w:b/>
          <w:i/>
          <w:spacing w:val="-6"/>
        </w:rPr>
        <w:t xml:space="preserve">resgate </w:t>
      </w:r>
      <w:r w:rsidRPr="00A62A7E">
        <w:rPr>
          <w:b/>
          <w:i/>
          <w:spacing w:val="-6"/>
        </w:rPr>
        <w:t>nas hipóteses em que a Assembleia Geral de Debenturistas</w:t>
      </w:r>
      <w:r w:rsidR="00F663D6" w:rsidRPr="00A62A7E">
        <w:rPr>
          <w:b/>
          <w:i/>
          <w:spacing w:val="-6"/>
        </w:rPr>
        <w:t xml:space="preserve"> </w:t>
      </w:r>
      <w:r w:rsidRPr="00A62A7E">
        <w:rPr>
          <w:b/>
          <w:i/>
          <w:spacing w:val="-6"/>
        </w:rPr>
        <w:t>convocada especificamente para deliberar sobre a Taxa Substitutiva</w:t>
      </w:r>
      <w:r w:rsidR="00C64329" w:rsidRPr="00A62A7E">
        <w:rPr>
          <w:b/>
          <w:i/>
          <w:spacing w:val="-6"/>
        </w:rPr>
        <w:t xml:space="preserve"> </w:t>
      </w:r>
      <w:r w:rsidRPr="00A62A7E">
        <w:rPr>
          <w:b/>
          <w:i/>
          <w:spacing w:val="-6"/>
        </w:rPr>
        <w:t>não seja instalada.</w:t>
      </w:r>
    </w:p>
    <w:p w14:paraId="2C9FFFC3" w14:textId="77777777" w:rsidR="00E8286C" w:rsidRPr="00566CD3" w:rsidRDefault="009B3F4E" w:rsidP="009E2BE2">
      <w:pPr>
        <w:widowControl w:val="0"/>
        <w:spacing w:after="140" w:line="290" w:lineRule="auto"/>
        <w:jc w:val="both"/>
        <w:rPr>
          <w:b/>
        </w:rPr>
      </w:pPr>
      <w:r w:rsidRPr="00566CD3">
        <w:t xml:space="preserve">No caso de não instalação, em segunda convocação, </w:t>
      </w:r>
      <w:r w:rsidR="003F241C" w:rsidRPr="00566CD3">
        <w:t xml:space="preserve">ou de não obtenção do quórum de deliberação, </w:t>
      </w:r>
      <w:r w:rsidRPr="00566CD3">
        <w:t xml:space="preserve">da Assembleia Geral de Debenturistas prevista para deliberar sobre a Taxa Substitutiva, nos termos previstos na Escritura de Emissão e neste Prospecto, as Debêntures </w:t>
      </w:r>
      <w:r w:rsidR="005777AA" w:rsidRPr="00566CD3">
        <w:t>deverão</w:t>
      </w:r>
      <w:r w:rsidRPr="00566CD3">
        <w:t xml:space="preserve"> ser resgatadas em sua totalidade, desde que venha a ser emitida regulamentação que permita tal resgate.</w:t>
      </w:r>
    </w:p>
    <w:p w14:paraId="1123A041" w14:textId="03447828" w:rsidR="00E8286C" w:rsidRPr="00566CD3" w:rsidRDefault="00E8286C" w:rsidP="009E2BE2">
      <w:pPr>
        <w:widowControl w:val="0"/>
        <w:spacing w:after="140" w:line="290" w:lineRule="auto"/>
        <w:jc w:val="both"/>
      </w:pPr>
      <w:r w:rsidRPr="00566CD3">
        <w:rPr>
          <w:b/>
        </w:rPr>
        <w:t xml:space="preserve">Para mais informações, veja a seção </w:t>
      </w:r>
      <w:r w:rsidR="002A4B8C" w:rsidRPr="00566CD3">
        <w:rPr>
          <w:b/>
        </w:rPr>
        <w:t>“</w:t>
      </w:r>
      <w:r w:rsidRPr="00566CD3">
        <w:rPr>
          <w:b/>
        </w:rPr>
        <w:t xml:space="preserve">Informações Relativas à Emissão, à Oferta e às Debêntures – Características da Emissão e das Debêntures – </w:t>
      </w:r>
      <w:r w:rsidR="00C64329" w:rsidRPr="00566CD3">
        <w:rPr>
          <w:b/>
        </w:rPr>
        <w:t>Atualização Monetária</w:t>
      </w:r>
      <w:r w:rsidR="002A4B8C" w:rsidRPr="00566CD3">
        <w:rPr>
          <w:b/>
        </w:rPr>
        <w:t>”</w:t>
      </w:r>
      <w:r w:rsidR="00C64329" w:rsidRPr="00566CD3">
        <w:rPr>
          <w:b/>
        </w:rPr>
        <w:t xml:space="preserve"> e </w:t>
      </w:r>
      <w:r w:rsidR="002A4B8C" w:rsidRPr="00566CD3">
        <w:rPr>
          <w:b/>
        </w:rPr>
        <w:t>“</w:t>
      </w:r>
      <w:r w:rsidR="00C64329" w:rsidRPr="00566CD3">
        <w:rPr>
          <w:b/>
        </w:rPr>
        <w:t xml:space="preserve">Informações Relativas à Emissão, à Oferta e às Debêntures – Características da Emissão e das Debêntures – </w:t>
      </w:r>
      <w:r w:rsidR="00C64329" w:rsidRPr="00566CD3">
        <w:rPr>
          <w:b/>
          <w:color w:val="000000"/>
        </w:rPr>
        <w:t>Remuneração das Debêntures</w:t>
      </w:r>
      <w:r w:rsidR="002A4B8C" w:rsidRPr="00566CD3">
        <w:rPr>
          <w:b/>
          <w:color w:val="000000"/>
        </w:rPr>
        <w:t>”</w:t>
      </w:r>
      <w:r w:rsidRPr="00566CD3">
        <w:rPr>
          <w:b/>
          <w:color w:val="000000"/>
        </w:rPr>
        <w:t>, na</w:t>
      </w:r>
      <w:r w:rsidR="00C64329" w:rsidRPr="00566CD3">
        <w:rPr>
          <w:b/>
          <w:color w:val="000000"/>
        </w:rPr>
        <w:t>s</w:t>
      </w:r>
      <w:r w:rsidRPr="00566CD3">
        <w:rPr>
          <w:b/>
          <w:color w:val="000000"/>
        </w:rPr>
        <w:t xml:space="preserve"> página</w:t>
      </w:r>
      <w:r w:rsidR="00C64329" w:rsidRPr="00566CD3">
        <w:rPr>
          <w:b/>
          <w:color w:val="000000"/>
        </w:rPr>
        <w:t>s</w:t>
      </w:r>
      <w:r w:rsidRPr="00566CD3">
        <w:rPr>
          <w:b/>
          <w:color w:val="000000"/>
        </w:rPr>
        <w:t xml:space="preserve"> </w:t>
      </w:r>
      <w:r w:rsidR="00F46184" w:rsidRPr="00D8141D">
        <w:rPr>
          <w:rFonts w:eastAsia="Times New Roman" w:cs="Calibri"/>
          <w:b/>
          <w:bCs/>
          <w:iCs/>
          <w:color w:val="000000"/>
          <w:lang w:eastAsia="pt-BR"/>
        </w:rPr>
        <w:fldChar w:fldCharType="begin"/>
      </w:r>
      <w:r w:rsidR="00F46184" w:rsidRPr="00566CD3">
        <w:rPr>
          <w:b/>
          <w:color w:val="000000"/>
        </w:rPr>
        <w:instrText xml:space="preserve"> PAGEREF _Ref90061986 \h </w:instrText>
      </w:r>
      <w:r w:rsidR="00F46184" w:rsidRPr="00D8141D">
        <w:rPr>
          <w:rFonts w:eastAsia="Times New Roman" w:cs="Calibri"/>
          <w:b/>
          <w:bCs/>
          <w:iCs/>
          <w:color w:val="000000"/>
          <w:lang w:eastAsia="pt-BR"/>
        </w:rPr>
      </w:r>
      <w:r w:rsidR="00F46184" w:rsidRPr="00D8141D">
        <w:rPr>
          <w:rFonts w:eastAsia="Times New Roman" w:cs="Calibri"/>
          <w:b/>
          <w:bCs/>
          <w:iCs/>
          <w:color w:val="000000"/>
          <w:lang w:eastAsia="pt-BR"/>
        </w:rPr>
        <w:fldChar w:fldCharType="separate"/>
      </w:r>
      <w:r w:rsidR="001166EA">
        <w:rPr>
          <w:b/>
          <w:noProof/>
          <w:color w:val="000000"/>
        </w:rPr>
        <w:t>77</w:t>
      </w:r>
      <w:r w:rsidR="00F46184" w:rsidRPr="00D8141D">
        <w:rPr>
          <w:rFonts w:eastAsia="Times New Roman" w:cs="Calibri"/>
          <w:b/>
          <w:bCs/>
          <w:iCs/>
          <w:color w:val="000000"/>
          <w:lang w:eastAsia="pt-BR"/>
        </w:rPr>
        <w:fldChar w:fldCharType="end"/>
      </w:r>
      <w:r w:rsidR="00C64329" w:rsidRPr="00566CD3">
        <w:rPr>
          <w:b/>
          <w:color w:val="000000"/>
        </w:rPr>
        <w:t xml:space="preserve"> e </w:t>
      </w:r>
      <w:r w:rsidR="004E03DE" w:rsidRPr="00D8141D">
        <w:rPr>
          <w:rFonts w:eastAsia="Times New Roman" w:cs="Calibri"/>
          <w:b/>
          <w:bCs/>
          <w:iCs/>
          <w:color w:val="000000"/>
          <w:lang w:eastAsia="pt-BR"/>
        </w:rPr>
        <w:fldChar w:fldCharType="begin"/>
      </w:r>
      <w:r w:rsidR="004E03DE" w:rsidRPr="00566CD3">
        <w:rPr>
          <w:b/>
          <w:color w:val="000000"/>
        </w:rPr>
        <w:instrText xml:space="preserve"> PAGEREF _Ref90216785 \h </w:instrText>
      </w:r>
      <w:r w:rsidR="004E03DE" w:rsidRPr="00D8141D">
        <w:rPr>
          <w:rFonts w:eastAsia="Times New Roman" w:cs="Calibri"/>
          <w:b/>
          <w:bCs/>
          <w:iCs/>
          <w:color w:val="000000"/>
          <w:lang w:eastAsia="pt-BR"/>
        </w:rPr>
      </w:r>
      <w:r w:rsidR="004E03DE" w:rsidRPr="00D8141D">
        <w:rPr>
          <w:rFonts w:eastAsia="Times New Roman" w:cs="Calibri"/>
          <w:b/>
          <w:bCs/>
          <w:iCs/>
          <w:color w:val="000000"/>
          <w:lang w:eastAsia="pt-BR"/>
        </w:rPr>
        <w:fldChar w:fldCharType="separate"/>
      </w:r>
      <w:r w:rsidR="001166EA">
        <w:rPr>
          <w:b/>
          <w:noProof/>
          <w:color w:val="000000"/>
        </w:rPr>
        <w:t>79</w:t>
      </w:r>
      <w:r w:rsidR="004E03DE" w:rsidRPr="00D8141D">
        <w:rPr>
          <w:rFonts w:eastAsia="Times New Roman" w:cs="Calibri"/>
          <w:b/>
          <w:bCs/>
          <w:iCs/>
          <w:color w:val="000000"/>
          <w:lang w:eastAsia="pt-BR"/>
        </w:rPr>
        <w:fldChar w:fldCharType="end"/>
      </w:r>
      <w:r w:rsidRPr="00566CD3">
        <w:rPr>
          <w:b/>
          <w:color w:val="000000"/>
        </w:rPr>
        <w:t xml:space="preserve"> </w:t>
      </w:r>
      <w:r w:rsidRPr="00566CD3">
        <w:rPr>
          <w:b/>
        </w:rPr>
        <w:t>deste Prospecto.</w:t>
      </w:r>
    </w:p>
    <w:p w14:paraId="1EC78ADF" w14:textId="7A7C6051" w:rsidR="00935C01" w:rsidRPr="00566CD3" w:rsidRDefault="00935C01" w:rsidP="009E2BE2">
      <w:pPr>
        <w:widowControl w:val="0"/>
        <w:spacing w:after="140" w:line="290" w:lineRule="auto"/>
        <w:jc w:val="both"/>
      </w:pPr>
      <w:r w:rsidRPr="00566CD3">
        <w:rPr>
          <w:b/>
          <w:i/>
        </w:rPr>
        <w:t>As informações acerca do futuro da Emissora contidas neste Prospecto podem não ser precisas</w:t>
      </w:r>
      <w:r w:rsidRPr="00566CD3">
        <w:t>.</w:t>
      </w:r>
    </w:p>
    <w:p w14:paraId="68275BC2" w14:textId="77777777" w:rsidR="00935C01" w:rsidRPr="00566CD3" w:rsidRDefault="00935C01" w:rsidP="00935C01">
      <w:pPr>
        <w:widowControl w:val="0"/>
        <w:spacing w:after="140" w:line="290" w:lineRule="auto"/>
        <w:jc w:val="both"/>
        <w:rPr>
          <w:spacing w:val="-4"/>
        </w:rPr>
      </w:pPr>
      <w:r w:rsidRPr="00566CD3">
        <w:rPr>
          <w:spacing w:val="-4"/>
        </w:rPr>
        <w:t xml:space="preserve">Este Prospecto </w:t>
      </w:r>
      <w:r w:rsidR="00307A78" w:rsidRPr="00566CD3">
        <w:t>Definitivo</w:t>
      </w:r>
      <w:r w:rsidRPr="00566CD3">
        <w:rPr>
          <w:spacing w:val="-4"/>
        </w:rPr>
        <w:t xml:space="preserve"> contém informações acerca das perspectivas do futuro da Emissora, as quais refletem as opiniões da Emissora em relação ao desenvolvimento futuro e que, como em qualquer atividade econômica, envolve riscos e incertezas. Não há garantias de que o desempenho futuro da Emissora será consistente com tais informações. Os eventos futuros poderão diferir sensivelmente das tendências aqui indicadas, dependendo de vários fatores discutidos nesta seção “Fatores de Risco relativos à Oferta” e nas seções “Descrição dos Fatores de Risco” e “Descrição dos Principais Riscos de Mercado”, constantes das seções 4.1 e 4.2, respectivamente, do Formulário de Referência, e em outras seções deste Prospecto </w:t>
      </w:r>
      <w:r w:rsidR="00307A78" w:rsidRPr="00566CD3">
        <w:t>Definitivo</w:t>
      </w:r>
      <w:r w:rsidRPr="00566CD3">
        <w:rPr>
          <w:spacing w:val="-4"/>
        </w:rPr>
        <w:t xml:space="preserve">. As expressões “acredita que”, “espera que” e “antecipa que”, bem como outras expressões similares, identificam informações acerca das perspectivas do futuro da Emissora que não representam qualquer garantia quanto a sua ocorrência. Os potenciais investidores </w:t>
      </w:r>
      <w:r w:rsidRPr="00566CD3">
        <w:rPr>
          <w:spacing w:val="-4"/>
        </w:rPr>
        <w:lastRenderedPageBreak/>
        <w:t xml:space="preserve">são advertidos a examinar com toda a cautela e diligência as informações contidas neste Prospecto </w:t>
      </w:r>
      <w:r w:rsidR="00307A78" w:rsidRPr="00566CD3">
        <w:t>Definitivo</w:t>
      </w:r>
      <w:r w:rsidRPr="00566CD3">
        <w:rPr>
          <w:spacing w:val="-4"/>
        </w:rPr>
        <w:t xml:space="preserve"> e a não tomar decisões de investimento unicamente baseados em previsões futuras ou expectativas. A Emissora não assume qualquer obrigação de atualizar ou revisar quaisquer informações acerca das perspectivas do futuro, exceto pelo disposto na regulamentação aplicável, e a não concretização das perspectivas do futuro da Emissora divulgadas podem gerar um efeito negativo relevante nos resultados e operações da Emissora.</w:t>
      </w:r>
    </w:p>
    <w:p w14:paraId="48F81E02" w14:textId="77777777" w:rsidR="00935C01" w:rsidRPr="00566CD3" w:rsidRDefault="00935C01" w:rsidP="00935C01">
      <w:pPr>
        <w:widowControl w:val="0"/>
        <w:spacing w:after="140" w:line="290" w:lineRule="auto"/>
        <w:jc w:val="both"/>
        <w:rPr>
          <w:b/>
          <w:i/>
        </w:rPr>
      </w:pPr>
      <w:r w:rsidRPr="00566CD3">
        <w:rPr>
          <w:b/>
          <w:i/>
        </w:rPr>
        <w:t>A participação de Investidores Institucionais que sejam considerados Pessoas Vinculadas no Procedimento de Bookbuilding pode impactar adversamente a definição dos Juros Remuneratórios das Debêntures</w:t>
      </w:r>
    </w:p>
    <w:p w14:paraId="71A40838" w14:textId="77777777" w:rsidR="00935C01" w:rsidRPr="00566CD3" w:rsidRDefault="00935C01" w:rsidP="00935C01">
      <w:pPr>
        <w:widowControl w:val="0"/>
        <w:spacing w:after="140" w:line="290" w:lineRule="auto"/>
        <w:jc w:val="both"/>
      </w:pPr>
      <w:r w:rsidRPr="00566CD3">
        <w:t xml:space="preserve">Será aceita a participação de Investidores Institucionais que sejam Pessoas Vinculadas no Procedimento de </w:t>
      </w:r>
      <w:r w:rsidRPr="00566CD3">
        <w:rPr>
          <w:i/>
        </w:rPr>
        <w:t>Bookbuilding,</w:t>
      </w:r>
      <w:r w:rsidRPr="00566CD3">
        <w:t xml:space="preserve"> sem limite máximo de tal participação em relação ao volume da Oferta, o que pode afetar de forma adversa a definição da taxa de remuneração final das Debêntures. Adicionalmente, caso </w:t>
      </w:r>
      <w:r w:rsidR="00B14173" w:rsidRPr="00566CD3">
        <w:t>seja</w:t>
      </w:r>
      <w:r w:rsidRPr="00566CD3">
        <w:t xml:space="preserve"> verificado excesso de demanda superior em 1/3 (um terço) à quantidade de Debêntures inicialmente ofertada (sem considerar as Debêntures Adicionais), as ordens de investimentos dos Investidores Institucionais que </w:t>
      </w:r>
      <w:r w:rsidR="00B14173" w:rsidRPr="00566CD3">
        <w:t>sejam</w:t>
      </w:r>
      <w:r w:rsidRPr="00566CD3">
        <w:t xml:space="preserve"> Pessoas Vinculadas e que </w:t>
      </w:r>
      <w:r w:rsidR="00B14173" w:rsidRPr="00566CD3">
        <w:t>tenham</w:t>
      </w:r>
      <w:r w:rsidRPr="00566CD3">
        <w:t xml:space="preserve"> participado do Procedimento de </w:t>
      </w:r>
      <w:r w:rsidRPr="00566CD3">
        <w:rPr>
          <w:i/>
        </w:rPr>
        <w:t>Bookbuilding</w:t>
      </w:r>
      <w:r w:rsidRPr="00566CD3">
        <w:t xml:space="preserve"> </w:t>
      </w:r>
      <w:r w:rsidR="00B14173" w:rsidRPr="00566CD3">
        <w:t>serão</w:t>
      </w:r>
      <w:r w:rsidRPr="00566CD3">
        <w:t xml:space="preserve"> automaticamente canceladas, o que </w:t>
      </w:r>
      <w:r w:rsidR="00B14173" w:rsidRPr="00566CD3">
        <w:t>pode</w:t>
      </w:r>
      <w:r w:rsidRPr="00566CD3">
        <w:t>, inclusive, promover a sua má-formação ou descaracterizar o seu processo de formação.</w:t>
      </w:r>
    </w:p>
    <w:p w14:paraId="3CDC2FD9" w14:textId="1D5A3C9B" w:rsidR="00B14173" w:rsidRPr="00566CD3" w:rsidRDefault="00B14173" w:rsidP="00B14173">
      <w:pPr>
        <w:widowControl w:val="0"/>
        <w:spacing w:after="140" w:line="290" w:lineRule="auto"/>
        <w:jc w:val="both"/>
      </w:pPr>
      <w:r w:rsidRPr="00566CD3">
        <w:rPr>
          <w:b/>
          <w:i/>
        </w:rPr>
        <w:t>O investimento nas Debêntures por Investidores da Oferta que sejam Pessoas Vinculadas poderá ter um impacto adverso na liquidez das Debêntures no mercado secundário</w:t>
      </w:r>
      <w:r w:rsidRPr="00566CD3">
        <w:t>.</w:t>
      </w:r>
    </w:p>
    <w:p w14:paraId="66247A10" w14:textId="77777777" w:rsidR="00B14173" w:rsidRPr="00566CD3" w:rsidRDefault="00B14173" w:rsidP="00B14173">
      <w:pPr>
        <w:widowControl w:val="0"/>
        <w:spacing w:after="140" w:line="290" w:lineRule="auto"/>
        <w:jc w:val="both"/>
      </w:pPr>
      <w:r w:rsidRPr="00566CD3">
        <w:t xml:space="preserve">O investimento nas Debêntures por Investidores da Oferta que sejam Pessoas Vinculadas pode ter um efeito adverso na liquidez das Debêntures no mercado secundário, uma vez que as Pessoas Vinculadas podem optar por manter suas Debêntures fora de circulação, influenciando a liquidez. A Emissora e </w:t>
      </w:r>
      <w:r w:rsidR="00B0703E" w:rsidRPr="00566CD3">
        <w:t>o Coordenador Líder</w:t>
      </w:r>
      <w:r w:rsidRPr="00566CD3">
        <w:t xml:space="preserve"> não têm como garantir que o investimento nas Debêntures por Pessoas Vinculadas não ocorrerá ou que referidas Pessoas Vinculadas não optarão por manter suas Debêntures fora de circulação.</w:t>
      </w:r>
    </w:p>
    <w:p w14:paraId="206B96AD" w14:textId="77777777" w:rsidR="00B14173" w:rsidRPr="00566CD3" w:rsidRDefault="00AD7596" w:rsidP="00AD7596">
      <w:pPr>
        <w:widowControl w:val="0"/>
        <w:spacing w:after="140" w:line="290" w:lineRule="auto"/>
        <w:jc w:val="both"/>
        <w:rPr>
          <w:b/>
          <w:i/>
        </w:rPr>
      </w:pPr>
      <w:r w:rsidRPr="00566CD3">
        <w:rPr>
          <w:b/>
          <w:i/>
        </w:rPr>
        <w:t>O investidor titular das Debêntures pode ser obrigado a acatar decisões deliberadas em Assembleia Geral de Debenturistas</w:t>
      </w:r>
    </w:p>
    <w:p w14:paraId="5A801CAC" w14:textId="77777777" w:rsidR="00AD7596" w:rsidRPr="00566CD3" w:rsidRDefault="00AD7596" w:rsidP="00AD7596">
      <w:pPr>
        <w:widowControl w:val="0"/>
        <w:spacing w:after="140" w:line="290" w:lineRule="auto"/>
        <w:jc w:val="both"/>
      </w:pPr>
      <w:r w:rsidRPr="00566CD3">
        <w:t>O Debenturista detentor de debêntures pode ser obrigado a acatar decisões da maioria ainda que manifeste voto desfavorável, não compareça à Assembleia Geral de Debenturistas ou se abstenha de votar, não existindo qualquer mecanismo para o resgate antecipado, a amortização antecipada ou a venda compulsória no caso de dissidência em determinadas matérias submetidas à deliberação pela Assembleia Geral de Debenturistas.</w:t>
      </w:r>
    </w:p>
    <w:p w14:paraId="7FD8EAAA" w14:textId="77777777" w:rsidR="00AD7596" w:rsidRPr="00566CD3" w:rsidRDefault="00AD7596" w:rsidP="00AD7596">
      <w:pPr>
        <w:widowControl w:val="0"/>
        <w:spacing w:after="140" w:line="290" w:lineRule="auto"/>
        <w:jc w:val="both"/>
      </w:pPr>
      <w:r w:rsidRPr="00566CD3">
        <w:t>Há também o risco de o quórum de instalação ou deliberação de determinada matéria não ser atingido e, dessa forma, os Debenturistas poderão não conseguir, ou ter dificuldade de deliberar matérias sujeitas à Assembleia Geral de Debenturistas.</w:t>
      </w:r>
    </w:p>
    <w:p w14:paraId="3FAF8973" w14:textId="77777777" w:rsidR="00AD7596" w:rsidRPr="00566CD3" w:rsidRDefault="00AD7596" w:rsidP="00AD7596">
      <w:pPr>
        <w:widowControl w:val="0"/>
        <w:spacing w:after="140" w:line="290" w:lineRule="auto"/>
        <w:jc w:val="both"/>
        <w:rPr>
          <w:b/>
          <w:i/>
        </w:rPr>
      </w:pPr>
      <w:r w:rsidRPr="00566CD3">
        <w:rPr>
          <w:b/>
          <w:i/>
        </w:rPr>
        <w:lastRenderedPageBreak/>
        <w:t xml:space="preserve">A Oferta </w:t>
      </w:r>
      <w:r w:rsidR="00C50025" w:rsidRPr="00566CD3">
        <w:rPr>
          <w:b/>
          <w:i/>
        </w:rPr>
        <w:t>foi</w:t>
      </w:r>
      <w:r w:rsidRPr="00566CD3">
        <w:rPr>
          <w:b/>
          <w:i/>
        </w:rPr>
        <w:t xml:space="preserve"> realizada em 2 (duas) séries, sendo que a alocação das Debêntures entre as Séries da Emissão foi efetuada com base no resultado do Procedimento de Bookbuilding e no Sistema de Vasos Comunicantes, o que poderá reduzir a liquidez da Série com menor demanda.</w:t>
      </w:r>
    </w:p>
    <w:p w14:paraId="4C38C6D6" w14:textId="77777777" w:rsidR="00AD7596" w:rsidRPr="00566CD3" w:rsidRDefault="00AD7596" w:rsidP="00AD7596">
      <w:pPr>
        <w:widowControl w:val="0"/>
        <w:spacing w:after="140" w:line="290" w:lineRule="auto"/>
        <w:jc w:val="both"/>
      </w:pPr>
      <w:r w:rsidRPr="00566CD3">
        <w:t xml:space="preserve">A quantidade de Debêntures alocada em cada Série da Emissão foi definida de acordo com a demanda das Debêntures pelos investidores, apurada em Procedimento de </w:t>
      </w:r>
      <w:r w:rsidRPr="00566CD3">
        <w:rPr>
          <w:i/>
        </w:rPr>
        <w:t>Bookbuilding</w:t>
      </w:r>
      <w:r w:rsidRPr="00566CD3">
        <w:t xml:space="preserve">, observado que a alocação das Debêntures entre as Séries foi efetuada por meio do Sistema de Vasos Comunicantes. Nesse sentido, foi verificada, após o Procedimento de </w:t>
      </w:r>
      <w:r w:rsidRPr="00566CD3">
        <w:rPr>
          <w:i/>
        </w:rPr>
        <w:t>Bookbuilding</w:t>
      </w:r>
      <w:r w:rsidRPr="00566CD3">
        <w:t>, uma demanda menor para a Segunda Série, o que poderá afetar adversamente sua liquidez no mercado secundário.</w:t>
      </w:r>
    </w:p>
    <w:p w14:paraId="3930D337" w14:textId="77777777" w:rsidR="00AD7596" w:rsidRPr="00566CD3" w:rsidRDefault="00AD7596" w:rsidP="00C611F6">
      <w:pPr>
        <w:widowControl w:val="0"/>
        <w:spacing w:after="140"/>
        <w:jc w:val="both"/>
      </w:pPr>
      <w:r w:rsidRPr="00566CD3">
        <w:t>Dessa forma, os Debenturistas titulares de Debêntures da Segunda Série poderão enfrentar dificuldades para realizar a venda de suas Debêntures no mercado secundário ou, até mesmo, podem não conseguir realizá-la e, consequentemente, podem vir a sofrer prejuízo financeiro. Adicionalmente, os Debenturistas da Segunda Série poderão enfrentar dificuldades para aprovar matérias de seu interesse em Assembleias Gerais de Debenturistas das quais participem Debenturistas da Primeira Série, diminuindo, assim, o número de votos a qual cada Debenturista da Segunda Série fará jus face à totalidade de votos representados pelas Debêntures.</w:t>
      </w:r>
    </w:p>
    <w:p w14:paraId="2123A5CC" w14:textId="77777777" w:rsidR="00AD7596" w:rsidRPr="00566CD3" w:rsidRDefault="0088508B" w:rsidP="0088508B">
      <w:pPr>
        <w:widowControl w:val="0"/>
        <w:spacing w:after="140" w:line="290" w:lineRule="auto"/>
        <w:jc w:val="both"/>
      </w:pPr>
      <w:r w:rsidRPr="00566CD3">
        <w:rPr>
          <w:b/>
          <w:i/>
        </w:rPr>
        <w:t xml:space="preserve">Eventuais matérias veiculadas na mídia com informações equivocadas ou imprecisas sobre a Oferta, a Companhia, ou </w:t>
      </w:r>
      <w:r w:rsidR="00B0703E" w:rsidRPr="00566CD3">
        <w:rPr>
          <w:b/>
          <w:i/>
        </w:rPr>
        <w:t>o Coordenador Líder</w:t>
      </w:r>
      <w:r w:rsidRPr="00566CD3">
        <w:rPr>
          <w:b/>
          <w:i/>
        </w:rPr>
        <w:t xml:space="preserve"> e/ou os respectivos representantes de cada uma das entidades mencionadas poderão gerar questionamentos por parte da CVM, B3 e de potenciais investidores da Oferta, o que poderá impactar negativamente a Oferta</w:t>
      </w:r>
      <w:r w:rsidRPr="00566CD3">
        <w:t>.</w:t>
      </w:r>
    </w:p>
    <w:p w14:paraId="6F9C3B27" w14:textId="5CEB9CE8" w:rsidR="0088508B" w:rsidRPr="00566CD3" w:rsidRDefault="0088508B" w:rsidP="0088508B">
      <w:pPr>
        <w:widowControl w:val="0"/>
        <w:spacing w:after="140" w:line="290" w:lineRule="auto"/>
        <w:jc w:val="both"/>
      </w:pPr>
      <w:r w:rsidRPr="00566CD3">
        <w:t xml:space="preserve">A Oferta e suas condições, passaram a ser de conhecimento público após sua disponibilização em conjunto com o Aviso ao Mercado nas datas informadas na seção “Cronograma Estimado das Etapas da Oferta” na página </w:t>
      </w:r>
      <w:r w:rsidR="00F46184" w:rsidRPr="00D8141D">
        <w:rPr>
          <w:rFonts w:eastAsia="Times New Roman" w:cs="Calibri"/>
          <w:iCs/>
          <w:lang w:eastAsia="pt-BR"/>
        </w:rPr>
        <w:fldChar w:fldCharType="begin"/>
      </w:r>
      <w:r w:rsidR="00F46184" w:rsidRPr="00566CD3">
        <w:instrText xml:space="preserve"> PAGEREF _Ref90062050 \h </w:instrText>
      </w:r>
      <w:r w:rsidR="00F46184" w:rsidRPr="00D8141D">
        <w:rPr>
          <w:rFonts w:eastAsia="Times New Roman" w:cs="Calibri"/>
          <w:iCs/>
          <w:lang w:eastAsia="pt-BR"/>
        </w:rPr>
      </w:r>
      <w:r w:rsidR="00F46184" w:rsidRPr="00D8141D">
        <w:rPr>
          <w:rFonts w:eastAsia="Times New Roman" w:cs="Calibri"/>
          <w:iCs/>
          <w:lang w:eastAsia="pt-BR"/>
        </w:rPr>
        <w:fldChar w:fldCharType="separate"/>
      </w:r>
      <w:r w:rsidR="001166EA">
        <w:rPr>
          <w:noProof/>
        </w:rPr>
        <w:t>62</w:t>
      </w:r>
      <w:r w:rsidR="00F46184" w:rsidRPr="00D8141D">
        <w:rPr>
          <w:rFonts w:eastAsia="Times New Roman" w:cs="Calibri"/>
          <w:iCs/>
          <w:lang w:eastAsia="pt-BR"/>
        </w:rPr>
        <w:fldChar w:fldCharType="end"/>
      </w:r>
      <w:r w:rsidRPr="00566CD3">
        <w:t xml:space="preserve"> deste Prospecto </w:t>
      </w:r>
      <w:r w:rsidR="0065388F" w:rsidRPr="00566CD3">
        <w:t>Definitivo</w:t>
      </w:r>
      <w:r w:rsidRPr="00566CD3">
        <w:t xml:space="preserve">. A partir deste momento e até a disponibilização do Anúncio de Encerramento, poderão ser veiculadas matérias contendo informações equivocadas ou imprecisas sobre a Oferta, a Companhia ou o Coordenador Líder e/ou os respectivos representantes de cada uma das entidades mencionadas, ou, ainda, contendo certos dados que não constam deste Prospecto </w:t>
      </w:r>
      <w:r w:rsidR="0065388F" w:rsidRPr="00566CD3">
        <w:t>Definitivo</w:t>
      </w:r>
      <w:r w:rsidRPr="00566CD3">
        <w:t xml:space="preserve"> ou do Formulário de Referência. Tendo em vista que o artigo 48 da Instrução CVM 400 veda qualquer manifestação na mídia por parte da Companhia ou d</w:t>
      </w:r>
      <w:r w:rsidR="00B0703E" w:rsidRPr="00566CD3">
        <w:t xml:space="preserve"> Coordenador Líder </w:t>
      </w:r>
      <w:r w:rsidRPr="00566CD3">
        <w:t>sobre a Oferta até a disponibilização do Anúncio de Encerramento, eventuais notícias sobre a Oferta poderão conter informações que não foram fornecidas ou que não contaram com a revisão da Companhia ou do Coordenador Líder. Assim, caso haja informações equivocadas ou imprecisas sobre a Oferta divulgadas na mídia ou, ainda, caso sejam veiculadas notícias com dados que não constam deste Prospecto ou do Formulário de Referência, a CVM, a B3 ou potenciais investidores poderão questionar o conteúdo de tais matérias, o que poderá afetar negativamente a tomada de decisão de investimento pelos potenciais investidores podendo resultar, ainda, a exclusivo critério da CVM, na suspensão da Oferta, com a consequente alteração do seu cronograma, ou no seu cancelamento.</w:t>
      </w:r>
    </w:p>
    <w:p w14:paraId="57964246" w14:textId="77777777" w:rsidR="0088508B" w:rsidRPr="00566CD3" w:rsidRDefault="0088508B" w:rsidP="0088508B">
      <w:pPr>
        <w:widowControl w:val="0"/>
        <w:spacing w:after="140" w:line="290" w:lineRule="auto"/>
        <w:jc w:val="both"/>
      </w:pPr>
      <w:r w:rsidRPr="00566CD3">
        <w:rPr>
          <w:b/>
          <w:i/>
        </w:rPr>
        <w:lastRenderedPageBreak/>
        <w:t>Eventual descumprimento por quaisquer dos Participantes Especiais de obrigações relacionadas à Oferta poderá acarretar seu desligamento do grupo de instituições responsáveis pela colocação das Debêntures, com o consequente cancelamento de todos Pedidos de Reserva feitos perante tais Participantes Especiais</w:t>
      </w:r>
      <w:r w:rsidRPr="00566CD3">
        <w:t>.</w:t>
      </w:r>
    </w:p>
    <w:p w14:paraId="3A79620E" w14:textId="77777777" w:rsidR="0088508B" w:rsidRPr="00566CD3" w:rsidRDefault="0088508B" w:rsidP="0088508B">
      <w:pPr>
        <w:widowControl w:val="0"/>
        <w:spacing w:after="140" w:line="290" w:lineRule="auto"/>
        <w:jc w:val="both"/>
      </w:pPr>
      <w:r w:rsidRPr="00566CD3">
        <w:t>Caso haja descumprimento ou indícios de descumprimento, por quaisquer dos Participantes Especiais, de qualquer das obrigações previstas no respectivo instrumento de adesão ao Contrato de Distribuição ou em qualquer contrato celebrado no âmbito da Oferta, ou, ainda, de qualquer das normas de conduta previstas na regulamentação aplicável no âmbito da Oferta, incluindo, sem limitação, as normas previstas na Instrução CVM 400, especialmente as normas referentes ao período de silêncio, condições de negociação com valores mobiliários, emissão de relatórios de pesquisa e de marketing da Oferta, conforme previsto no artigo 48 da Instrução CVM 400, os Participantes Especiais, a critério exclusivo do Coordenador Líder e sem prejuízo das demais medidas julgadas cabíveis pelo Coordenador Líder, deixará imediatamente de integrar o grupo de instituições responsáveis pela colocação das Debêntures. Caso tal desligamento ocorra, o(s) Participante(s) Especial(is) em questão deverá(ão) cancelar todos os Pedidos de Reserva que tenha(m) recebido e informar imediatamente os respectivos investidores sobre o referido cancelamento, os quais não mais participarão da Oferta, sendo que os valores depositados serão devolvidos sem juros ou correção monetária, sem reembolso e com dedução, se for o caso, dos valores relativos aos tributos e encargos incidentes, se existentes.</w:t>
      </w:r>
    </w:p>
    <w:p w14:paraId="5DB378C5" w14:textId="77777777" w:rsidR="00E877D3" w:rsidRPr="00566CD3" w:rsidRDefault="00E877D3" w:rsidP="00DD45AE">
      <w:pPr>
        <w:pStyle w:val="finalfatoresderisco"/>
      </w:pPr>
      <w:bookmarkStart w:id="566" w:name="fator_de_risco_taxa_subs"/>
    </w:p>
    <w:p w14:paraId="492CF48F" w14:textId="77777777" w:rsidR="00E8286C" w:rsidRPr="00566CD3" w:rsidRDefault="009A13F7" w:rsidP="009E5F9A">
      <w:pPr>
        <w:pStyle w:val="Ttulo1"/>
        <w:keepNext w:val="0"/>
        <w:pageBreakBefore w:val="0"/>
        <w:widowControl w:val="0"/>
        <w:spacing w:after="140" w:line="290" w:lineRule="auto"/>
        <w:rPr>
          <w:caps w:val="0"/>
        </w:rPr>
      </w:pPr>
      <w:bookmarkStart w:id="567" w:name="_Toc428306472"/>
      <w:bookmarkEnd w:id="566"/>
      <w:r w:rsidRPr="00566CD3">
        <w:br w:type="page"/>
      </w:r>
      <w:bookmarkStart w:id="568" w:name="_Toc87002553"/>
      <w:bookmarkStart w:id="569" w:name="_Toc90045165"/>
      <w:bookmarkStart w:id="570" w:name="_Toc95928488"/>
      <w:r w:rsidR="00E8286C" w:rsidRPr="00566CD3">
        <w:rPr>
          <w:caps w:val="0"/>
        </w:rPr>
        <w:lastRenderedPageBreak/>
        <w:t>APRESENTAÇÃO DAS INSTITUIÇÕES PARTICI</w:t>
      </w:r>
      <w:r w:rsidR="003B3E79" w:rsidRPr="00566CD3">
        <w:rPr>
          <w:caps w:val="0"/>
        </w:rPr>
        <w:t>P</w:t>
      </w:r>
      <w:r w:rsidR="00E8286C" w:rsidRPr="00566CD3">
        <w:rPr>
          <w:caps w:val="0"/>
        </w:rPr>
        <w:t>ANTES DA OFERTA</w:t>
      </w:r>
      <w:bookmarkEnd w:id="567"/>
      <w:bookmarkEnd w:id="568"/>
      <w:bookmarkEnd w:id="569"/>
      <w:bookmarkEnd w:id="570"/>
    </w:p>
    <w:p w14:paraId="5CAEE75E" w14:textId="77777777" w:rsidR="00E8286C" w:rsidRPr="00D8141D" w:rsidRDefault="009A13F7" w:rsidP="009E2BE2">
      <w:pPr>
        <w:pStyle w:val="Ttulo2"/>
        <w:keepNext w:val="0"/>
        <w:keepLines w:val="0"/>
        <w:widowControl w:val="0"/>
        <w:spacing w:after="140" w:line="290" w:lineRule="auto"/>
        <w:jc w:val="both"/>
        <w:rPr>
          <w:rFonts w:eastAsia="Times New Roman" w:cs="Calibri"/>
          <w:b/>
          <w:szCs w:val="24"/>
          <w:lang w:val="pt-BR"/>
        </w:rPr>
      </w:pPr>
      <w:bookmarkStart w:id="571" w:name="_Toc87002554"/>
      <w:bookmarkStart w:id="572" w:name="_Toc90045166"/>
      <w:bookmarkStart w:id="573" w:name="_Toc95928489"/>
      <w:r w:rsidRPr="00D8141D">
        <w:rPr>
          <w:rFonts w:eastAsia="Times New Roman" w:cs="Calibri"/>
          <w:b/>
          <w:szCs w:val="24"/>
          <w:lang w:val="pt-BR"/>
        </w:rPr>
        <w:t>XP</w:t>
      </w:r>
      <w:r w:rsidR="0088508B" w:rsidRPr="00D8141D">
        <w:rPr>
          <w:rFonts w:eastAsia="Times New Roman" w:cs="Calibri"/>
          <w:b/>
          <w:szCs w:val="24"/>
          <w:lang w:val="pt-BR"/>
        </w:rPr>
        <w:t xml:space="preserve"> Investimentos Corretora de Câmbio, Títulos e Valores Mobiliários S.A.</w:t>
      </w:r>
      <w:bookmarkEnd w:id="571"/>
      <w:bookmarkEnd w:id="572"/>
      <w:bookmarkEnd w:id="573"/>
    </w:p>
    <w:p w14:paraId="3CEEDDAF" w14:textId="77777777" w:rsidR="00AA694B" w:rsidRPr="00566CD3" w:rsidRDefault="0088508B" w:rsidP="0088508B">
      <w:pPr>
        <w:pStyle w:val="Body"/>
        <w:jc w:val="both"/>
      </w:pPr>
      <w:r w:rsidRPr="00566CD3">
        <w:t>O Grupo XP é uma plataforma tecnológica de investimentos e de serviços financeiros, que tem por missão transformar o mercado financeiro no Brasil e melhorar a vida das pessoas</w:t>
      </w:r>
      <w:r w:rsidR="00AA694B" w:rsidRPr="00566CD3">
        <w:t>.</w:t>
      </w:r>
    </w:p>
    <w:p w14:paraId="32BB68ED" w14:textId="77777777" w:rsidR="0088508B" w:rsidRPr="00566CD3" w:rsidRDefault="0088508B" w:rsidP="0088508B">
      <w:pPr>
        <w:pStyle w:val="Body"/>
        <w:jc w:val="both"/>
      </w:pPr>
      <w:r w:rsidRPr="00566CD3">
        <w:t>A XP foi fundada em 2001, na cidade de Porto Alegre, estado do Rio Grande do Sul, Brasil, como um escritório de agentes autônomos de investimentos com foco em investimentos em bolsa de valores e oferecendo educação financeira para os investidores, vindo a tornar-se uma corretora de valores em 2007.</w:t>
      </w:r>
    </w:p>
    <w:p w14:paraId="5AB52A95" w14:textId="77777777" w:rsidR="0088508B" w:rsidRPr="00566CD3" w:rsidRDefault="0088508B" w:rsidP="00566177">
      <w:pPr>
        <w:autoSpaceDE w:val="0"/>
        <w:autoSpaceDN w:val="0"/>
        <w:adjustRightInd w:val="0"/>
        <w:spacing w:after="140" w:line="290" w:lineRule="auto"/>
        <w:jc w:val="both"/>
      </w:pPr>
      <w:r w:rsidRPr="00566CD3">
        <w:t>Com o propósito de oferecer educação e de melhorar a vida das pessoas por meio de investimentos independentes dos grandes bancos, a XP vivenciou uma rápida expansão.</w:t>
      </w:r>
    </w:p>
    <w:p w14:paraId="732F71D7" w14:textId="77777777" w:rsidR="0088508B" w:rsidRPr="00566CD3" w:rsidRDefault="0088508B" w:rsidP="00566177">
      <w:pPr>
        <w:autoSpaceDE w:val="0"/>
        <w:autoSpaceDN w:val="0"/>
        <w:adjustRightInd w:val="0"/>
        <w:spacing w:after="140" w:line="290" w:lineRule="auto"/>
        <w:jc w:val="both"/>
      </w:pPr>
      <w:r w:rsidRPr="00566CD3">
        <w:t>Em 2017, o Itaú Unibanco adquiriu participação minoritária no Grupo XP, de 49,9%, e reafirmando o sucesso de seu modelo de negócios</w:t>
      </w:r>
      <w:r w:rsidR="001F7F5A" w:rsidRPr="00566CD3">
        <w:t>.</w:t>
      </w:r>
    </w:p>
    <w:p w14:paraId="7E2F2B87" w14:textId="77777777" w:rsidR="0088508B" w:rsidRPr="00566CD3" w:rsidRDefault="0088508B" w:rsidP="00566177">
      <w:pPr>
        <w:autoSpaceDE w:val="0"/>
        <w:autoSpaceDN w:val="0"/>
        <w:adjustRightInd w:val="0"/>
        <w:spacing w:after="140" w:line="290" w:lineRule="auto"/>
        <w:jc w:val="both"/>
      </w:pPr>
      <w:r w:rsidRPr="00566CD3">
        <w:t>Em dezembro de 2019, a XP Inc., sociedade holding do Grupo XP, realizou uma oferta inicial de ações na Nasdaq, sendo avaliada em mais de R$78 bilhões à época.</w:t>
      </w:r>
    </w:p>
    <w:p w14:paraId="72A5E5EE" w14:textId="77777777" w:rsidR="00AB57E8" w:rsidRPr="00566CD3" w:rsidRDefault="00AB57E8" w:rsidP="00566177">
      <w:pPr>
        <w:autoSpaceDE w:val="0"/>
        <w:autoSpaceDN w:val="0"/>
        <w:adjustRightInd w:val="0"/>
        <w:spacing w:after="140" w:line="290" w:lineRule="auto"/>
        <w:jc w:val="both"/>
      </w:pPr>
      <w:r w:rsidRPr="00566CD3">
        <w:t>O Grupo XP tem as seguintes áreas de atuação: (i) corretora de valores, que inclui serviços de corretagem e assessoria de investimentos para clientes pessoa física e jurídica, coordenação e estruturação de ofertas públicas e, além disso, possui uma plataforma de distribuição de fundos independentes com mais de 590 fundos de 150 gestores; (ii) gestão de recursos, com mais de R$94 bilhões de reais sob gestão em suas diferentes gestoras especializadas, sob a marca “XP Asset”, que oferece fundos de investimentos em renda fixa, renda variável, fundos de investimentos imobiliários e outros fundos de investimento estruturados; e (iii) mercado de capitais, que engloba um portfólio completo de serviços e soluções para adequação de estrutura de capital e assessoria financeira. Além da marca “XP” (www.xpi.com.br), o Grupo XP ainda detém as marcas “Rico” (www.rico.com.vc) e “Clear” (www.clear.com.br).</w:t>
      </w:r>
    </w:p>
    <w:p w14:paraId="6172E075" w14:textId="77777777" w:rsidR="00AB57E8" w:rsidRPr="00566CD3" w:rsidRDefault="00AB57E8" w:rsidP="00AB57E8">
      <w:pPr>
        <w:autoSpaceDE w:val="0"/>
        <w:autoSpaceDN w:val="0"/>
        <w:adjustRightInd w:val="0"/>
        <w:spacing w:after="140" w:line="290" w:lineRule="auto"/>
        <w:jc w:val="both"/>
        <w:rPr>
          <w:u w:val="single"/>
        </w:rPr>
      </w:pPr>
      <w:r w:rsidRPr="00566CD3">
        <w:rPr>
          <w:u w:val="single"/>
        </w:rPr>
        <w:t>Atividade de Mercado de Capitais da XP</w:t>
      </w:r>
    </w:p>
    <w:p w14:paraId="0F19D23B" w14:textId="77777777" w:rsidR="00AB57E8" w:rsidRPr="00566CD3" w:rsidRDefault="00AB57E8" w:rsidP="00AB57E8">
      <w:pPr>
        <w:autoSpaceDE w:val="0"/>
        <w:autoSpaceDN w:val="0"/>
        <w:adjustRightInd w:val="0"/>
        <w:spacing w:after="140" w:line="290" w:lineRule="auto"/>
        <w:jc w:val="both"/>
      </w:pPr>
      <w:r w:rsidRPr="00566CD3">
        <w:t>A área de mercado de capitais atua com presença global, oferecendo a clientes corporativos e investidores uma ampla gama de produtos e serviços por meio de uma equipe altamente experiente e dedicada aos seguintes segmentos: Dívida local (Debêntures, Debêntures de Infraestrutura, CRI, CRA, CDCA, FIDC, LF), Dívida Internacional (Bonds), Securitização, Equity Capital Markets, M&amp;A, Crédito Estruturado, Project Finance e Development Finance.</w:t>
      </w:r>
    </w:p>
    <w:p w14:paraId="6CA2E039" w14:textId="77777777" w:rsidR="00AB57E8" w:rsidRPr="00566CD3" w:rsidRDefault="00874A0A" w:rsidP="00874A0A">
      <w:pPr>
        <w:autoSpaceDE w:val="0"/>
        <w:autoSpaceDN w:val="0"/>
        <w:adjustRightInd w:val="0"/>
        <w:spacing w:after="140" w:line="290" w:lineRule="auto"/>
        <w:jc w:val="both"/>
      </w:pPr>
      <w:r w:rsidRPr="00566CD3">
        <w:t xml:space="preserve">No segmento de renda fixa e híbridos, a XP apresenta posição de destaque ocupando o primeiro lugar no Ranking </w:t>
      </w:r>
      <w:r w:rsidR="003719E2" w:rsidRPr="00566CD3">
        <w:t xml:space="preserve">ANBIMA </w:t>
      </w:r>
      <w:r w:rsidRPr="00566CD3">
        <w:t xml:space="preserve">de Distribuição de Fundo de Investimento Imobiliário, tendo coordenado 32 ofertas que totalizaram R$ 10,2 bilhões em volume distribuído, representando 59,1% de participação nesse segmento até Novembro 2020. Ainda no Ranking </w:t>
      </w:r>
      <w:r w:rsidR="003719E2" w:rsidRPr="00566CD3">
        <w:t xml:space="preserve">ANBIMA </w:t>
      </w:r>
      <w:r w:rsidRPr="00566CD3">
        <w:t xml:space="preserve">Distribuição de Renda </w:t>
      </w:r>
      <w:r w:rsidRPr="00566CD3">
        <w:lastRenderedPageBreak/>
        <w:t>Fixa, detém a 1ª colocação nas emissões de CRA e 2ª colocação nas emissões de CRI. Na visão consolidada que engloba debêntures, notas promissórias e securitização, a XP está classificada em 2º lugar, tendo distribuído R$ 2,7 bilhões em 24 operações no período.</w:t>
      </w:r>
    </w:p>
    <w:p w14:paraId="3F80CCCA" w14:textId="77777777" w:rsidR="00874A0A" w:rsidRPr="00566CD3" w:rsidRDefault="00874A0A" w:rsidP="00874A0A">
      <w:pPr>
        <w:autoSpaceDE w:val="0"/>
        <w:autoSpaceDN w:val="0"/>
        <w:adjustRightInd w:val="0"/>
        <w:spacing w:after="140" w:line="290" w:lineRule="auto"/>
        <w:jc w:val="both"/>
      </w:pPr>
      <w:r w:rsidRPr="00566CD3">
        <w:t>Em renda variável, a XP oferece serviços para estruturação de ofertas públicas primárias e secundárias de ações. A condução das operações é realizada em âmbito global com o apoio de uma equipe de equity sales presente na América do Norte, América Latina e Europa e de uma equipe de equity research que cobre mais de 45 empresas de diversos setores. Em 2019, a XP atuou de forma ativa no segmento de Equity Capital Markets atuando como assessora do Grupo CB na estruturação da operação de R$2,30 bilhões que alterou a estrutura societária da Via Varejo; follow-on da Petrobras no valor de R$7,30 bilhões; follow-on da Light no valor de R$2,5 bilhões; IPO da Afya no valor de US$250 milhões; follow</w:t>
      </w:r>
      <w:r w:rsidR="003719E2" w:rsidRPr="00566CD3">
        <w:t>-</w:t>
      </w:r>
      <w:r w:rsidRPr="00566CD3">
        <w:t>on da Movida no valor de R$832 milhões; follow-on da Omega Geração no valor de R$830 milhões; IPO da Vivara no valor de R$2.041 milhões; follow-on de Banco do Brasil no valor de R$5.837 milhões; follow-on de LOG Commercial Properties no valor de R$637 milhões; IPO da C&amp;A no valor de R$1.627 milhões de reais e no IPO do Banco BMG no valor de R$1.391 milhões, follow-on de Cyrela Commercial Properties no valor de R$760 milhões; IPO da XP Inc. no valor de R$9.276 milhões e no follow-on de Unidas no valor de R$1.837 milhões. Ademais, nos anos de 2016, 2017 e 2018 a XP foi líder em alocação de varejo em ofertas de renda variável, responsável por alocar o equivalente a 72,2%, 53,4% e 64,1%, respectivamente, do total de ativos de renda variável alocados nos referidos anos.</w:t>
      </w:r>
    </w:p>
    <w:p w14:paraId="4B3D3261" w14:textId="77777777" w:rsidR="00874A0A" w:rsidRPr="00566CD3" w:rsidRDefault="00874A0A" w:rsidP="00874A0A">
      <w:pPr>
        <w:autoSpaceDE w:val="0"/>
        <w:autoSpaceDN w:val="0"/>
        <w:adjustRightInd w:val="0"/>
        <w:spacing w:after="140" w:line="290" w:lineRule="auto"/>
        <w:jc w:val="both"/>
      </w:pPr>
      <w:r w:rsidRPr="00566CD3">
        <w:t>Adicionalmente, possui uma equipe especializada para a área de fusões e aquisições da XP Investimentos, oferecendo aos clientes estruturas e soluções para assessoria, coordenação, execução e negociação de aquisições, desinvestimentos, fusões e reestruturações societárias.</w:t>
      </w:r>
    </w:p>
    <w:p w14:paraId="05C29AA5" w14:textId="77777777" w:rsidR="00E8286C" w:rsidRPr="00566CD3" w:rsidRDefault="00C64329" w:rsidP="009E5F9A">
      <w:pPr>
        <w:pStyle w:val="Ttulo1"/>
        <w:keepNext w:val="0"/>
        <w:pageBreakBefore w:val="0"/>
        <w:widowControl w:val="0"/>
        <w:spacing w:after="140" w:line="290" w:lineRule="auto"/>
        <w:rPr>
          <w:caps w:val="0"/>
        </w:rPr>
      </w:pPr>
      <w:r w:rsidRPr="00566CD3">
        <w:rPr>
          <w:b w:val="0"/>
          <w:highlight w:val="green"/>
        </w:rPr>
        <w:br w:type="page"/>
      </w:r>
      <w:bookmarkStart w:id="574" w:name="_DV_M913"/>
      <w:bookmarkStart w:id="575" w:name="_DV_M914"/>
      <w:bookmarkStart w:id="576" w:name="_DV_M915"/>
      <w:bookmarkStart w:id="577" w:name="_DV_M916"/>
      <w:bookmarkStart w:id="578" w:name="_DV_M917"/>
      <w:bookmarkStart w:id="579" w:name="_DV_M918"/>
      <w:bookmarkStart w:id="580" w:name="_DV_M919"/>
      <w:bookmarkStart w:id="581" w:name="_DV_M920"/>
      <w:bookmarkStart w:id="582" w:name="_DV_M921"/>
      <w:bookmarkStart w:id="583" w:name="_DV_M922"/>
      <w:bookmarkStart w:id="584" w:name="_Toc428306477"/>
      <w:bookmarkStart w:id="585" w:name="_Toc87002555"/>
      <w:bookmarkStart w:id="586" w:name="_Toc90045167"/>
      <w:bookmarkStart w:id="587" w:name="_Toc95928490"/>
      <w:bookmarkStart w:id="588" w:name="_Hlk86324792"/>
      <w:bookmarkStart w:id="589" w:name="_Toc340093028"/>
      <w:bookmarkEnd w:id="574"/>
      <w:bookmarkEnd w:id="575"/>
      <w:bookmarkEnd w:id="576"/>
      <w:bookmarkEnd w:id="577"/>
      <w:bookmarkEnd w:id="578"/>
      <w:bookmarkEnd w:id="579"/>
      <w:bookmarkEnd w:id="580"/>
      <w:bookmarkEnd w:id="581"/>
      <w:bookmarkEnd w:id="582"/>
      <w:bookmarkEnd w:id="583"/>
      <w:r w:rsidR="00E8286C" w:rsidRPr="00566CD3">
        <w:rPr>
          <w:caps w:val="0"/>
        </w:rPr>
        <w:lastRenderedPageBreak/>
        <w:t xml:space="preserve">RELACIONAMENTO ENTRE A EMISSORA E O </w:t>
      </w:r>
      <w:bookmarkEnd w:id="584"/>
      <w:r w:rsidR="009E5F9A" w:rsidRPr="00566CD3">
        <w:rPr>
          <w:caps w:val="0"/>
        </w:rPr>
        <w:t>COORDENADOR LÍDER</w:t>
      </w:r>
      <w:bookmarkEnd w:id="585"/>
      <w:bookmarkEnd w:id="586"/>
      <w:bookmarkEnd w:id="587"/>
    </w:p>
    <w:p w14:paraId="15B35288" w14:textId="77777777" w:rsidR="00E8286C" w:rsidRPr="00566CD3" w:rsidRDefault="00E8286C" w:rsidP="009E2BE2">
      <w:pPr>
        <w:widowControl w:val="0"/>
        <w:spacing w:after="140" w:line="290" w:lineRule="auto"/>
        <w:jc w:val="both"/>
      </w:pPr>
      <w:r w:rsidRPr="00566CD3">
        <w:t xml:space="preserve">Para fins do disposto no </w:t>
      </w:r>
      <w:r w:rsidR="00D353C2" w:rsidRPr="00566CD3">
        <w:t xml:space="preserve">item </w:t>
      </w:r>
      <w:r w:rsidRPr="00566CD3">
        <w:t xml:space="preserve">3.3.2 do Anexo III da Instrução CVM 400, são descritos abaixo o relacionamento da Emissora (e das sociedades de seu grupo econômico, conforme aplicável) com o </w:t>
      </w:r>
      <w:r w:rsidR="005609F4" w:rsidRPr="00566CD3">
        <w:t>Coordenador Líder</w:t>
      </w:r>
      <w:r w:rsidRPr="00566CD3">
        <w:t xml:space="preserve"> e sociedades de seus grupos econômicos, além do relacionamento referente à presente Oferta.</w:t>
      </w:r>
    </w:p>
    <w:p w14:paraId="1B71F3CA" w14:textId="77777777" w:rsidR="00E8286C" w:rsidRPr="00566CD3" w:rsidRDefault="00E8286C" w:rsidP="009E2BE2">
      <w:pPr>
        <w:widowControl w:val="0"/>
        <w:spacing w:after="140" w:line="290" w:lineRule="auto"/>
        <w:jc w:val="both"/>
      </w:pPr>
      <w:r w:rsidRPr="00566CD3">
        <w:t>Nenhuma das operações descritas abaixo são vinculadas à Oferta e/ou à Emissão e não há, na data deste Prospecto, quaisquer operações celebradas entre a Emissora e o</w:t>
      </w:r>
      <w:r w:rsidR="005609F4" w:rsidRPr="00566CD3">
        <w:t xml:space="preserve"> Coordenador Líder</w:t>
      </w:r>
      <w:r w:rsidRPr="00566CD3">
        <w:t xml:space="preserve"> e/ou outras sociedades pertencentes aos seus respectivos grupos econômicos que estejam vinculadas à Oferta e/ou à Emissão. </w:t>
      </w:r>
    </w:p>
    <w:p w14:paraId="7DA251B0" w14:textId="77777777" w:rsidR="00E8286C" w:rsidRPr="00D8141D" w:rsidRDefault="00E8286C" w:rsidP="009E2BE2">
      <w:pPr>
        <w:pStyle w:val="Ttulo2"/>
        <w:keepNext w:val="0"/>
        <w:keepLines w:val="0"/>
        <w:widowControl w:val="0"/>
        <w:spacing w:after="140" w:line="290" w:lineRule="auto"/>
        <w:jc w:val="both"/>
        <w:rPr>
          <w:rFonts w:eastAsia="Times New Roman" w:cs="Calibri"/>
          <w:b/>
          <w:bCs w:val="0"/>
          <w:i/>
          <w:iCs w:val="0"/>
          <w:szCs w:val="24"/>
          <w:lang w:val="pt-BR" w:eastAsia="pt-BR"/>
        </w:rPr>
      </w:pPr>
      <w:bookmarkStart w:id="590" w:name="_Toc428306478"/>
      <w:bookmarkStart w:id="591" w:name="_Toc87002556"/>
      <w:bookmarkStart w:id="592" w:name="_Toc87002702"/>
      <w:bookmarkStart w:id="593" w:name="_Toc87973560"/>
      <w:bookmarkStart w:id="594" w:name="_Toc90045168"/>
      <w:bookmarkStart w:id="595" w:name="_Toc95928491"/>
      <w:r w:rsidRPr="00D8141D">
        <w:rPr>
          <w:rFonts w:eastAsia="Times New Roman" w:cs="Calibri"/>
          <w:b/>
          <w:bCs w:val="0"/>
          <w:i/>
          <w:iCs w:val="0"/>
          <w:szCs w:val="24"/>
          <w:lang w:val="pt-BR" w:eastAsia="pt-BR"/>
        </w:rPr>
        <w:t>Relacionamento entre a Emissora e o Coordenador Líder</w:t>
      </w:r>
      <w:bookmarkEnd w:id="590"/>
      <w:bookmarkEnd w:id="591"/>
      <w:bookmarkEnd w:id="592"/>
      <w:bookmarkEnd w:id="593"/>
      <w:bookmarkEnd w:id="594"/>
      <w:bookmarkEnd w:id="595"/>
    </w:p>
    <w:p w14:paraId="5724CDD0" w14:textId="77777777" w:rsidR="0091302A" w:rsidRPr="00566CD3" w:rsidRDefault="0091302A" w:rsidP="002D638A">
      <w:pPr>
        <w:widowControl w:val="0"/>
        <w:spacing w:after="140" w:line="290" w:lineRule="auto"/>
        <w:jc w:val="both"/>
      </w:pPr>
      <w:r w:rsidRPr="00566CD3">
        <w:t xml:space="preserve">Na data deste Prospecto, o Coordenador Líder </w:t>
      </w:r>
      <w:r w:rsidR="004960EA" w:rsidRPr="00566CD3">
        <w:t>não mantém quaisquer tipos</w:t>
      </w:r>
      <w:r w:rsidRPr="00566CD3">
        <w:t xml:space="preserve"> de </w:t>
      </w:r>
      <w:r w:rsidR="004960EA" w:rsidRPr="00566CD3">
        <w:t>relações societárias ou ligações contratuais relevantes</w:t>
      </w:r>
      <w:r w:rsidRPr="00566CD3">
        <w:t xml:space="preserve"> com a Emissora</w:t>
      </w:r>
      <w:r w:rsidR="002D638A" w:rsidRPr="00566CD3">
        <w:t>.</w:t>
      </w:r>
    </w:p>
    <w:p w14:paraId="39F88E96" w14:textId="77777777" w:rsidR="0091302A" w:rsidRPr="00566CD3" w:rsidRDefault="0091302A" w:rsidP="009E2BE2">
      <w:pPr>
        <w:widowControl w:val="0"/>
        <w:spacing w:after="140" w:line="290" w:lineRule="auto"/>
        <w:jc w:val="both"/>
      </w:pPr>
      <w:r w:rsidRPr="00566CD3">
        <w:t>O Coordenador Líder e sociedades de seu conglomerado econômico poderão no futuro manter relacionamento comercial com a Emissora, oferecendo seus produtos e/ou serviços no assessoramento para realização de investimentos, emissões de valores mobiliários, fusões e aquisições, financiamento, consultoria financeira e/ou em quaisquer outras operações financeiras necessárias à condução das atividades da Emissora e de sociedades controladas pela Emissora, podendo vir a contratar com o Coordenador Líder ou qualquer outra sociedade de seu conglomerado econômico tais produtos e/ou serviços de banco de investimento necessárias à condução das atividades da Emissora.</w:t>
      </w:r>
    </w:p>
    <w:p w14:paraId="0F82EB29" w14:textId="77777777" w:rsidR="002D638A" w:rsidRPr="00566CD3" w:rsidRDefault="002D638A" w:rsidP="009E2BE2">
      <w:pPr>
        <w:widowControl w:val="0"/>
        <w:spacing w:after="140" w:line="290" w:lineRule="auto"/>
        <w:jc w:val="both"/>
      </w:pPr>
      <w:r w:rsidRPr="00566CD3">
        <w:t xml:space="preserve">Não há relações societárias ou ligações contratuais relevantes entre os administradores e acionistas controladores do Coordenador Líder e a Emissora. </w:t>
      </w:r>
    </w:p>
    <w:p w14:paraId="2C842F21" w14:textId="77777777" w:rsidR="002D638A" w:rsidRPr="00566CD3" w:rsidRDefault="002D638A" w:rsidP="009E2BE2">
      <w:pPr>
        <w:widowControl w:val="0"/>
        <w:spacing w:after="140" w:line="290" w:lineRule="auto"/>
        <w:jc w:val="both"/>
      </w:pPr>
      <w:r w:rsidRPr="00566CD3">
        <w:t>Não existem situações de conflito de interesses na participação do Coordenador Líder na presente Oferta, que seja decorrente de seu relacionamento com a Emissora. Por esta razão, não foram adotados mecanismos para eliminar ou mitigar conflito de interesses.</w:t>
      </w:r>
    </w:p>
    <w:p w14:paraId="6610D768" w14:textId="5BEF2B69" w:rsidR="0091302A" w:rsidRPr="00566CD3" w:rsidRDefault="0091302A" w:rsidP="009E2BE2">
      <w:pPr>
        <w:widowControl w:val="0"/>
        <w:spacing w:after="140" w:line="290" w:lineRule="auto"/>
        <w:jc w:val="both"/>
      </w:pPr>
      <w:r w:rsidRPr="00566CD3">
        <w:t xml:space="preserve">Exceto pela remuneração a ser paga em decorrência da Oferta, conforme previsto na seção “Informações Relativas à Emissão, à Oferta e às Debêntures – Contrato de Distribuição – Comissionamento do </w:t>
      </w:r>
      <w:r w:rsidR="005609F4" w:rsidRPr="00566CD3">
        <w:t>Coordenador Líder</w:t>
      </w:r>
      <w:r w:rsidRPr="00566CD3">
        <w:t xml:space="preserve">” na página </w:t>
      </w:r>
      <w:r w:rsidR="000E6F7F" w:rsidRPr="00D8141D">
        <w:rPr>
          <w:rFonts w:eastAsia="Times New Roman" w:cs="Calibri"/>
          <w:noProof/>
          <w:lang w:eastAsia="pt-BR"/>
        </w:rPr>
        <w:fldChar w:fldCharType="begin"/>
      </w:r>
      <w:r w:rsidR="000E6F7F" w:rsidRPr="00566CD3">
        <w:instrText xml:space="preserve"> PAGEREF _Ref90061053 \h </w:instrText>
      </w:r>
      <w:r w:rsidR="000E6F7F" w:rsidRPr="00D8141D">
        <w:rPr>
          <w:rFonts w:eastAsia="Times New Roman" w:cs="Calibri"/>
          <w:noProof/>
          <w:lang w:eastAsia="pt-BR"/>
        </w:rPr>
      </w:r>
      <w:r w:rsidR="000E6F7F" w:rsidRPr="00D8141D">
        <w:rPr>
          <w:rFonts w:eastAsia="Times New Roman" w:cs="Calibri"/>
          <w:noProof/>
          <w:lang w:eastAsia="pt-BR"/>
        </w:rPr>
        <w:fldChar w:fldCharType="separate"/>
      </w:r>
      <w:r w:rsidR="001166EA">
        <w:rPr>
          <w:noProof/>
        </w:rPr>
        <w:t>114</w:t>
      </w:r>
      <w:r w:rsidR="000E6F7F" w:rsidRPr="00D8141D">
        <w:rPr>
          <w:rFonts w:eastAsia="Times New Roman" w:cs="Calibri"/>
          <w:noProof/>
          <w:lang w:eastAsia="pt-BR"/>
        </w:rPr>
        <w:fldChar w:fldCharType="end"/>
      </w:r>
      <w:r w:rsidRPr="00566CD3">
        <w:t xml:space="preserve"> deste Prospecto, não há qualquer outra remuneração a ser paga, pela Emissora ao Coordenador Líder ou a sociedades do seu conglomerado econômico no contexto da Oferta.</w:t>
      </w:r>
    </w:p>
    <w:p w14:paraId="2F24A97E" w14:textId="77777777" w:rsidR="0091302A" w:rsidRPr="00566CD3" w:rsidRDefault="0091302A" w:rsidP="009E2BE2">
      <w:pPr>
        <w:widowControl w:val="0"/>
        <w:spacing w:after="140" w:line="290" w:lineRule="auto"/>
        <w:jc w:val="both"/>
        <w:rPr>
          <w:b/>
        </w:rPr>
      </w:pPr>
      <w:r w:rsidRPr="00566CD3">
        <w:rPr>
          <w:b/>
        </w:rPr>
        <w:t>A Emissora, na data deste Prospecto, declara que, no seu entendimento, não há qualquer conflito de interesse referente à atuação do Coordenador Líder como instituição intermediária da Oferta.</w:t>
      </w:r>
    </w:p>
    <w:p w14:paraId="2C871227" w14:textId="77777777" w:rsidR="00C611F6" w:rsidRPr="00566CD3" w:rsidRDefault="00C611F6" w:rsidP="00C611F6">
      <w:pPr>
        <w:spacing w:before="220" w:after="220"/>
        <w:jc w:val="center"/>
      </w:pPr>
    </w:p>
    <w:p w14:paraId="54D031AA" w14:textId="77777777" w:rsidR="00C611F6" w:rsidRPr="00566CD3" w:rsidRDefault="00C611F6" w:rsidP="00C611F6">
      <w:pPr>
        <w:spacing w:before="220" w:after="220"/>
        <w:jc w:val="center"/>
      </w:pPr>
    </w:p>
    <w:p w14:paraId="520E3C3F" w14:textId="77777777" w:rsidR="00C611F6" w:rsidRPr="00566CD3" w:rsidRDefault="00C611F6" w:rsidP="00C611F6">
      <w:pPr>
        <w:spacing w:before="220" w:after="220"/>
        <w:jc w:val="center"/>
      </w:pPr>
    </w:p>
    <w:p w14:paraId="072A0F89" w14:textId="77777777" w:rsidR="00C611F6" w:rsidRPr="00566CD3" w:rsidRDefault="00C611F6" w:rsidP="00C611F6">
      <w:pPr>
        <w:spacing w:before="220" w:after="220"/>
        <w:jc w:val="center"/>
      </w:pPr>
    </w:p>
    <w:p w14:paraId="73A2BBA8" w14:textId="77777777" w:rsidR="00C611F6" w:rsidRPr="00566CD3" w:rsidRDefault="00C611F6" w:rsidP="00C611F6">
      <w:pPr>
        <w:spacing w:before="220" w:after="220"/>
        <w:jc w:val="center"/>
      </w:pPr>
    </w:p>
    <w:p w14:paraId="45060169" w14:textId="77777777" w:rsidR="00C611F6" w:rsidRPr="00566CD3" w:rsidRDefault="00C611F6" w:rsidP="00C611F6">
      <w:pPr>
        <w:spacing w:before="220" w:after="220"/>
        <w:jc w:val="center"/>
      </w:pPr>
    </w:p>
    <w:p w14:paraId="1270E9D8" w14:textId="77777777" w:rsidR="00C611F6" w:rsidRPr="00566CD3" w:rsidRDefault="00C611F6" w:rsidP="00C611F6">
      <w:pPr>
        <w:spacing w:before="220" w:after="220"/>
        <w:jc w:val="center"/>
      </w:pPr>
    </w:p>
    <w:p w14:paraId="10C7CF00" w14:textId="77777777" w:rsidR="00C611F6" w:rsidRPr="00566CD3" w:rsidRDefault="00C611F6" w:rsidP="00C611F6">
      <w:pPr>
        <w:spacing w:before="220" w:after="220"/>
        <w:jc w:val="center"/>
      </w:pPr>
    </w:p>
    <w:p w14:paraId="5C5CEA12" w14:textId="77777777" w:rsidR="00C611F6" w:rsidRPr="00566CD3" w:rsidRDefault="00C611F6" w:rsidP="00C611F6">
      <w:pPr>
        <w:spacing w:before="220" w:after="220"/>
        <w:jc w:val="center"/>
      </w:pPr>
    </w:p>
    <w:p w14:paraId="738CA1C8" w14:textId="77777777" w:rsidR="00C611F6" w:rsidRPr="00566CD3" w:rsidRDefault="00C611F6" w:rsidP="00C611F6">
      <w:pPr>
        <w:spacing w:before="220" w:after="220"/>
        <w:jc w:val="center"/>
      </w:pPr>
    </w:p>
    <w:p w14:paraId="75276F69" w14:textId="77777777" w:rsidR="00C611F6" w:rsidRPr="00566CD3" w:rsidRDefault="00C611F6" w:rsidP="00C611F6">
      <w:pPr>
        <w:spacing w:before="220" w:after="220"/>
        <w:jc w:val="center"/>
      </w:pPr>
    </w:p>
    <w:p w14:paraId="04EA15CB" w14:textId="77777777" w:rsidR="00C611F6" w:rsidRPr="00566CD3" w:rsidRDefault="00C611F6" w:rsidP="00C611F6">
      <w:pPr>
        <w:spacing w:before="220" w:after="220"/>
        <w:jc w:val="center"/>
      </w:pPr>
    </w:p>
    <w:p w14:paraId="2352CFF5" w14:textId="77777777" w:rsidR="00C611F6" w:rsidRPr="00566CD3" w:rsidRDefault="00C611F6" w:rsidP="00C611F6">
      <w:pPr>
        <w:spacing w:before="220" w:after="220"/>
        <w:jc w:val="center"/>
      </w:pPr>
    </w:p>
    <w:p w14:paraId="3B00C139" w14:textId="77777777" w:rsidR="00C611F6" w:rsidRPr="00566CD3" w:rsidRDefault="00C611F6" w:rsidP="00C611F6">
      <w:pPr>
        <w:spacing w:before="240" w:after="240"/>
        <w:jc w:val="center"/>
      </w:pPr>
      <w:r w:rsidRPr="00566CD3">
        <w:t xml:space="preserve"> (Esta página foi intencionalmente deixada em branco)</w:t>
      </w:r>
    </w:p>
    <w:p w14:paraId="27016BAB" w14:textId="77777777" w:rsidR="00C611F6" w:rsidRPr="00566CD3" w:rsidRDefault="00C611F6" w:rsidP="009E2BE2">
      <w:pPr>
        <w:widowControl w:val="0"/>
        <w:spacing w:after="140" w:line="290" w:lineRule="auto"/>
        <w:jc w:val="both"/>
        <w:rPr>
          <w:b/>
        </w:rPr>
      </w:pPr>
    </w:p>
    <w:p w14:paraId="7C8C4F4A" w14:textId="77777777" w:rsidR="002D638A" w:rsidRPr="00566CD3" w:rsidRDefault="002D638A" w:rsidP="009E2BE2">
      <w:pPr>
        <w:widowControl w:val="0"/>
        <w:spacing w:after="140" w:line="290" w:lineRule="auto"/>
        <w:jc w:val="both"/>
      </w:pPr>
    </w:p>
    <w:p w14:paraId="2DCAD7B9" w14:textId="3D85A533" w:rsidR="00E8286C" w:rsidRPr="00566CD3" w:rsidRDefault="002D638A" w:rsidP="009E5F9A">
      <w:pPr>
        <w:pStyle w:val="Ttulo1"/>
        <w:keepNext w:val="0"/>
        <w:pageBreakBefore w:val="0"/>
        <w:widowControl w:val="0"/>
        <w:spacing w:after="140" w:line="290" w:lineRule="auto"/>
        <w:rPr>
          <w:caps w:val="0"/>
        </w:rPr>
      </w:pPr>
      <w:bookmarkStart w:id="596" w:name="_Toc428306482"/>
      <w:bookmarkStart w:id="597" w:name="_Ref434935466"/>
      <w:bookmarkStart w:id="598" w:name="_Ref434935922"/>
      <w:bookmarkStart w:id="599" w:name="_Ref434936783"/>
      <w:bookmarkEnd w:id="588"/>
      <w:r w:rsidRPr="00566CD3">
        <w:br w:type="page"/>
      </w:r>
      <w:bookmarkStart w:id="600" w:name="_Toc87002557"/>
      <w:bookmarkStart w:id="601" w:name="_Ref90056235"/>
      <w:bookmarkStart w:id="602" w:name="_Ref90058786"/>
      <w:bookmarkStart w:id="603" w:name="_Ref90061216"/>
      <w:bookmarkStart w:id="604" w:name="_Toc90045169"/>
      <w:bookmarkStart w:id="605" w:name="_Toc95928492"/>
      <w:r w:rsidR="009E5F9A" w:rsidRPr="00566CD3">
        <w:rPr>
          <w:caps w:val="0"/>
        </w:rPr>
        <w:lastRenderedPageBreak/>
        <w:t>INFORMAÇÕES SOBRE A EMISSORA, O COORDENADOR LÍDER, OS CONSULTORES, O AGENTE FIDUCIÁRIO, O AGENTE DE LIQUIDAÇÃO E ESCRITURADOR E OS AUDITORES</w:t>
      </w:r>
      <w:bookmarkEnd w:id="589"/>
      <w:bookmarkEnd w:id="596"/>
      <w:r w:rsidR="009E5F9A" w:rsidRPr="00566CD3">
        <w:rPr>
          <w:caps w:val="0"/>
        </w:rPr>
        <w:t xml:space="preserve"> INDEPENDENTES</w:t>
      </w:r>
      <w:bookmarkEnd w:id="597"/>
      <w:bookmarkEnd w:id="598"/>
      <w:bookmarkEnd w:id="599"/>
      <w:bookmarkEnd w:id="600"/>
      <w:bookmarkEnd w:id="601"/>
      <w:bookmarkEnd w:id="602"/>
      <w:bookmarkEnd w:id="603"/>
      <w:bookmarkEnd w:id="604"/>
      <w:bookmarkEnd w:id="6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3"/>
      </w:tblGrid>
      <w:tr w:rsidR="002D638A" w:rsidRPr="00D8141D" w14:paraId="07ADCCD4" w14:textId="77777777" w:rsidTr="00D8141D">
        <w:tc>
          <w:tcPr>
            <w:tcW w:w="4678" w:type="dxa"/>
            <w:tcBorders>
              <w:top w:val="nil"/>
              <w:left w:val="nil"/>
              <w:bottom w:val="single" w:sz="4" w:space="0" w:color="auto"/>
              <w:right w:val="nil"/>
            </w:tcBorders>
            <w:shd w:val="clear" w:color="auto" w:fill="auto"/>
          </w:tcPr>
          <w:p w14:paraId="59C2A833" w14:textId="77777777" w:rsidR="002D638A" w:rsidRPr="00D8141D" w:rsidRDefault="002D638A" w:rsidP="00D8141D">
            <w:pPr>
              <w:widowControl w:val="0"/>
              <w:spacing w:after="80" w:line="290" w:lineRule="auto"/>
              <w:rPr>
                <w:rFonts w:eastAsia="Times New Roman" w:cs="Calibri"/>
                <w:b/>
                <w:lang w:eastAsia="pt-BR"/>
              </w:rPr>
            </w:pPr>
            <w:r w:rsidRPr="00D8141D">
              <w:rPr>
                <w:rFonts w:eastAsia="Times New Roman" w:cs="Calibri"/>
                <w:b/>
                <w:lang w:eastAsia="pt-BR"/>
              </w:rPr>
              <w:t>Emissora</w:t>
            </w:r>
          </w:p>
        </w:tc>
        <w:tc>
          <w:tcPr>
            <w:tcW w:w="4113" w:type="dxa"/>
            <w:tcBorders>
              <w:top w:val="nil"/>
              <w:left w:val="nil"/>
              <w:bottom w:val="single" w:sz="4" w:space="0" w:color="auto"/>
              <w:right w:val="nil"/>
            </w:tcBorders>
            <w:shd w:val="clear" w:color="auto" w:fill="auto"/>
          </w:tcPr>
          <w:p w14:paraId="1BBB9E1F" w14:textId="77777777" w:rsidR="002D638A" w:rsidRPr="00D8141D" w:rsidRDefault="002D638A" w:rsidP="00D8141D">
            <w:pPr>
              <w:widowControl w:val="0"/>
              <w:spacing w:after="80" w:line="290" w:lineRule="auto"/>
              <w:rPr>
                <w:rFonts w:eastAsia="Times New Roman" w:cs="Calibri"/>
                <w:b/>
                <w:lang w:eastAsia="pt-BR"/>
              </w:rPr>
            </w:pPr>
            <w:r w:rsidRPr="00D8141D">
              <w:rPr>
                <w:rFonts w:eastAsia="Times New Roman" w:cs="Calibri"/>
                <w:b/>
                <w:lang w:eastAsia="pt-BR"/>
              </w:rPr>
              <w:t>Coordenador Líder</w:t>
            </w:r>
          </w:p>
        </w:tc>
      </w:tr>
      <w:tr w:rsidR="002D638A" w:rsidRPr="00D8141D" w14:paraId="19293B5F" w14:textId="77777777" w:rsidTr="00D8141D">
        <w:tc>
          <w:tcPr>
            <w:tcW w:w="4678" w:type="dxa"/>
            <w:tcBorders>
              <w:left w:val="nil"/>
              <w:bottom w:val="nil"/>
              <w:right w:val="nil"/>
            </w:tcBorders>
            <w:shd w:val="clear" w:color="auto" w:fill="auto"/>
          </w:tcPr>
          <w:p w14:paraId="31979205" w14:textId="77777777" w:rsidR="002D638A" w:rsidRPr="00566CD3" w:rsidRDefault="002D638A" w:rsidP="00D8141D">
            <w:pPr>
              <w:widowControl w:val="0"/>
              <w:spacing w:after="140" w:line="290" w:lineRule="auto"/>
              <w:rPr>
                <w:b/>
              </w:rPr>
            </w:pPr>
            <w:r w:rsidRPr="00566CD3">
              <w:rPr>
                <w:b/>
                <w:smallCaps/>
              </w:rPr>
              <w:t>SÃO MARTINHO S.A.</w:t>
            </w:r>
            <w:r w:rsidRPr="00566CD3">
              <w:rPr>
                <w:b/>
                <w:smallCaps/>
              </w:rPr>
              <w:br/>
            </w:r>
            <w:r w:rsidRPr="00566CD3">
              <w:t>Rua Geraldo Flausino Gomes, 61</w:t>
            </w:r>
            <w:r w:rsidRPr="00566CD3">
              <w:br/>
              <w:t>CEP 04575-060 - São Paulo – SP</w:t>
            </w:r>
            <w:r w:rsidRPr="00566CD3">
              <w:br/>
              <w:t>At.: Cristiane Mendes Pigatto</w:t>
            </w:r>
            <w:r w:rsidRPr="00566CD3">
              <w:br/>
              <w:t>Telefone: (11) 2105-4100</w:t>
            </w:r>
            <w:r w:rsidRPr="00566CD3">
              <w:br/>
              <w:t>E-mail:</w:t>
            </w:r>
            <w:r w:rsidR="00FF38D5" w:rsidRPr="00566CD3">
              <w:t xml:space="preserve"> cristiane.pigatto@saomartinho.com.br</w:t>
            </w:r>
            <w:r w:rsidR="005777AA" w:rsidRPr="00566CD3">
              <w:t xml:space="preserve"> / financeiro_corporativo@saomartinho.com.br</w:t>
            </w:r>
            <w:r w:rsidRPr="00566CD3">
              <w:br/>
              <w:t>Website: https://ri.saomartinho.com.br/</w:t>
            </w:r>
          </w:p>
        </w:tc>
        <w:tc>
          <w:tcPr>
            <w:tcW w:w="4113" w:type="dxa"/>
            <w:tcBorders>
              <w:left w:val="nil"/>
              <w:bottom w:val="nil"/>
              <w:right w:val="nil"/>
            </w:tcBorders>
            <w:shd w:val="clear" w:color="auto" w:fill="auto"/>
          </w:tcPr>
          <w:p w14:paraId="1EC99BB7" w14:textId="77777777" w:rsidR="002D638A" w:rsidRPr="00566CD3" w:rsidRDefault="002D638A" w:rsidP="00D8141D">
            <w:pPr>
              <w:widowControl w:val="0"/>
              <w:spacing w:line="290" w:lineRule="auto"/>
            </w:pPr>
            <w:r w:rsidRPr="00566CD3">
              <w:rPr>
                <w:b/>
              </w:rPr>
              <w:t>XP INVESTIMENTOS CORRETORA DE CÂMBIO, TÍTULOS E VALORES MOBILIÁRIOS S.A.</w:t>
            </w:r>
            <w:r w:rsidRPr="00566CD3">
              <w:br/>
              <w:t>Av. Juscelino Kubitscheck 1909 – Torre Sul 30º andar</w:t>
            </w:r>
            <w:r w:rsidRPr="00566CD3">
              <w:br/>
              <w:t xml:space="preserve">CEP 04543-907 – São Paulo, SP </w:t>
            </w:r>
            <w:r w:rsidRPr="00566CD3">
              <w:br/>
              <w:t>At.: Departamento Jurídico e DCM</w:t>
            </w:r>
            <w:r w:rsidRPr="00566CD3">
              <w:br/>
              <w:t>Tel.: +55 (11) 4871-4378</w:t>
            </w:r>
            <w:r w:rsidRPr="00566CD3">
              <w:br/>
              <w:t>E-mail: juridicomc@xpi.com.br / dcm@xpi.com.br</w:t>
            </w:r>
          </w:p>
          <w:p w14:paraId="3767836A" w14:textId="77777777" w:rsidR="002D638A" w:rsidRPr="00D8141D" w:rsidRDefault="002D638A" w:rsidP="00D8141D">
            <w:pPr>
              <w:widowControl w:val="0"/>
              <w:spacing w:after="140" w:line="290" w:lineRule="auto"/>
              <w:rPr>
                <w:rFonts w:eastAsia="Times New Roman" w:cs="Calibri"/>
                <w:b/>
                <w:lang w:eastAsia="pt-BR"/>
              </w:rPr>
            </w:pPr>
            <w:r w:rsidRPr="00D8141D">
              <w:rPr>
                <w:rFonts w:cs="Calibri"/>
              </w:rPr>
              <w:t>Website: www.xpi.com.br</w:t>
            </w:r>
          </w:p>
        </w:tc>
      </w:tr>
      <w:tr w:rsidR="00E71C12" w:rsidRPr="0082022E" w14:paraId="5C102374" w14:textId="77777777" w:rsidTr="00D8141D">
        <w:tc>
          <w:tcPr>
            <w:tcW w:w="4678" w:type="dxa"/>
            <w:tcBorders>
              <w:top w:val="nil"/>
              <w:left w:val="nil"/>
              <w:bottom w:val="single" w:sz="4" w:space="0" w:color="auto"/>
              <w:right w:val="nil"/>
            </w:tcBorders>
            <w:shd w:val="clear" w:color="auto" w:fill="auto"/>
          </w:tcPr>
          <w:p w14:paraId="5DD77863" w14:textId="3AA72758" w:rsidR="00E71C12" w:rsidRPr="00566CD3" w:rsidRDefault="00E71C12" w:rsidP="00E71C12">
            <w:pPr>
              <w:widowControl w:val="0"/>
              <w:spacing w:after="80" w:line="290" w:lineRule="auto"/>
              <w:rPr>
                <w:b/>
                <w:smallCaps/>
              </w:rPr>
            </w:pPr>
            <w:r w:rsidRPr="00D33DFE">
              <w:rPr>
                <w:rFonts w:cs="Calibri"/>
                <w:b/>
                <w:bCs/>
                <w:lang w:eastAsia="pt-BR"/>
              </w:rPr>
              <w:t>Consultores Legais do Coordenador Líder</w:t>
            </w:r>
          </w:p>
        </w:tc>
        <w:tc>
          <w:tcPr>
            <w:tcW w:w="4113" w:type="dxa"/>
            <w:tcBorders>
              <w:top w:val="nil"/>
              <w:left w:val="nil"/>
              <w:bottom w:val="single" w:sz="4" w:space="0" w:color="auto"/>
              <w:right w:val="nil"/>
            </w:tcBorders>
            <w:shd w:val="clear" w:color="auto" w:fill="auto"/>
          </w:tcPr>
          <w:p w14:paraId="2E3255BE" w14:textId="399D3EC6" w:rsidR="00E71C12" w:rsidRPr="00566CD3" w:rsidRDefault="00E71C12" w:rsidP="00E71C12">
            <w:pPr>
              <w:widowControl w:val="0"/>
              <w:spacing w:after="80" w:line="290" w:lineRule="auto"/>
              <w:rPr>
                <w:b/>
              </w:rPr>
            </w:pPr>
            <w:r w:rsidRPr="00D33DFE">
              <w:rPr>
                <w:rFonts w:cs="Calibri"/>
                <w:b/>
                <w:bCs/>
                <w:lang w:eastAsia="pt-BR"/>
              </w:rPr>
              <w:t>Consultores Legais da Emissora</w:t>
            </w:r>
          </w:p>
        </w:tc>
      </w:tr>
      <w:tr w:rsidR="002D638A" w:rsidRPr="0082022E" w14:paraId="44FA130E" w14:textId="77777777" w:rsidTr="00D8141D">
        <w:tc>
          <w:tcPr>
            <w:tcW w:w="4678" w:type="dxa"/>
            <w:tcBorders>
              <w:left w:val="nil"/>
              <w:bottom w:val="nil"/>
              <w:right w:val="nil"/>
            </w:tcBorders>
            <w:shd w:val="clear" w:color="auto" w:fill="auto"/>
          </w:tcPr>
          <w:p w14:paraId="722CF347" w14:textId="77777777" w:rsidR="002D638A" w:rsidRPr="00566CD3" w:rsidRDefault="002D638A" w:rsidP="00D8141D">
            <w:pPr>
              <w:widowControl w:val="0"/>
              <w:spacing w:after="140" w:line="290" w:lineRule="auto"/>
              <w:rPr>
                <w:b/>
              </w:rPr>
            </w:pPr>
            <w:r w:rsidRPr="00566CD3">
              <w:rPr>
                <w:b/>
              </w:rPr>
              <w:t>DEMAREST ADVOGADOS</w:t>
            </w:r>
            <w:r w:rsidRPr="00566CD3">
              <w:rPr>
                <w:b/>
              </w:rPr>
              <w:br/>
            </w:r>
            <w:r w:rsidRPr="00566CD3">
              <w:t xml:space="preserve">At.: Sr. Thiago Giantomassi </w:t>
            </w:r>
            <w:r w:rsidRPr="00566CD3">
              <w:br/>
              <w:t>Avenida Pedroso de Moraes, 1.201 - Centro Cultural Ohtake</w:t>
            </w:r>
            <w:r w:rsidRPr="00566CD3">
              <w:br/>
              <w:t>CEP 05419-001, São Paulo, SP</w:t>
            </w:r>
            <w:r w:rsidRPr="00566CD3">
              <w:br/>
              <w:t>Tel.: +55 (11) 3356-1800</w:t>
            </w:r>
            <w:r w:rsidRPr="00566CD3">
              <w:br/>
            </w:r>
            <w:r w:rsidR="00972FCC" w:rsidRPr="00566CD3">
              <w:t>E-mail: tgiantomassi@demarest.com.br</w:t>
            </w:r>
            <w:r w:rsidRPr="00566CD3">
              <w:t xml:space="preserve"> / </w:t>
            </w:r>
            <w:r w:rsidR="00972FCC" w:rsidRPr="00566CD3">
              <w:t>debenture.saomartinho@demarest.com.br</w:t>
            </w:r>
            <w:r w:rsidRPr="00566CD3">
              <w:br/>
              <w:t xml:space="preserve">Website: </w:t>
            </w:r>
            <w:r w:rsidR="00972FCC" w:rsidRPr="00566CD3">
              <w:t xml:space="preserve">www.demarest.com.br </w:t>
            </w:r>
          </w:p>
        </w:tc>
        <w:tc>
          <w:tcPr>
            <w:tcW w:w="4113" w:type="dxa"/>
            <w:tcBorders>
              <w:left w:val="nil"/>
              <w:bottom w:val="nil"/>
              <w:right w:val="nil"/>
            </w:tcBorders>
            <w:shd w:val="clear" w:color="auto" w:fill="auto"/>
          </w:tcPr>
          <w:p w14:paraId="417DD857" w14:textId="77777777" w:rsidR="002D638A" w:rsidRPr="00566CD3" w:rsidRDefault="002D638A" w:rsidP="00D8141D">
            <w:pPr>
              <w:widowControl w:val="0"/>
              <w:spacing w:after="140" w:line="290" w:lineRule="auto"/>
              <w:rPr>
                <w:b/>
              </w:rPr>
            </w:pPr>
            <w:r w:rsidRPr="00566CD3">
              <w:rPr>
                <w:b/>
              </w:rPr>
              <w:t xml:space="preserve">LOBO </w:t>
            </w:r>
            <w:r w:rsidR="005777AA" w:rsidRPr="00566CD3">
              <w:rPr>
                <w:b/>
              </w:rPr>
              <w:t xml:space="preserve">&amp; </w:t>
            </w:r>
            <w:r w:rsidRPr="00566CD3">
              <w:rPr>
                <w:b/>
              </w:rPr>
              <w:t>DE RIZZO ADVOGADOS</w:t>
            </w:r>
          </w:p>
          <w:p w14:paraId="13E14AAA" w14:textId="77777777" w:rsidR="002D638A" w:rsidRPr="00566CD3" w:rsidRDefault="005777AA" w:rsidP="00D8141D">
            <w:pPr>
              <w:widowControl w:val="0"/>
              <w:spacing w:after="140" w:line="290" w:lineRule="auto"/>
              <w:rPr>
                <w:b/>
              </w:rPr>
            </w:pPr>
            <w:r w:rsidRPr="00566CD3">
              <w:t>At.: Fabrizio Sasdelli</w:t>
            </w:r>
            <w:r w:rsidRPr="00566CD3">
              <w:br/>
              <w:t>Av. Brigadeiro Faria Lima, 3.900, 12º andar</w:t>
            </w:r>
            <w:r w:rsidRPr="00566CD3">
              <w:br/>
              <w:t>CEP 04538-132, São Paulo, SP</w:t>
            </w:r>
            <w:r w:rsidRPr="00566CD3">
              <w:br/>
              <w:t>Tel.: +55 (11) 3702-7000</w:t>
            </w:r>
            <w:r w:rsidRPr="00566CD3">
              <w:br/>
              <w:t>E-mail: Fabrizio.sasdelli@ldr.com.br</w:t>
            </w:r>
            <w:r w:rsidRPr="00566CD3">
              <w:br/>
              <w:t>Website: www.ldr.com.br</w:t>
            </w:r>
          </w:p>
        </w:tc>
      </w:tr>
    </w:tbl>
    <w:p w14:paraId="48B9DBDF" w14:textId="77777777" w:rsidR="00535041" w:rsidRPr="00566CD3" w:rsidRDefault="009E5F9A">
      <w:pPr>
        <w:rPr>
          <w:sz w:val="2"/>
        </w:rPr>
      </w:pPr>
      <w:r w:rsidRPr="00566C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3"/>
      </w:tblGrid>
      <w:tr w:rsidR="002D638A" w:rsidRPr="00D8141D" w14:paraId="0426CA81" w14:textId="77777777" w:rsidTr="00D8141D">
        <w:tc>
          <w:tcPr>
            <w:tcW w:w="4678" w:type="dxa"/>
            <w:tcBorders>
              <w:top w:val="nil"/>
              <w:left w:val="nil"/>
              <w:bottom w:val="single" w:sz="4" w:space="0" w:color="auto"/>
              <w:right w:val="nil"/>
            </w:tcBorders>
            <w:shd w:val="clear" w:color="auto" w:fill="auto"/>
          </w:tcPr>
          <w:p w14:paraId="1D34E769" w14:textId="77777777" w:rsidR="002D638A" w:rsidRPr="00D8141D" w:rsidRDefault="002D638A" w:rsidP="00D8141D">
            <w:pPr>
              <w:widowControl w:val="0"/>
              <w:spacing w:after="80" w:line="290" w:lineRule="auto"/>
              <w:rPr>
                <w:rFonts w:eastAsia="Times New Roman" w:cs="Calibri"/>
                <w:b/>
                <w:bCs/>
                <w:lang w:eastAsia="pt-BR"/>
              </w:rPr>
            </w:pPr>
            <w:r w:rsidRPr="00D8141D">
              <w:rPr>
                <w:rFonts w:eastAsia="Times New Roman" w:cs="Calibri"/>
                <w:b/>
                <w:bCs/>
                <w:lang w:eastAsia="pt-BR"/>
              </w:rPr>
              <w:lastRenderedPageBreak/>
              <w:t>Agente Fiduciário</w:t>
            </w:r>
          </w:p>
        </w:tc>
        <w:tc>
          <w:tcPr>
            <w:tcW w:w="4113" w:type="dxa"/>
            <w:tcBorders>
              <w:top w:val="nil"/>
              <w:left w:val="nil"/>
              <w:bottom w:val="single" w:sz="4" w:space="0" w:color="auto"/>
              <w:right w:val="nil"/>
            </w:tcBorders>
            <w:shd w:val="clear" w:color="auto" w:fill="auto"/>
          </w:tcPr>
          <w:p w14:paraId="119E621E" w14:textId="77777777" w:rsidR="002D638A" w:rsidRPr="00D8141D" w:rsidRDefault="009D09A0" w:rsidP="00D8141D">
            <w:pPr>
              <w:widowControl w:val="0"/>
              <w:spacing w:after="80" w:line="290" w:lineRule="auto"/>
              <w:rPr>
                <w:rFonts w:eastAsia="Times New Roman" w:cs="Calibri"/>
                <w:b/>
                <w:bCs/>
                <w:lang w:eastAsia="pt-BR"/>
              </w:rPr>
            </w:pPr>
            <w:r w:rsidRPr="00D8141D">
              <w:rPr>
                <w:rFonts w:eastAsia="Times New Roman" w:cs="Calibri"/>
                <w:b/>
                <w:bCs/>
                <w:lang w:eastAsia="pt-BR"/>
              </w:rPr>
              <w:t>Agente de Liquidação</w:t>
            </w:r>
          </w:p>
        </w:tc>
      </w:tr>
      <w:tr w:rsidR="002D638A" w:rsidRPr="00D8141D" w14:paraId="56984C4B" w14:textId="77777777" w:rsidTr="00D8141D">
        <w:tc>
          <w:tcPr>
            <w:tcW w:w="4678" w:type="dxa"/>
            <w:tcBorders>
              <w:left w:val="nil"/>
              <w:bottom w:val="nil"/>
              <w:right w:val="nil"/>
            </w:tcBorders>
            <w:shd w:val="clear" w:color="auto" w:fill="auto"/>
          </w:tcPr>
          <w:p w14:paraId="5F3373C7" w14:textId="77777777" w:rsidR="002D638A" w:rsidRPr="00566CD3" w:rsidRDefault="00972FCC" w:rsidP="00D8141D">
            <w:pPr>
              <w:widowControl w:val="0"/>
              <w:spacing w:after="80" w:line="290" w:lineRule="auto"/>
              <w:rPr>
                <w:b/>
              </w:rPr>
            </w:pPr>
            <w:r w:rsidRPr="00566CD3">
              <w:rPr>
                <w:b/>
              </w:rPr>
              <w:t>SIMPLIFIC PAVARINI DISITRIBUIDORA DE TÍTULOS E VALORES MOBILIÁRIOS LTDA.</w:t>
            </w:r>
          </w:p>
          <w:p w14:paraId="53ED8CFB" w14:textId="77777777" w:rsidR="00E113A2" w:rsidRPr="00566CD3" w:rsidRDefault="00FF38D5" w:rsidP="00D8141D">
            <w:pPr>
              <w:widowControl w:val="0"/>
              <w:spacing w:after="140" w:line="290" w:lineRule="auto"/>
            </w:pPr>
            <w:r w:rsidRPr="00566CD3">
              <w:t xml:space="preserve">At.: Matheus Gomes Faria / Pedro Paulo Farme d’Amoed Fernandes de Oliveira </w:t>
            </w:r>
            <w:r w:rsidRPr="00566CD3">
              <w:br/>
              <w:t xml:space="preserve">Rua Joaquim Floriano 466, bloco B, conj 1401 </w:t>
            </w:r>
            <w:r w:rsidRPr="00566CD3">
              <w:br/>
              <w:t xml:space="preserve">CEP 04534-002 – São Paulo, SP </w:t>
            </w:r>
          </w:p>
          <w:p w14:paraId="5B466468" w14:textId="77777777" w:rsidR="00972FCC" w:rsidRPr="00566CD3" w:rsidRDefault="00FF38D5" w:rsidP="00D8141D">
            <w:pPr>
              <w:widowControl w:val="0"/>
              <w:spacing w:after="140" w:line="290" w:lineRule="auto"/>
              <w:rPr>
                <w:b/>
              </w:rPr>
            </w:pPr>
            <w:r w:rsidRPr="00566CD3">
              <w:t>Telefone: (11) 3090-0447 / (21) 2507-1949</w:t>
            </w:r>
            <w:r w:rsidRPr="00566CD3">
              <w:br/>
              <w:t>E-mail: spestruturacao@simplificpavarini.com.br</w:t>
            </w:r>
            <w:r w:rsidRPr="00566CD3" w:rsidDel="00BC49AF">
              <w:t xml:space="preserve"> </w:t>
            </w:r>
            <w:r w:rsidRPr="00566CD3">
              <w:br/>
            </w:r>
            <w:r w:rsidR="00972FCC" w:rsidRPr="00566CD3">
              <w:t xml:space="preserve">Website: </w:t>
            </w:r>
            <w:r w:rsidRPr="00566CD3">
              <w:t>https://www.simplificpavarini.com.br/</w:t>
            </w:r>
            <w:r w:rsidRPr="00566CD3" w:rsidDel="00FF38D5">
              <w:t xml:space="preserve"> </w:t>
            </w:r>
          </w:p>
        </w:tc>
        <w:tc>
          <w:tcPr>
            <w:tcW w:w="4113" w:type="dxa"/>
            <w:tcBorders>
              <w:left w:val="nil"/>
              <w:bottom w:val="nil"/>
              <w:right w:val="nil"/>
            </w:tcBorders>
            <w:shd w:val="clear" w:color="auto" w:fill="auto"/>
          </w:tcPr>
          <w:p w14:paraId="3686C0D9" w14:textId="77777777" w:rsidR="002D638A" w:rsidRPr="00566CD3" w:rsidRDefault="00972FCC" w:rsidP="00D8141D">
            <w:pPr>
              <w:widowControl w:val="0"/>
              <w:spacing w:line="290" w:lineRule="auto"/>
              <w:rPr>
                <w:b/>
              </w:rPr>
            </w:pPr>
            <w:r w:rsidRPr="00566CD3">
              <w:rPr>
                <w:b/>
              </w:rPr>
              <w:t>VÓRTX DISTRIBUIDORA DE TÍTULOS E VALORES MOBILIÁRIOS LTDA.</w:t>
            </w:r>
          </w:p>
          <w:p w14:paraId="6AA12137" w14:textId="77777777" w:rsidR="00972FCC" w:rsidRPr="00566CD3" w:rsidRDefault="00972FCC" w:rsidP="00D8141D">
            <w:pPr>
              <w:widowControl w:val="0"/>
              <w:spacing w:line="290" w:lineRule="auto"/>
            </w:pPr>
            <w:r w:rsidRPr="00566CD3">
              <w:t xml:space="preserve">At.: </w:t>
            </w:r>
            <w:r w:rsidR="000134C0" w:rsidRPr="00566CD3">
              <w:t>Eugênia Souza / Marcio Teixeira</w:t>
            </w:r>
          </w:p>
          <w:p w14:paraId="428439C2" w14:textId="77777777" w:rsidR="00972FCC" w:rsidRPr="00566CD3" w:rsidRDefault="000134C0" w:rsidP="00D8141D">
            <w:pPr>
              <w:widowControl w:val="0"/>
              <w:spacing w:line="290" w:lineRule="auto"/>
            </w:pPr>
            <w:r w:rsidRPr="00566CD3">
              <w:t>Rua Gilberto Sabino, nº 215, 4º andar, Pinheiros</w:t>
            </w:r>
          </w:p>
          <w:p w14:paraId="65A8AE34" w14:textId="77777777" w:rsidR="00972FCC" w:rsidRPr="00566CD3" w:rsidRDefault="00972FCC" w:rsidP="00D8141D">
            <w:pPr>
              <w:widowControl w:val="0"/>
              <w:spacing w:line="290" w:lineRule="auto"/>
            </w:pPr>
            <w:r w:rsidRPr="00566CD3">
              <w:t xml:space="preserve">CEP </w:t>
            </w:r>
            <w:r w:rsidR="000134C0" w:rsidRPr="00566CD3">
              <w:t>05425-020 – São Paulo, SP</w:t>
            </w:r>
          </w:p>
          <w:p w14:paraId="132FDBDB" w14:textId="77777777" w:rsidR="00972FCC" w:rsidRPr="00566CD3" w:rsidRDefault="00972FCC" w:rsidP="00D8141D">
            <w:pPr>
              <w:widowControl w:val="0"/>
              <w:spacing w:line="290" w:lineRule="auto"/>
            </w:pPr>
            <w:r w:rsidRPr="00566CD3">
              <w:t xml:space="preserve">Tel.: </w:t>
            </w:r>
            <w:r w:rsidR="000134C0" w:rsidRPr="00566CD3">
              <w:t>(11) 3030-7177</w:t>
            </w:r>
          </w:p>
          <w:p w14:paraId="2E1227AB" w14:textId="7D5BBDCF" w:rsidR="00972FCC" w:rsidRPr="00566CD3" w:rsidRDefault="00972FCC" w:rsidP="00D8141D">
            <w:pPr>
              <w:widowControl w:val="0"/>
              <w:spacing w:line="290" w:lineRule="auto"/>
            </w:pPr>
            <w:r w:rsidRPr="00566CD3">
              <w:t xml:space="preserve">E-mail: </w:t>
            </w:r>
            <w:hyperlink r:id="rId31" w:history="1">
              <w:r w:rsidR="000134C0" w:rsidRPr="00566CD3">
                <w:rPr>
                  <w:rStyle w:val="Hyperlink"/>
                  <w:rFonts w:ascii="Calibri" w:hAnsi="Calibri"/>
                </w:rPr>
                <w:t>agentefiduciario@vortx.com.br</w:t>
              </w:r>
            </w:hyperlink>
            <w:r w:rsidR="000134C0" w:rsidRPr="00566CD3">
              <w:t>; pu@vortx.com.br</w:t>
            </w:r>
          </w:p>
          <w:p w14:paraId="09888D10" w14:textId="77777777" w:rsidR="00972FCC" w:rsidRPr="00D8141D" w:rsidRDefault="00972FCC" w:rsidP="00D8141D">
            <w:pPr>
              <w:widowControl w:val="0"/>
              <w:spacing w:line="290" w:lineRule="auto"/>
              <w:rPr>
                <w:rFonts w:eastAsia="Times New Roman" w:cs="Calibri"/>
                <w:lang w:eastAsia="pt-BR"/>
              </w:rPr>
            </w:pPr>
            <w:r w:rsidRPr="00D8141D">
              <w:rPr>
                <w:rFonts w:eastAsia="Times New Roman" w:cs="Calibri"/>
                <w:lang w:eastAsia="pt-BR"/>
              </w:rPr>
              <w:t xml:space="preserve">Website: </w:t>
            </w:r>
            <w:r w:rsidR="000134C0" w:rsidRPr="00D8141D">
              <w:rPr>
                <w:rFonts w:eastAsia="Times New Roman" w:cs="Calibri"/>
                <w:lang w:eastAsia="pt-BR"/>
              </w:rPr>
              <w:t>https://vortx.com.br/</w:t>
            </w:r>
          </w:p>
        </w:tc>
      </w:tr>
      <w:tr w:rsidR="00106CC0" w:rsidRPr="00D8141D" w14:paraId="4A9596D3" w14:textId="77777777" w:rsidTr="00D8141D">
        <w:tc>
          <w:tcPr>
            <w:tcW w:w="4678" w:type="dxa"/>
            <w:tcBorders>
              <w:top w:val="nil"/>
              <w:left w:val="nil"/>
              <w:bottom w:val="single" w:sz="4" w:space="0" w:color="auto"/>
              <w:right w:val="nil"/>
            </w:tcBorders>
            <w:shd w:val="clear" w:color="auto" w:fill="auto"/>
          </w:tcPr>
          <w:p w14:paraId="2BB3BCE7" w14:textId="77777777" w:rsidR="00106CC0" w:rsidRPr="00D8141D" w:rsidRDefault="00972FCC" w:rsidP="00D8141D">
            <w:pPr>
              <w:widowControl w:val="0"/>
              <w:spacing w:after="140" w:line="290" w:lineRule="auto"/>
              <w:rPr>
                <w:rFonts w:eastAsia="Times New Roman" w:cs="Calibri"/>
                <w:b/>
                <w:bCs/>
                <w:lang w:eastAsia="pt-BR"/>
              </w:rPr>
            </w:pPr>
            <w:r w:rsidRPr="00D8141D">
              <w:rPr>
                <w:rFonts w:eastAsia="Times New Roman" w:cs="Calibri"/>
                <w:b/>
                <w:bCs/>
                <w:lang w:eastAsia="pt-BR"/>
              </w:rPr>
              <w:t>Escriturador</w:t>
            </w:r>
            <w:r w:rsidR="005777AA" w:rsidRPr="00D8141D">
              <w:rPr>
                <w:rFonts w:cs="Calibri"/>
                <w:b/>
                <w:bCs/>
                <w:lang w:eastAsia="pt-BR"/>
              </w:rPr>
              <w:t xml:space="preserve"> das Debêntures</w:t>
            </w:r>
          </w:p>
        </w:tc>
        <w:tc>
          <w:tcPr>
            <w:tcW w:w="4113" w:type="dxa"/>
            <w:tcBorders>
              <w:top w:val="nil"/>
              <w:left w:val="nil"/>
              <w:bottom w:val="single" w:sz="4" w:space="0" w:color="auto"/>
              <w:right w:val="nil"/>
            </w:tcBorders>
            <w:shd w:val="clear" w:color="auto" w:fill="auto"/>
          </w:tcPr>
          <w:p w14:paraId="2962B3B9" w14:textId="77777777" w:rsidR="00106CC0" w:rsidRPr="00D8141D" w:rsidRDefault="00972FCC" w:rsidP="00D8141D">
            <w:pPr>
              <w:widowControl w:val="0"/>
              <w:spacing w:after="140" w:line="290" w:lineRule="auto"/>
              <w:rPr>
                <w:rFonts w:eastAsia="Times New Roman" w:cs="Calibri"/>
                <w:b/>
                <w:bCs/>
                <w:lang w:eastAsia="pt-BR"/>
              </w:rPr>
            </w:pPr>
            <w:r w:rsidRPr="00D8141D">
              <w:rPr>
                <w:rFonts w:eastAsia="Times New Roman" w:cs="Calibri"/>
                <w:b/>
                <w:bCs/>
                <w:lang w:eastAsia="pt-BR"/>
              </w:rPr>
              <w:t>Auditores Independentes</w:t>
            </w:r>
          </w:p>
        </w:tc>
      </w:tr>
      <w:tr w:rsidR="00106CC0" w:rsidRPr="00D8141D" w14:paraId="2585251E" w14:textId="77777777" w:rsidTr="00D8141D">
        <w:tc>
          <w:tcPr>
            <w:tcW w:w="4678" w:type="dxa"/>
            <w:tcBorders>
              <w:top w:val="single" w:sz="4" w:space="0" w:color="auto"/>
              <w:left w:val="nil"/>
              <w:bottom w:val="single" w:sz="4" w:space="0" w:color="auto"/>
              <w:right w:val="nil"/>
            </w:tcBorders>
            <w:shd w:val="clear" w:color="auto" w:fill="auto"/>
          </w:tcPr>
          <w:p w14:paraId="67C7F597" w14:textId="77777777" w:rsidR="00106CC0" w:rsidRPr="00566CD3" w:rsidRDefault="00972FCC" w:rsidP="00D8141D">
            <w:pPr>
              <w:widowControl w:val="0"/>
              <w:spacing w:after="140" w:line="290" w:lineRule="auto"/>
              <w:rPr>
                <w:b/>
              </w:rPr>
            </w:pPr>
            <w:r w:rsidRPr="00566CD3">
              <w:rPr>
                <w:b/>
              </w:rPr>
              <w:t>SIMPLIFIC PAVARINI DISITRIBUIDORA DE TÍTULOS E VALORES MOBILIÁRIOS LTDA.</w:t>
            </w:r>
          </w:p>
        </w:tc>
        <w:tc>
          <w:tcPr>
            <w:tcW w:w="4113" w:type="dxa"/>
            <w:tcBorders>
              <w:top w:val="single" w:sz="4" w:space="0" w:color="auto"/>
              <w:left w:val="nil"/>
              <w:bottom w:val="single" w:sz="4" w:space="0" w:color="auto"/>
              <w:right w:val="nil"/>
            </w:tcBorders>
            <w:shd w:val="clear" w:color="auto" w:fill="auto"/>
          </w:tcPr>
          <w:p w14:paraId="7D2592FE" w14:textId="77777777" w:rsidR="00106CC0" w:rsidRPr="00D8141D" w:rsidRDefault="005777AA" w:rsidP="00D8141D">
            <w:pPr>
              <w:widowControl w:val="0"/>
              <w:spacing w:after="140" w:line="290" w:lineRule="auto"/>
              <w:rPr>
                <w:rFonts w:eastAsia="Times New Roman" w:cs="Calibri"/>
                <w:b/>
                <w:bCs/>
                <w:lang w:eastAsia="pt-BR"/>
              </w:rPr>
            </w:pPr>
            <w:r w:rsidRPr="00D8141D">
              <w:rPr>
                <w:rFonts w:eastAsia="Times New Roman" w:cs="Calibri"/>
                <w:b/>
                <w:bCs/>
                <w:lang w:eastAsia="pt-BR"/>
              </w:rPr>
              <w:t>PRICEWATERHOUSECOOPERS AUDITORES INDEPENDENTES</w:t>
            </w:r>
          </w:p>
        </w:tc>
      </w:tr>
      <w:tr w:rsidR="00972FCC" w:rsidRPr="0082022E" w14:paraId="014D040A" w14:textId="77777777" w:rsidTr="00D8141D">
        <w:tc>
          <w:tcPr>
            <w:tcW w:w="4678" w:type="dxa"/>
            <w:tcBorders>
              <w:top w:val="single" w:sz="4" w:space="0" w:color="auto"/>
              <w:left w:val="nil"/>
              <w:bottom w:val="nil"/>
              <w:right w:val="nil"/>
            </w:tcBorders>
            <w:shd w:val="clear" w:color="auto" w:fill="auto"/>
          </w:tcPr>
          <w:p w14:paraId="7FEDB9B3" w14:textId="77777777" w:rsidR="00972FCC" w:rsidRPr="00566CD3" w:rsidRDefault="00FF38D5" w:rsidP="00D8141D">
            <w:pPr>
              <w:widowControl w:val="0"/>
              <w:spacing w:after="140" w:line="290" w:lineRule="auto"/>
              <w:rPr>
                <w:b/>
              </w:rPr>
            </w:pPr>
            <w:r w:rsidRPr="00566CD3">
              <w:t xml:space="preserve">At.: Matheus Gomes Faria / Pedro Paulo Farme d’Amoed Fernandes de Oliveira </w:t>
            </w:r>
            <w:r w:rsidRPr="00566CD3">
              <w:br/>
              <w:t xml:space="preserve">Rua Joaquim Floriano 466, bloco B, conj 1401 </w:t>
            </w:r>
            <w:r w:rsidRPr="00566CD3">
              <w:br/>
              <w:t xml:space="preserve">CEP 04534-002 – São Paulo, SP </w:t>
            </w:r>
            <w:r w:rsidRPr="00566CD3">
              <w:br/>
              <w:t>Telefone: (11) 3090-0447 / (21) 2507-1949</w:t>
            </w:r>
            <w:r w:rsidRPr="00566CD3">
              <w:br/>
              <w:t>E-mail: spestruturacao@simplificpavarini.com.br</w:t>
            </w:r>
            <w:r w:rsidRPr="00566CD3" w:rsidDel="00BC49AF">
              <w:t xml:space="preserve"> </w:t>
            </w:r>
            <w:r w:rsidRPr="00566CD3">
              <w:br/>
              <w:t>Website: https://www.simplificpavarini.com.br/</w:t>
            </w:r>
          </w:p>
        </w:tc>
        <w:tc>
          <w:tcPr>
            <w:tcW w:w="4113" w:type="dxa"/>
            <w:tcBorders>
              <w:top w:val="single" w:sz="4" w:space="0" w:color="auto"/>
              <w:left w:val="nil"/>
              <w:bottom w:val="nil"/>
              <w:right w:val="nil"/>
            </w:tcBorders>
            <w:shd w:val="clear" w:color="auto" w:fill="auto"/>
          </w:tcPr>
          <w:p w14:paraId="5DFA0502" w14:textId="77777777" w:rsidR="005777AA" w:rsidRPr="00566CD3" w:rsidRDefault="005777AA" w:rsidP="005777AA">
            <w:r w:rsidRPr="00566CD3">
              <w:t>At.: Sr. Mauricio Cardoso de Moraes | CPF.: 795.008.389-15</w:t>
            </w:r>
          </w:p>
          <w:p w14:paraId="5B9EF6AA" w14:textId="77777777" w:rsidR="005777AA" w:rsidRPr="00566CD3" w:rsidRDefault="005777AA" w:rsidP="005777AA">
            <w:r w:rsidRPr="00566CD3">
              <w:t>Endereço: Av. Antônio Diederichsen, 400 - 22º andar</w:t>
            </w:r>
          </w:p>
          <w:p w14:paraId="7C69C8E5" w14:textId="77777777" w:rsidR="00972FCC" w:rsidRPr="00566CD3" w:rsidRDefault="005777AA" w:rsidP="00D8141D">
            <w:pPr>
              <w:widowControl w:val="0"/>
              <w:spacing w:after="140" w:line="290" w:lineRule="auto"/>
              <w:rPr>
                <w:b/>
              </w:rPr>
            </w:pPr>
            <w:r w:rsidRPr="00566CD3">
              <w:t>CEP: 14020-250, Ribeirão Preto/SP</w:t>
            </w:r>
            <w:r w:rsidRPr="00566CD3">
              <w:br/>
              <w:t>Telefone: (16) 3516-6600</w:t>
            </w:r>
            <w:r w:rsidRPr="00566CD3">
              <w:br/>
              <w:t>E-mail: mauricio.moraes@pwc.com</w:t>
            </w:r>
            <w:r w:rsidRPr="00566CD3">
              <w:br/>
              <w:t>Website: https://www.pwc.com.br/</w:t>
            </w:r>
          </w:p>
        </w:tc>
      </w:tr>
    </w:tbl>
    <w:p w14:paraId="02A09714" w14:textId="77777777" w:rsidR="00E8286C" w:rsidRPr="00566CD3" w:rsidRDefault="00E8286C" w:rsidP="009E2BE2">
      <w:pPr>
        <w:widowControl w:val="0"/>
        <w:spacing w:after="140" w:line="290" w:lineRule="auto"/>
        <w:jc w:val="both"/>
        <w:rPr>
          <w:b/>
        </w:rPr>
      </w:pPr>
      <w:r w:rsidRPr="00566CD3">
        <w:rPr>
          <w:b/>
        </w:rPr>
        <w:t>Declarações de Veracidade das Informações</w:t>
      </w:r>
    </w:p>
    <w:p w14:paraId="65D08A85" w14:textId="77777777" w:rsidR="00E8286C" w:rsidRPr="00566CD3" w:rsidRDefault="00E8286C" w:rsidP="009E2BE2">
      <w:pPr>
        <w:widowControl w:val="0"/>
        <w:spacing w:after="140" w:line="290" w:lineRule="auto"/>
        <w:jc w:val="both"/>
      </w:pPr>
      <w:r w:rsidRPr="00566CD3">
        <w:t xml:space="preserve">A Emissora e o Coordenador Líder prestaram declarações de veracidade das informações, nos termos do artigo 56 da Instrução CVM 400. Estas declarações de veracidade estão anexas a este Prospecto nos Anexos </w:t>
      </w:r>
      <w:r w:rsidR="00DB205D" w:rsidRPr="00566CD3">
        <w:t>“</w:t>
      </w:r>
      <w:r w:rsidR="00171900" w:rsidRPr="00566CD3">
        <w:t>E</w:t>
      </w:r>
      <w:r w:rsidR="00DB205D" w:rsidRPr="00566CD3">
        <w:t>”</w:t>
      </w:r>
      <w:r w:rsidR="00171900" w:rsidRPr="00566CD3">
        <w:t xml:space="preserve"> </w:t>
      </w:r>
      <w:r w:rsidRPr="00566CD3">
        <w:t xml:space="preserve">e </w:t>
      </w:r>
      <w:r w:rsidR="00DB205D" w:rsidRPr="00566CD3">
        <w:t>“</w:t>
      </w:r>
      <w:r w:rsidR="00171900" w:rsidRPr="00566CD3">
        <w:t>F</w:t>
      </w:r>
      <w:r w:rsidR="00DB205D" w:rsidRPr="00566CD3">
        <w:t>”,</w:t>
      </w:r>
      <w:r w:rsidRPr="00566CD3">
        <w:t xml:space="preserve"> respectivamente.</w:t>
      </w:r>
    </w:p>
    <w:p w14:paraId="0C5EF4C2" w14:textId="77777777" w:rsidR="007B4939" w:rsidRPr="00566CD3" w:rsidRDefault="007B4939" w:rsidP="007446FC">
      <w:pPr>
        <w:widowControl w:val="0"/>
        <w:spacing w:after="140" w:line="290" w:lineRule="auto"/>
        <w:jc w:val="both"/>
        <w:rPr>
          <w:b/>
        </w:rPr>
      </w:pPr>
      <w:r w:rsidRPr="00566CD3">
        <w:rPr>
          <w:b/>
        </w:rPr>
        <w:t>Declaração de Registro de Companhia Aberta Atualizado Perante a CVM</w:t>
      </w:r>
    </w:p>
    <w:p w14:paraId="31E078F0" w14:textId="77777777" w:rsidR="007B4939" w:rsidRPr="00D8141D" w:rsidRDefault="007B4939" w:rsidP="007B4939">
      <w:pPr>
        <w:pStyle w:val="Default"/>
        <w:jc w:val="both"/>
        <w:rPr>
          <w:rFonts w:ascii="Calibri" w:eastAsia="Times New Roman" w:hAnsi="Calibri" w:cs="Calibri"/>
          <w:color w:val="auto"/>
          <w:sz w:val="22"/>
        </w:rPr>
      </w:pPr>
      <w:r w:rsidRPr="00D8141D">
        <w:rPr>
          <w:rFonts w:ascii="Calibri" w:eastAsia="Times New Roman" w:hAnsi="Calibri" w:cs="Calibri"/>
          <w:color w:val="auto"/>
          <w:sz w:val="22"/>
        </w:rPr>
        <w:t>A Emissora prestou declaração de registro de companhia aberta atualizada perante a CVM, nos termos do item nº 11, do Anexo II, da Instrução CVM 400.</w:t>
      </w:r>
    </w:p>
    <w:p w14:paraId="0B8C6D73" w14:textId="77777777" w:rsidR="007B4939" w:rsidRPr="00D8141D" w:rsidRDefault="007B4939" w:rsidP="00206B05">
      <w:pPr>
        <w:pStyle w:val="Default"/>
        <w:jc w:val="both"/>
        <w:rPr>
          <w:rFonts w:ascii="Calibri" w:eastAsia="Times New Roman" w:hAnsi="Calibri" w:cs="Calibri"/>
          <w:color w:val="auto"/>
          <w:sz w:val="22"/>
        </w:rPr>
      </w:pPr>
    </w:p>
    <w:p w14:paraId="254F9B96" w14:textId="77777777" w:rsidR="00E8286C" w:rsidRPr="00566CD3" w:rsidRDefault="009A13F7" w:rsidP="009E5F9A">
      <w:pPr>
        <w:pStyle w:val="Ttulo1"/>
        <w:keepNext w:val="0"/>
        <w:pageBreakBefore w:val="0"/>
        <w:widowControl w:val="0"/>
        <w:spacing w:after="140" w:line="290" w:lineRule="auto"/>
        <w:rPr>
          <w:caps w:val="0"/>
        </w:rPr>
      </w:pPr>
      <w:bookmarkStart w:id="606" w:name="_Toc428306483"/>
      <w:bookmarkStart w:id="607" w:name="_Ref434934534"/>
      <w:bookmarkStart w:id="608" w:name="_Ref434935326"/>
      <w:bookmarkStart w:id="609" w:name="_Ref434935786"/>
      <w:bookmarkStart w:id="610" w:name="_Ref434935809"/>
      <w:bookmarkStart w:id="611" w:name="_Ref434936426"/>
      <w:bookmarkStart w:id="612" w:name="_Ref434936794"/>
      <w:bookmarkStart w:id="613" w:name="_Ref434936822"/>
      <w:bookmarkStart w:id="614" w:name="_Ref459515381"/>
      <w:bookmarkStart w:id="615" w:name="_Ref460322739"/>
      <w:bookmarkStart w:id="616" w:name="_Ref515314575"/>
      <w:r w:rsidRPr="00566CD3">
        <w:br w:type="page"/>
      </w:r>
      <w:bookmarkStart w:id="617" w:name="_Toc87002558"/>
      <w:bookmarkStart w:id="618" w:name="_Ref90229361"/>
      <w:bookmarkStart w:id="619" w:name="_Ref90229395"/>
      <w:bookmarkStart w:id="620" w:name="_Ref90229437"/>
      <w:bookmarkStart w:id="621" w:name="_Ref90229444"/>
      <w:bookmarkStart w:id="622" w:name="_Ref90229464"/>
      <w:bookmarkStart w:id="623" w:name="_Ref90229516"/>
      <w:bookmarkStart w:id="624" w:name="_Ref90229535"/>
      <w:bookmarkStart w:id="625" w:name="_Ref90229592"/>
      <w:bookmarkStart w:id="626" w:name="_Ref90229652"/>
      <w:bookmarkStart w:id="627" w:name="_Ref90229671"/>
      <w:bookmarkStart w:id="628" w:name="_Toc90045170"/>
      <w:bookmarkStart w:id="629" w:name="_Toc95928493"/>
      <w:r w:rsidR="00E8286C" w:rsidRPr="00566CD3">
        <w:rPr>
          <w:caps w:val="0"/>
        </w:rPr>
        <w:lastRenderedPageBreak/>
        <w:t>DESTINAÇÃO DOS RECURSOS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7A1095EA" w14:textId="77777777" w:rsidR="00171900" w:rsidRPr="00566CD3" w:rsidRDefault="00171900" w:rsidP="009E2BE2">
      <w:pPr>
        <w:widowControl w:val="0"/>
        <w:autoSpaceDE w:val="0"/>
        <w:autoSpaceDN w:val="0"/>
        <w:adjustRightInd w:val="0"/>
        <w:spacing w:after="140" w:line="290" w:lineRule="auto"/>
        <w:jc w:val="both"/>
      </w:pPr>
      <w:r w:rsidRPr="00566CD3">
        <w:t>Nos termos do artigo 2º da Lei 12.431, do Decreto 8.874, da Resolução CMN 3.947 e da regulamentação aplicável, a totalidade dos recursos líquidos captados pela Emissora</w:t>
      </w:r>
      <w:r w:rsidR="00E42303" w:rsidRPr="00566CD3">
        <w:t>,</w:t>
      </w:r>
      <w:r w:rsidRPr="00566CD3">
        <w:t xml:space="preserve"> por meio da colocação de Debêntures</w:t>
      </w:r>
      <w:r w:rsidR="00E42303" w:rsidRPr="00566CD3">
        <w:t>,</w:t>
      </w:r>
      <w:r w:rsidRPr="00566CD3">
        <w:t xml:space="preserve"> </w:t>
      </w:r>
      <w:r w:rsidR="00E32FE9" w:rsidRPr="00566CD3">
        <w:t>será utilizada</w:t>
      </w:r>
      <w:r w:rsidRPr="00566CD3">
        <w:t xml:space="preserve"> exclusivamente para os Projetos</w:t>
      </w:r>
      <w:r w:rsidR="00C052DD" w:rsidRPr="00566CD3">
        <w:t xml:space="preserve"> de Investimento</w:t>
      </w:r>
      <w:r w:rsidRPr="00566CD3">
        <w:t>, conforme detalhados abaixo:</w:t>
      </w:r>
    </w:p>
    <w:p w14:paraId="69543CB3" w14:textId="77777777" w:rsidR="00C052DD" w:rsidRPr="00566CD3" w:rsidRDefault="00C052DD" w:rsidP="00C052DD">
      <w:pPr>
        <w:pStyle w:val="UCRoman2"/>
        <w:tabs>
          <w:tab w:val="left" w:pos="1985"/>
        </w:tabs>
        <w:ind w:left="1247"/>
        <w:rPr>
          <w:rFonts w:ascii="Calibri" w:hAnsi="Calibri"/>
          <w:b/>
          <w:sz w:val="22"/>
        </w:rPr>
      </w:pPr>
      <w:bookmarkStart w:id="630" w:name="_Ref498524348"/>
      <w:bookmarkStart w:id="631" w:name="_Toc87002559"/>
      <w:bookmarkStart w:id="632" w:name="_Toc87002705"/>
      <w:bookmarkStart w:id="633" w:name="_Toc87973563"/>
      <w:r w:rsidRPr="00566CD3">
        <w:rPr>
          <w:rFonts w:ascii="Calibri" w:hAnsi="Calibri"/>
          <w:b/>
          <w:sz w:val="22"/>
        </w:rPr>
        <w:t>Portaria nº 21, de 04 de maio de 2021:</w:t>
      </w:r>
    </w:p>
    <w:p w14:paraId="5FA98142"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(a) Objetivo do Projeto Capex Boa Vista: projeto de investimento na atividade de produção e estocagem de biocombustíveis e da sua biomassa denominado “Capex de Manutenção e Melhoria Operacional para produção de biocombustível na Usina Boa Vista”;</w:t>
      </w:r>
    </w:p>
    <w:p w14:paraId="04D09FD7"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(b) Data estimada para início do Projeto Capex Boa Vista: 01 de abril de 2021</w:t>
      </w:r>
      <w:r w:rsidR="003D1BDB" w:rsidRPr="00566CD3">
        <w:rPr>
          <w:rFonts w:ascii="Calibri" w:hAnsi="Calibri"/>
          <w:sz w:val="22"/>
        </w:rPr>
        <w:t>;</w:t>
      </w:r>
    </w:p>
    <w:p w14:paraId="5290ACEF"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 xml:space="preserve">(c) Fase atual do Projeto Capex Boa Vista: o Projeto Capex Boa Vista encontra-se na fase de </w:t>
      </w:r>
      <w:r w:rsidR="003D1BDB" w:rsidRPr="00566CD3">
        <w:rPr>
          <w:rFonts w:ascii="Calibri" w:hAnsi="Calibri"/>
          <w:sz w:val="22"/>
        </w:rPr>
        <w:t>execução;</w:t>
      </w:r>
    </w:p>
    <w:p w14:paraId="13471EA6"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(d) Data estimada para encerramento do Projeto Capex Boa Vista: 22 de novembro de 2023;</w:t>
      </w:r>
    </w:p>
    <w:p w14:paraId="2A6F8745"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(e) Volume estimado de recursos financeiros necessários para a realização do Projeto Capex Boa Vista: R$ 500.000.000,00 (quinhentos milhões de reais);</w:t>
      </w:r>
    </w:p>
    <w:p w14:paraId="13A5280D"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(f) Valor da Emissão que será destinado ao Projeto Capex Boa Vista: R$ </w:t>
      </w:r>
      <w:r w:rsidR="003D1BDB" w:rsidRPr="00566CD3">
        <w:rPr>
          <w:rFonts w:ascii="Calibri" w:hAnsi="Calibri"/>
          <w:sz w:val="22"/>
        </w:rPr>
        <w:t>95.443.564,00 (noventa e cinco milhões e quatrocentos e quarenta e três mil e quinhentos e sessenta e quatro reais);</w:t>
      </w:r>
      <w:r w:rsidRPr="00566CD3">
        <w:rPr>
          <w:rFonts w:ascii="Calibri" w:hAnsi="Calibri"/>
          <w:sz w:val="22"/>
        </w:rPr>
        <w:t xml:space="preserve"> </w:t>
      </w:r>
    </w:p>
    <w:p w14:paraId="41FE473A"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(g) Alocação dos recursos a serem captados por meio da Emissão: plantio de cana-de-açúcar, manutenção de entressafra, novos equipamentos, reposição de equipamentos tratos culturais, gatos ambientais e legais;</w:t>
      </w:r>
    </w:p>
    <w:p w14:paraId="52FF4101" w14:textId="77777777" w:rsidR="00C052DD" w:rsidRPr="00566CD3" w:rsidRDefault="00C052DD" w:rsidP="0020727A">
      <w:pPr>
        <w:pStyle w:val="UCRoman2"/>
        <w:numPr>
          <w:ilvl w:val="0"/>
          <w:numId w:val="0"/>
        </w:numPr>
        <w:rPr>
          <w:rFonts w:ascii="Calibri" w:hAnsi="Calibri"/>
          <w:b/>
          <w:sz w:val="22"/>
        </w:rPr>
      </w:pPr>
      <w:r w:rsidRPr="00566CD3">
        <w:rPr>
          <w:rFonts w:ascii="Calibri" w:hAnsi="Calibri"/>
          <w:sz w:val="22"/>
        </w:rPr>
        <w:t xml:space="preserve">(h) Percentual dos recursos financeiros necessários ao Projeto Capex Boa Vista provenientes da Emissão: os recursos provenientes da Emissão correspondem a aproximadamente </w:t>
      </w:r>
      <w:r w:rsidR="003D1BDB" w:rsidRPr="00566CD3">
        <w:rPr>
          <w:rFonts w:ascii="Calibri" w:hAnsi="Calibri"/>
          <w:sz w:val="22"/>
        </w:rPr>
        <w:t>19,10% (dezenove inteiros e dez centésimos por cento)</w:t>
      </w:r>
      <w:r w:rsidRPr="00566CD3">
        <w:rPr>
          <w:rFonts w:ascii="Calibri" w:hAnsi="Calibri"/>
          <w:sz w:val="22"/>
        </w:rPr>
        <w:t xml:space="preserve"> do valor total de recursos financeiros necessários a Projeto Capex Boa Vista</w:t>
      </w:r>
      <w:r w:rsidR="00BE69C0" w:rsidRPr="00566CD3">
        <w:t>.</w:t>
      </w:r>
    </w:p>
    <w:p w14:paraId="256DA166" w14:textId="77777777" w:rsidR="00C052DD" w:rsidRPr="00566CD3" w:rsidRDefault="00C052DD" w:rsidP="00C052DD">
      <w:pPr>
        <w:pStyle w:val="UCRoman2"/>
        <w:tabs>
          <w:tab w:val="left" w:pos="1985"/>
        </w:tabs>
        <w:ind w:left="1247"/>
        <w:rPr>
          <w:rFonts w:ascii="Calibri" w:hAnsi="Calibri"/>
          <w:b/>
          <w:sz w:val="22"/>
        </w:rPr>
      </w:pPr>
      <w:bookmarkStart w:id="634" w:name="_Hlk71619028"/>
      <w:bookmarkEnd w:id="630"/>
      <w:r w:rsidRPr="00566CD3">
        <w:rPr>
          <w:rFonts w:ascii="Calibri" w:hAnsi="Calibri"/>
          <w:b/>
          <w:sz w:val="22"/>
        </w:rPr>
        <w:t>Portaria nº 35/SPG/MME, de 18 de outubro de 2021:</w:t>
      </w:r>
    </w:p>
    <w:p w14:paraId="79D59E51"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(a) Objetivo do Projeto Capex Usinas: projeto de investimento na atividade de produção de biocombustíveis e da sua biomassa denominado “Capex de manutenção para produção de Biocombustível na Usina São Martinho, Usina Santa Cruz e Usina Iracema”;</w:t>
      </w:r>
    </w:p>
    <w:p w14:paraId="13278895"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 xml:space="preserve">(b) Data estimada para início do Projeto Capex Usinas: </w:t>
      </w:r>
      <w:r w:rsidR="003D1BDB" w:rsidRPr="00566CD3">
        <w:rPr>
          <w:rFonts w:ascii="Calibri" w:hAnsi="Calibri"/>
        </w:rPr>
        <w:t>01 de abril de 2021;</w:t>
      </w:r>
    </w:p>
    <w:p w14:paraId="6EAF790B"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 xml:space="preserve">(c) Fase atual do Projeto Capex Usinas: </w:t>
      </w:r>
      <w:r w:rsidR="003D1BDB" w:rsidRPr="00566CD3">
        <w:rPr>
          <w:rFonts w:ascii="Calibri" w:hAnsi="Calibri"/>
        </w:rPr>
        <w:t>o Projeto Capex Usinas encontra-se na fase de execução;</w:t>
      </w:r>
    </w:p>
    <w:p w14:paraId="5CC38EAF"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 xml:space="preserve">(d) Data estimada para encerramento do Projeto Capex Usinas: </w:t>
      </w:r>
      <w:r w:rsidR="003D1BDB" w:rsidRPr="00566CD3">
        <w:rPr>
          <w:rFonts w:ascii="Calibri" w:hAnsi="Calibri"/>
        </w:rPr>
        <w:t>31</w:t>
      </w:r>
      <w:r w:rsidRPr="00566CD3">
        <w:rPr>
          <w:rFonts w:ascii="Calibri" w:hAnsi="Calibri"/>
          <w:sz w:val="22"/>
        </w:rPr>
        <w:t xml:space="preserve"> de março de 2023;</w:t>
      </w:r>
    </w:p>
    <w:p w14:paraId="5545BACC"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lastRenderedPageBreak/>
        <w:t>(e) Volume estimado de recursos financeiros necessários para a realização do Projeto Capex Usinas: R</w:t>
      </w:r>
      <w:r w:rsidR="003D1BDB" w:rsidRPr="00566CD3">
        <w:rPr>
          <w:rFonts w:ascii="Calibri" w:hAnsi="Calibri"/>
        </w:rPr>
        <w:t>$ 1.104.556.436,00 (um bilhão e cento e quatro milhões e quinhentos e cinquenta e seis mil e quatrocentos e trinta e seis reais);</w:t>
      </w:r>
    </w:p>
    <w:p w14:paraId="6F1BFB2C"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(f) Valor da Emissão que será destinado ao Projeto Capex Usinas: R$</w:t>
      </w:r>
      <w:r w:rsidR="003D1BDB" w:rsidRPr="00566CD3">
        <w:rPr>
          <w:rFonts w:ascii="Calibri" w:hAnsi="Calibri"/>
        </w:rPr>
        <w:t xml:space="preserve"> </w:t>
      </w:r>
      <w:r w:rsidR="00940E70" w:rsidRPr="00566CD3">
        <w:t>1.104</w:t>
      </w:r>
      <w:r w:rsidR="003D1BDB" w:rsidRPr="00566CD3">
        <w:rPr>
          <w:rFonts w:ascii="Calibri" w:hAnsi="Calibri"/>
        </w:rPr>
        <w:t xml:space="preserve">.556.436,00 </w:t>
      </w:r>
      <w:r w:rsidR="00940E70" w:rsidRPr="00566CD3">
        <w:t xml:space="preserve"> (um bilhão e cento</w:t>
      </w:r>
      <w:r w:rsidR="003D1BDB" w:rsidRPr="00566CD3">
        <w:rPr>
          <w:rFonts w:ascii="Calibri" w:hAnsi="Calibri"/>
        </w:rPr>
        <w:t xml:space="preserve"> e quatro milhões e quinhentos e cinquenta e seis mil e quatrocentos e trinta e seis reais);</w:t>
      </w:r>
      <w:r w:rsidRPr="00566CD3">
        <w:rPr>
          <w:rFonts w:ascii="Calibri" w:hAnsi="Calibri"/>
          <w:sz w:val="22"/>
        </w:rPr>
        <w:t xml:space="preserve"> </w:t>
      </w:r>
    </w:p>
    <w:p w14:paraId="1F7FC9BD" w14:textId="77777777" w:rsidR="00C052DD" w:rsidRPr="00566CD3" w:rsidRDefault="00C052DD" w:rsidP="0020727A">
      <w:pPr>
        <w:pStyle w:val="UCRoman2"/>
        <w:numPr>
          <w:ilvl w:val="0"/>
          <w:numId w:val="0"/>
        </w:numPr>
        <w:rPr>
          <w:rFonts w:ascii="Calibri" w:hAnsi="Calibri"/>
          <w:sz w:val="22"/>
        </w:rPr>
      </w:pPr>
      <w:r w:rsidRPr="00566CD3">
        <w:rPr>
          <w:rFonts w:ascii="Calibri" w:hAnsi="Calibri"/>
          <w:sz w:val="22"/>
        </w:rPr>
        <w:t>(g) Alocação dos recursos a serem captados por meio da Emissão: manutenção dos canaviais e das indústrias, especificamente Capex para plantio e tratos culturais de cana-de-açúcar, bem como a manutenção agroindustrial. O investimento destina-se à produção de etanol considerando a proporcionalidade exigida devido à concomitância da produção de açúcar e energia, ao logo das safras 2020/21, 2021/22 e 2022/23 em três usinas da Emissora;</w:t>
      </w:r>
    </w:p>
    <w:p w14:paraId="046B09CB" w14:textId="77777777" w:rsidR="00106CC0" w:rsidRPr="00566CD3" w:rsidRDefault="00C052DD" w:rsidP="0020727A">
      <w:pPr>
        <w:pStyle w:val="UCRoman2"/>
        <w:numPr>
          <w:ilvl w:val="0"/>
          <w:numId w:val="0"/>
        </w:numPr>
        <w:rPr>
          <w:rFonts w:ascii="Calibri" w:hAnsi="Calibri"/>
          <w:b/>
          <w:sz w:val="24"/>
        </w:rPr>
      </w:pPr>
      <w:r w:rsidRPr="00566CD3">
        <w:rPr>
          <w:rFonts w:ascii="Calibri" w:hAnsi="Calibri"/>
          <w:sz w:val="22"/>
        </w:rPr>
        <w:t xml:space="preserve">(h) Percentual dos recursos financeiros necessários ao Projeto Capex provenientes da Emissão: os recursos provenientes da Emissão correspondem a aproximadamente </w:t>
      </w:r>
      <w:r w:rsidR="00940E70" w:rsidRPr="00566CD3">
        <w:t>100% (cem</w:t>
      </w:r>
      <w:r w:rsidR="003D1BDB" w:rsidRPr="00566CD3">
        <w:rPr>
          <w:rFonts w:ascii="Calibri" w:hAnsi="Calibri"/>
        </w:rPr>
        <w:t xml:space="preserve"> por cento)</w:t>
      </w:r>
      <w:r w:rsidRPr="00566CD3">
        <w:rPr>
          <w:rFonts w:ascii="Calibri" w:hAnsi="Calibri"/>
          <w:sz w:val="22"/>
        </w:rPr>
        <w:t xml:space="preserve"> do valor total de recursos financeiros necessários a Projeto Capex Usinas.</w:t>
      </w:r>
      <w:bookmarkEnd w:id="631"/>
      <w:bookmarkEnd w:id="632"/>
      <w:bookmarkEnd w:id="633"/>
      <w:bookmarkEnd w:id="634"/>
    </w:p>
    <w:p w14:paraId="196351B8" w14:textId="77777777" w:rsidR="00E8286C" w:rsidRPr="00566CD3" w:rsidRDefault="00E8286C" w:rsidP="00566CD3">
      <w:pPr>
        <w:pStyle w:val="Ttulo1"/>
        <w:keepNext w:val="0"/>
        <w:pageBreakBefore w:val="0"/>
        <w:widowControl w:val="0"/>
        <w:spacing w:before="280"/>
        <w:ind w:left="567"/>
      </w:pPr>
      <w:r w:rsidRPr="00566CD3">
        <w:br w:type="page"/>
      </w:r>
      <w:bookmarkStart w:id="635" w:name="_Toc87002560"/>
      <w:bookmarkStart w:id="636" w:name="_Toc90045171"/>
      <w:bookmarkStart w:id="637" w:name="_Toc95928494"/>
      <w:r w:rsidRPr="00566CD3">
        <w:rPr>
          <w:caps w:val="0"/>
          <w:kern w:val="22"/>
        </w:rPr>
        <w:lastRenderedPageBreak/>
        <w:t>CAPITALIZAÇÃO</w:t>
      </w:r>
      <w:bookmarkEnd w:id="635"/>
      <w:bookmarkEnd w:id="636"/>
      <w:bookmarkEnd w:id="637"/>
    </w:p>
    <w:p w14:paraId="1242B053" w14:textId="77777777" w:rsidR="00E8286C" w:rsidRPr="00D8141D" w:rsidRDefault="00E8286C" w:rsidP="009E2BE2">
      <w:pPr>
        <w:pStyle w:val="EDP-corpodetexto"/>
        <w:widowControl w:val="0"/>
        <w:spacing w:after="140" w:line="290" w:lineRule="auto"/>
        <w:rPr>
          <w:rFonts w:cs="Calibri"/>
          <w:spacing w:val="-8"/>
          <w:sz w:val="22"/>
          <w:szCs w:val="22"/>
        </w:rPr>
      </w:pPr>
      <w:bookmarkStart w:id="638" w:name="_Toc428306485"/>
      <w:r w:rsidRPr="00D8141D">
        <w:rPr>
          <w:rFonts w:cs="Calibri"/>
          <w:spacing w:val="-8"/>
          <w:sz w:val="22"/>
          <w:szCs w:val="22"/>
        </w:rPr>
        <w:t xml:space="preserve">Os dados abaixo deverão ser lidos em conjunto com o Formulário de Referência e as demonstrações financeiras e informações trimestrais (ITR) da Emissora, os quais foram incorporados por referência ao presente Prospecto e cujo caminho para acesso está indicado na seção </w:t>
      </w:r>
      <w:r w:rsidR="002A4B8C" w:rsidRPr="00D8141D">
        <w:rPr>
          <w:rFonts w:cs="Calibri"/>
          <w:spacing w:val="-8"/>
          <w:sz w:val="22"/>
          <w:szCs w:val="22"/>
        </w:rPr>
        <w:t>“</w:t>
      </w:r>
      <w:r w:rsidRPr="00D8141D">
        <w:rPr>
          <w:rFonts w:cs="Calibri"/>
          <w:spacing w:val="-8"/>
          <w:sz w:val="22"/>
          <w:szCs w:val="22"/>
        </w:rPr>
        <w:t>Documentos e Informações Incorporados a este Prospecto por Referência</w:t>
      </w:r>
      <w:r w:rsidR="002A4B8C" w:rsidRPr="00D8141D">
        <w:rPr>
          <w:rFonts w:cs="Calibri"/>
          <w:spacing w:val="-8"/>
          <w:sz w:val="22"/>
          <w:szCs w:val="22"/>
        </w:rPr>
        <w:t>”</w:t>
      </w:r>
      <w:r w:rsidR="00171900" w:rsidRPr="00D8141D">
        <w:rPr>
          <w:rFonts w:cs="Calibri"/>
          <w:spacing w:val="-8"/>
          <w:sz w:val="22"/>
          <w:szCs w:val="22"/>
        </w:rPr>
        <w:t xml:space="preserve"> deste Prospecto</w:t>
      </w:r>
      <w:r w:rsidRPr="00D8141D">
        <w:rPr>
          <w:rFonts w:cs="Calibri"/>
          <w:spacing w:val="-8"/>
          <w:sz w:val="22"/>
          <w:szCs w:val="22"/>
        </w:rPr>
        <w:t>.</w:t>
      </w:r>
    </w:p>
    <w:p w14:paraId="237327A3" w14:textId="77777777" w:rsidR="006006B5" w:rsidRPr="00D8141D" w:rsidRDefault="006006B5" w:rsidP="006006B5">
      <w:pPr>
        <w:pStyle w:val="EDP-corpodetexto"/>
        <w:widowControl w:val="0"/>
        <w:spacing w:after="140" w:line="290" w:lineRule="auto"/>
        <w:rPr>
          <w:rFonts w:cs="Calibri"/>
          <w:sz w:val="22"/>
          <w:szCs w:val="22"/>
        </w:rPr>
      </w:pPr>
      <w:r w:rsidRPr="00D8141D">
        <w:rPr>
          <w:rFonts w:cs="Calibri"/>
          <w:sz w:val="22"/>
          <w:szCs w:val="22"/>
        </w:rPr>
        <w:t xml:space="preserve">A tabela abaixo apresenta a capitalização total da Emissora que consiste em empréstimos e financiamentos, debêntures, instrumentos financeiros derivativos e financiamento por arrendamento consolidados circulante e não circulante e o patrimônio líquido da Emissora, e indicam </w:t>
      </w:r>
      <w:r w:rsidRPr="00D8141D">
        <w:rPr>
          <w:rFonts w:cs="Calibri"/>
          <w:b/>
          <w:sz w:val="22"/>
          <w:szCs w:val="22"/>
        </w:rPr>
        <w:t>(i)</w:t>
      </w:r>
      <w:r w:rsidRPr="00D8141D">
        <w:rPr>
          <w:rFonts w:cs="Calibri"/>
          <w:sz w:val="22"/>
          <w:szCs w:val="22"/>
        </w:rPr>
        <w:t xml:space="preserve"> em bases históricas, coluna “Efetivo” em 30 de setembro de 2021; e </w:t>
      </w:r>
      <w:r w:rsidRPr="00D8141D">
        <w:rPr>
          <w:rFonts w:cs="Calibri"/>
          <w:b/>
          <w:bCs/>
          <w:sz w:val="22"/>
          <w:szCs w:val="22"/>
        </w:rPr>
        <w:t>(ii)</w:t>
      </w:r>
      <w:r w:rsidRPr="00D8141D">
        <w:rPr>
          <w:rFonts w:cs="Calibri"/>
          <w:sz w:val="22"/>
          <w:szCs w:val="22"/>
        </w:rPr>
        <w:t xml:space="preserve"> conforme ajustado para refletir o recebimento dos recursos líquidos estimados em R$ 1.</w:t>
      </w:r>
      <w:r w:rsidR="00ED61A0" w:rsidRPr="00D8141D">
        <w:rPr>
          <w:rFonts w:cs="Calibri"/>
          <w:sz w:val="22"/>
          <w:szCs w:val="22"/>
        </w:rPr>
        <w:t>147.</w:t>
      </w:r>
      <w:r w:rsidR="00565539" w:rsidRPr="006E4210">
        <w:rPr>
          <w:rFonts w:cs="Calibri"/>
          <w:sz w:val="22"/>
          <w:szCs w:val="22"/>
        </w:rPr>
        <w:t>552.454,19</w:t>
      </w:r>
      <w:r w:rsidRPr="00D8141D">
        <w:rPr>
          <w:rFonts w:cs="Calibri"/>
          <w:sz w:val="22"/>
          <w:szCs w:val="22"/>
        </w:rPr>
        <w:t xml:space="preserve"> (um bilhão </w:t>
      </w:r>
      <w:r w:rsidR="00052F75" w:rsidRPr="00D8141D">
        <w:rPr>
          <w:rFonts w:cs="Calibri"/>
          <w:sz w:val="22"/>
          <w:szCs w:val="22"/>
        </w:rPr>
        <w:t xml:space="preserve">e </w:t>
      </w:r>
      <w:r w:rsidR="008E7A87" w:rsidRPr="00D8141D">
        <w:rPr>
          <w:rFonts w:cs="Calibri"/>
          <w:sz w:val="22"/>
          <w:szCs w:val="22"/>
        </w:rPr>
        <w:t>cento e quarenta e sete</w:t>
      </w:r>
      <w:r w:rsidR="00052F75" w:rsidRPr="00D8141D">
        <w:rPr>
          <w:rFonts w:cs="Calibri"/>
          <w:sz w:val="22"/>
          <w:szCs w:val="22"/>
        </w:rPr>
        <w:t xml:space="preserve"> milhões</w:t>
      </w:r>
      <w:r w:rsidR="008E7A87" w:rsidRPr="00D8141D">
        <w:rPr>
          <w:rFonts w:cs="Calibri"/>
          <w:sz w:val="22"/>
          <w:szCs w:val="22"/>
        </w:rPr>
        <w:t xml:space="preserve"> e quinhentos e </w:t>
      </w:r>
      <w:r w:rsidR="00565539" w:rsidRPr="006E4210">
        <w:rPr>
          <w:rFonts w:cs="Calibri"/>
          <w:sz w:val="22"/>
          <w:szCs w:val="22"/>
        </w:rPr>
        <w:t>cinquenta</w:t>
      </w:r>
      <w:r w:rsidR="008E7A87" w:rsidRPr="00D8141D">
        <w:rPr>
          <w:rFonts w:cs="Calibri"/>
          <w:sz w:val="22"/>
          <w:szCs w:val="22"/>
        </w:rPr>
        <w:t xml:space="preserve"> e dois mil e </w:t>
      </w:r>
      <w:r w:rsidR="00565539" w:rsidRPr="006E4210">
        <w:rPr>
          <w:rFonts w:cs="Calibri"/>
          <w:sz w:val="22"/>
          <w:szCs w:val="22"/>
        </w:rPr>
        <w:t xml:space="preserve">quatrocentos e </w:t>
      </w:r>
      <w:r w:rsidR="008E7A87" w:rsidRPr="00D8141D">
        <w:rPr>
          <w:rFonts w:cs="Calibri"/>
          <w:sz w:val="22"/>
          <w:szCs w:val="22"/>
        </w:rPr>
        <w:t xml:space="preserve">cinquenta e </w:t>
      </w:r>
      <w:r w:rsidR="00565539" w:rsidRPr="006E4210">
        <w:rPr>
          <w:rFonts w:cs="Calibri"/>
          <w:sz w:val="22"/>
          <w:szCs w:val="22"/>
        </w:rPr>
        <w:t>quatro reais e dezenove</w:t>
      </w:r>
      <w:r w:rsidR="008E7A87" w:rsidRPr="00D8141D">
        <w:rPr>
          <w:rFonts w:cs="Calibri"/>
          <w:sz w:val="22"/>
          <w:szCs w:val="22"/>
        </w:rPr>
        <w:t xml:space="preserve"> centavos</w:t>
      </w:r>
      <w:r w:rsidRPr="00D8141D">
        <w:rPr>
          <w:rFonts w:cs="Calibri"/>
          <w:sz w:val="22"/>
          <w:szCs w:val="22"/>
        </w:rPr>
        <w:t>), após a dedução das comissões e despesas estimadas da Oferta a serem pagas pela Emissora.</w:t>
      </w:r>
      <w:r w:rsidR="00052F75" w:rsidRPr="00D8141D">
        <w:rPr>
          <w:rFonts w:cs="Calibri"/>
          <w:sz w:val="22"/>
          <w:szCs w:val="22"/>
        </w:rPr>
        <w:t xml:space="preserve"> </w:t>
      </w:r>
    </w:p>
    <w:tbl>
      <w:tblPr>
        <w:tblW w:w="8784" w:type="dxa"/>
        <w:tblCellMar>
          <w:left w:w="70" w:type="dxa"/>
          <w:right w:w="70" w:type="dxa"/>
        </w:tblCellMar>
        <w:tblLook w:val="04A0" w:firstRow="1" w:lastRow="0" w:firstColumn="1" w:lastColumn="0" w:noHBand="0" w:noVBand="1"/>
      </w:tblPr>
      <w:tblGrid>
        <w:gridCol w:w="2309"/>
        <w:gridCol w:w="1276"/>
        <w:gridCol w:w="1891"/>
        <w:gridCol w:w="1417"/>
        <w:gridCol w:w="1891"/>
      </w:tblGrid>
      <w:tr w:rsidR="003D1BDB" w:rsidRPr="00D8141D" w14:paraId="6D929619" w14:textId="77777777" w:rsidTr="00CF505B">
        <w:trPr>
          <w:trHeight w:val="735"/>
        </w:trPr>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456A2" w14:textId="77777777" w:rsidR="003D1BDB" w:rsidRPr="00D8141D" w:rsidRDefault="003D1BDB" w:rsidP="003D1BDB">
            <w:pPr>
              <w:suppressAutoHyphens/>
              <w:spacing w:before="120" w:after="120"/>
              <w:rPr>
                <w:b/>
                <w:bCs/>
                <w:szCs w:val="20"/>
                <w:lang w:eastAsia="pt-BR"/>
              </w:rPr>
            </w:pPr>
            <w:r w:rsidRPr="00D8141D">
              <w:rPr>
                <w:b/>
                <w:bCs/>
                <w:szCs w:val="20"/>
                <w:lang w:eastAsia="pt-BR"/>
              </w:rPr>
              <w:t>CAPITALIZAÇÃO - 30/09/2021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3C4417" w14:textId="77777777" w:rsidR="003D1BDB" w:rsidRPr="00D8141D" w:rsidRDefault="003D1BDB" w:rsidP="00315D49">
            <w:pPr>
              <w:suppressAutoHyphens/>
              <w:spacing w:before="120" w:after="120"/>
              <w:jc w:val="center"/>
              <w:rPr>
                <w:b/>
                <w:bCs/>
                <w:szCs w:val="20"/>
                <w:lang w:eastAsia="pt-BR"/>
              </w:rPr>
            </w:pPr>
            <w:r w:rsidRPr="00D8141D">
              <w:rPr>
                <w:b/>
                <w:bCs/>
                <w:szCs w:val="20"/>
                <w:lang w:eastAsia="pt-BR"/>
              </w:rPr>
              <w:t>Efetivo</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14:paraId="190D0BE3" w14:textId="77777777" w:rsidR="003D1BDB" w:rsidRPr="00D8141D" w:rsidRDefault="003D1BDB" w:rsidP="00315D49">
            <w:pPr>
              <w:suppressAutoHyphens/>
              <w:spacing w:before="120" w:after="120"/>
              <w:jc w:val="center"/>
              <w:rPr>
                <w:b/>
                <w:bCs/>
                <w:szCs w:val="20"/>
                <w:lang w:eastAsia="pt-BR"/>
              </w:rPr>
            </w:pPr>
            <w:r w:rsidRPr="00D8141D">
              <w:rPr>
                <w:b/>
                <w:bCs/>
                <w:szCs w:val="20"/>
                <w:lang w:eastAsia="pt-BR"/>
              </w:rPr>
              <w:t>% do total</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8DBBBD" w14:textId="77777777" w:rsidR="003D1BDB" w:rsidRPr="00D8141D" w:rsidRDefault="003D1BDB" w:rsidP="00315D49">
            <w:pPr>
              <w:suppressAutoHyphens/>
              <w:spacing w:before="120" w:after="120"/>
              <w:jc w:val="center"/>
              <w:rPr>
                <w:b/>
                <w:bCs/>
                <w:szCs w:val="20"/>
                <w:lang w:eastAsia="pt-BR"/>
              </w:rPr>
            </w:pPr>
            <w:r w:rsidRPr="00D8141D">
              <w:rPr>
                <w:b/>
                <w:bCs/>
                <w:szCs w:val="20"/>
                <w:lang w:eastAsia="pt-BR"/>
              </w:rPr>
              <w:t>Ajustado</w:t>
            </w:r>
          </w:p>
        </w:tc>
        <w:tc>
          <w:tcPr>
            <w:tcW w:w="1891" w:type="dxa"/>
            <w:tcBorders>
              <w:top w:val="single" w:sz="4" w:space="0" w:color="auto"/>
              <w:left w:val="nil"/>
              <w:bottom w:val="single" w:sz="4" w:space="0" w:color="auto"/>
              <w:right w:val="single" w:sz="4" w:space="0" w:color="auto"/>
            </w:tcBorders>
            <w:shd w:val="clear" w:color="auto" w:fill="auto"/>
            <w:noWrap/>
            <w:vAlign w:val="center"/>
            <w:hideMark/>
          </w:tcPr>
          <w:p w14:paraId="6C6804F2" w14:textId="77777777" w:rsidR="003D1BDB" w:rsidRPr="00D8141D" w:rsidRDefault="003D1BDB" w:rsidP="00315D49">
            <w:pPr>
              <w:suppressAutoHyphens/>
              <w:spacing w:before="120" w:after="120"/>
              <w:jc w:val="center"/>
              <w:rPr>
                <w:b/>
                <w:bCs/>
                <w:szCs w:val="20"/>
                <w:lang w:eastAsia="pt-BR"/>
              </w:rPr>
            </w:pPr>
            <w:r w:rsidRPr="00D8141D">
              <w:rPr>
                <w:b/>
                <w:bCs/>
                <w:szCs w:val="20"/>
                <w:lang w:eastAsia="pt-BR"/>
              </w:rPr>
              <w:t>% do total</w:t>
            </w:r>
          </w:p>
        </w:tc>
      </w:tr>
      <w:tr w:rsidR="00E71C12" w:rsidRPr="00D8141D" w14:paraId="2C8FB754" w14:textId="77777777" w:rsidTr="00CF505B">
        <w:trPr>
          <w:trHeight w:val="580"/>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2B95235C" w14:textId="77777777" w:rsidR="00E71C12" w:rsidRPr="00566CD3" w:rsidRDefault="00E71C12" w:rsidP="00E71C12">
            <w:pPr>
              <w:suppressAutoHyphens/>
              <w:spacing w:before="120" w:after="120"/>
            </w:pPr>
            <w:r w:rsidRPr="00566CD3">
              <w:t>Empréstimos, Financiamentos e Debêntures – Circulante</w:t>
            </w:r>
          </w:p>
        </w:tc>
        <w:tc>
          <w:tcPr>
            <w:tcW w:w="1276" w:type="dxa"/>
            <w:tcBorders>
              <w:top w:val="nil"/>
              <w:left w:val="nil"/>
              <w:bottom w:val="single" w:sz="4" w:space="0" w:color="auto"/>
              <w:right w:val="single" w:sz="4" w:space="0" w:color="auto"/>
            </w:tcBorders>
            <w:shd w:val="clear" w:color="auto" w:fill="auto"/>
            <w:noWrap/>
            <w:vAlign w:val="center"/>
            <w:hideMark/>
          </w:tcPr>
          <w:p w14:paraId="137A5804" w14:textId="04EE1B2A" w:rsidR="00E71C12" w:rsidRPr="00D8141D" w:rsidRDefault="00E71C12" w:rsidP="00E71C12">
            <w:pPr>
              <w:suppressAutoHyphens/>
              <w:spacing w:before="120" w:after="120"/>
              <w:jc w:val="center"/>
              <w:rPr>
                <w:szCs w:val="20"/>
                <w:lang w:eastAsia="pt-BR"/>
              </w:rPr>
            </w:pPr>
            <w:r>
              <w:rPr>
                <w:color w:val="000000"/>
              </w:rPr>
              <w:t xml:space="preserve">661.274 </w:t>
            </w:r>
          </w:p>
        </w:tc>
        <w:tc>
          <w:tcPr>
            <w:tcW w:w="1891" w:type="dxa"/>
            <w:tcBorders>
              <w:top w:val="nil"/>
              <w:left w:val="nil"/>
              <w:bottom w:val="single" w:sz="4" w:space="0" w:color="auto"/>
              <w:right w:val="single" w:sz="4" w:space="0" w:color="auto"/>
            </w:tcBorders>
            <w:shd w:val="clear" w:color="auto" w:fill="auto"/>
            <w:noWrap/>
            <w:vAlign w:val="center"/>
            <w:hideMark/>
          </w:tcPr>
          <w:p w14:paraId="578F51E4" w14:textId="3D94C7AA" w:rsidR="00E71C12" w:rsidRPr="00D8141D" w:rsidRDefault="00E71C12" w:rsidP="00E71C12">
            <w:pPr>
              <w:suppressAutoHyphens/>
              <w:spacing w:before="120" w:after="120"/>
              <w:jc w:val="center"/>
              <w:rPr>
                <w:szCs w:val="20"/>
                <w:lang w:eastAsia="pt-BR"/>
              </w:rPr>
            </w:pPr>
            <w:r>
              <w:rPr>
                <w:color w:val="000000"/>
              </w:rPr>
              <w:t>6,80%</w:t>
            </w:r>
          </w:p>
        </w:tc>
        <w:tc>
          <w:tcPr>
            <w:tcW w:w="1417" w:type="dxa"/>
            <w:tcBorders>
              <w:top w:val="nil"/>
              <w:left w:val="nil"/>
              <w:bottom w:val="single" w:sz="4" w:space="0" w:color="auto"/>
              <w:right w:val="single" w:sz="4" w:space="0" w:color="auto"/>
            </w:tcBorders>
            <w:shd w:val="clear" w:color="auto" w:fill="auto"/>
            <w:noWrap/>
            <w:vAlign w:val="center"/>
            <w:hideMark/>
          </w:tcPr>
          <w:p w14:paraId="304579C3" w14:textId="0FBCA173" w:rsidR="00E71C12" w:rsidRPr="00D8141D" w:rsidRDefault="00E71C12" w:rsidP="00E71C12">
            <w:pPr>
              <w:suppressAutoHyphens/>
              <w:spacing w:before="120" w:after="120"/>
              <w:jc w:val="center"/>
              <w:rPr>
                <w:szCs w:val="20"/>
                <w:lang w:eastAsia="pt-BR"/>
              </w:rPr>
            </w:pPr>
            <w:r>
              <w:rPr>
                <w:color w:val="000000"/>
              </w:rPr>
              <w:t xml:space="preserve">661.274 </w:t>
            </w:r>
          </w:p>
        </w:tc>
        <w:tc>
          <w:tcPr>
            <w:tcW w:w="1891" w:type="dxa"/>
            <w:tcBorders>
              <w:top w:val="nil"/>
              <w:left w:val="nil"/>
              <w:bottom w:val="single" w:sz="4" w:space="0" w:color="auto"/>
              <w:right w:val="single" w:sz="4" w:space="0" w:color="auto"/>
            </w:tcBorders>
            <w:shd w:val="clear" w:color="auto" w:fill="auto"/>
            <w:noWrap/>
            <w:vAlign w:val="center"/>
            <w:hideMark/>
          </w:tcPr>
          <w:p w14:paraId="745CF0D3" w14:textId="528A6057" w:rsidR="00E71C12" w:rsidRPr="00D8141D" w:rsidRDefault="00E71C12" w:rsidP="00E71C12">
            <w:pPr>
              <w:suppressAutoHyphens/>
              <w:spacing w:before="120" w:after="120"/>
              <w:jc w:val="center"/>
              <w:rPr>
                <w:szCs w:val="20"/>
                <w:lang w:eastAsia="pt-BR"/>
              </w:rPr>
            </w:pPr>
            <w:r>
              <w:rPr>
                <w:color w:val="000000"/>
              </w:rPr>
              <w:t>6,08%</w:t>
            </w:r>
          </w:p>
        </w:tc>
      </w:tr>
      <w:tr w:rsidR="00E71C12" w:rsidRPr="00D8141D" w14:paraId="2AA9BE0A" w14:textId="77777777" w:rsidTr="00CF505B">
        <w:trPr>
          <w:trHeight w:val="580"/>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2078E1EA" w14:textId="77777777" w:rsidR="00E71C12" w:rsidRPr="00566CD3" w:rsidRDefault="00E71C12" w:rsidP="00E71C12">
            <w:pPr>
              <w:suppressAutoHyphens/>
              <w:spacing w:before="120" w:after="120"/>
            </w:pPr>
            <w:r w:rsidRPr="00566CD3">
              <w:t>Empréstimos, Financiamentos e Debêntures – Não Circulante</w:t>
            </w:r>
          </w:p>
        </w:tc>
        <w:tc>
          <w:tcPr>
            <w:tcW w:w="1276" w:type="dxa"/>
            <w:tcBorders>
              <w:top w:val="nil"/>
              <w:left w:val="nil"/>
              <w:bottom w:val="single" w:sz="4" w:space="0" w:color="auto"/>
              <w:right w:val="single" w:sz="4" w:space="0" w:color="auto"/>
            </w:tcBorders>
            <w:shd w:val="clear" w:color="auto" w:fill="auto"/>
            <w:noWrap/>
            <w:vAlign w:val="center"/>
            <w:hideMark/>
          </w:tcPr>
          <w:p w14:paraId="587FA406" w14:textId="219EBFDA" w:rsidR="00E71C12" w:rsidRPr="00D8141D" w:rsidRDefault="00E71C12" w:rsidP="00E71C12">
            <w:pPr>
              <w:suppressAutoHyphens/>
              <w:spacing w:before="120" w:after="120"/>
              <w:jc w:val="center"/>
              <w:rPr>
                <w:szCs w:val="20"/>
                <w:lang w:eastAsia="pt-BR"/>
              </w:rPr>
            </w:pPr>
            <w:r>
              <w:rPr>
                <w:color w:val="000000"/>
              </w:rPr>
              <w:t xml:space="preserve">4.221.958 </w:t>
            </w:r>
          </w:p>
        </w:tc>
        <w:tc>
          <w:tcPr>
            <w:tcW w:w="1891" w:type="dxa"/>
            <w:tcBorders>
              <w:top w:val="nil"/>
              <w:left w:val="nil"/>
              <w:bottom w:val="single" w:sz="4" w:space="0" w:color="auto"/>
              <w:right w:val="single" w:sz="4" w:space="0" w:color="auto"/>
            </w:tcBorders>
            <w:shd w:val="clear" w:color="auto" w:fill="auto"/>
            <w:noWrap/>
            <w:vAlign w:val="center"/>
            <w:hideMark/>
          </w:tcPr>
          <w:p w14:paraId="33C4681A" w14:textId="6232C44B" w:rsidR="00E71C12" w:rsidRPr="00D8141D" w:rsidRDefault="00E71C12" w:rsidP="00E71C12">
            <w:pPr>
              <w:suppressAutoHyphens/>
              <w:spacing w:before="120" w:after="120"/>
              <w:jc w:val="center"/>
              <w:rPr>
                <w:szCs w:val="20"/>
                <w:lang w:eastAsia="pt-BR"/>
              </w:rPr>
            </w:pPr>
            <w:r>
              <w:rPr>
                <w:color w:val="000000"/>
              </w:rPr>
              <w:t>43,41%</w:t>
            </w:r>
          </w:p>
        </w:tc>
        <w:tc>
          <w:tcPr>
            <w:tcW w:w="1417" w:type="dxa"/>
            <w:tcBorders>
              <w:top w:val="nil"/>
              <w:left w:val="nil"/>
              <w:bottom w:val="single" w:sz="4" w:space="0" w:color="auto"/>
              <w:right w:val="single" w:sz="4" w:space="0" w:color="auto"/>
            </w:tcBorders>
            <w:shd w:val="clear" w:color="auto" w:fill="auto"/>
            <w:noWrap/>
            <w:vAlign w:val="center"/>
            <w:hideMark/>
          </w:tcPr>
          <w:p w14:paraId="10DA72D5" w14:textId="4B2E1209" w:rsidR="00E71C12" w:rsidRPr="00D8141D" w:rsidRDefault="00E71C12" w:rsidP="00E71C12">
            <w:pPr>
              <w:suppressAutoHyphens/>
              <w:spacing w:before="120" w:after="120"/>
              <w:jc w:val="center"/>
              <w:rPr>
                <w:szCs w:val="20"/>
                <w:lang w:eastAsia="pt-BR"/>
              </w:rPr>
            </w:pPr>
            <w:r>
              <w:rPr>
                <w:color w:val="000000"/>
              </w:rPr>
              <w:t xml:space="preserve">5.369.481 </w:t>
            </w:r>
          </w:p>
        </w:tc>
        <w:tc>
          <w:tcPr>
            <w:tcW w:w="1891" w:type="dxa"/>
            <w:tcBorders>
              <w:top w:val="nil"/>
              <w:left w:val="nil"/>
              <w:bottom w:val="single" w:sz="4" w:space="0" w:color="auto"/>
              <w:right w:val="single" w:sz="4" w:space="0" w:color="auto"/>
            </w:tcBorders>
            <w:shd w:val="clear" w:color="auto" w:fill="auto"/>
            <w:noWrap/>
            <w:vAlign w:val="center"/>
            <w:hideMark/>
          </w:tcPr>
          <w:p w14:paraId="27741080" w14:textId="4176B6F7" w:rsidR="00E71C12" w:rsidRPr="00D8141D" w:rsidRDefault="00E71C12" w:rsidP="00E71C12">
            <w:pPr>
              <w:suppressAutoHyphens/>
              <w:spacing w:before="120" w:after="120"/>
              <w:jc w:val="center"/>
              <w:rPr>
                <w:szCs w:val="20"/>
                <w:lang w:eastAsia="pt-BR"/>
              </w:rPr>
            </w:pPr>
            <w:r>
              <w:rPr>
                <w:color w:val="000000"/>
              </w:rPr>
              <w:t>49,38%</w:t>
            </w:r>
          </w:p>
        </w:tc>
      </w:tr>
      <w:tr w:rsidR="00E71C12" w:rsidRPr="00D8141D" w14:paraId="4DEF6287" w14:textId="77777777" w:rsidTr="00CF505B">
        <w:trPr>
          <w:trHeight w:val="630"/>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4CEC60AC" w14:textId="77777777" w:rsidR="00E71C12" w:rsidRPr="00D8141D" w:rsidRDefault="00E71C12" w:rsidP="00E71C12">
            <w:pPr>
              <w:suppressAutoHyphens/>
              <w:spacing w:before="120" w:after="120"/>
              <w:rPr>
                <w:szCs w:val="20"/>
                <w:lang w:eastAsia="pt-BR"/>
              </w:rPr>
            </w:pPr>
            <w:r w:rsidRPr="00D8141D">
              <w:rPr>
                <w:szCs w:val="20"/>
                <w:lang w:eastAsia="pt-BR"/>
              </w:rPr>
              <w:t>Patrimônio Líquido</w:t>
            </w:r>
          </w:p>
        </w:tc>
        <w:tc>
          <w:tcPr>
            <w:tcW w:w="1276" w:type="dxa"/>
            <w:tcBorders>
              <w:top w:val="nil"/>
              <w:left w:val="nil"/>
              <w:bottom w:val="single" w:sz="4" w:space="0" w:color="auto"/>
              <w:right w:val="single" w:sz="4" w:space="0" w:color="auto"/>
            </w:tcBorders>
            <w:shd w:val="clear" w:color="auto" w:fill="auto"/>
            <w:noWrap/>
            <w:vAlign w:val="center"/>
            <w:hideMark/>
          </w:tcPr>
          <w:p w14:paraId="23457490" w14:textId="0255F774" w:rsidR="00E71C12" w:rsidRPr="00D8141D" w:rsidRDefault="00E71C12" w:rsidP="00E71C12">
            <w:pPr>
              <w:suppressAutoHyphens/>
              <w:spacing w:before="120" w:after="120"/>
              <w:jc w:val="center"/>
              <w:rPr>
                <w:szCs w:val="20"/>
                <w:lang w:eastAsia="pt-BR"/>
              </w:rPr>
            </w:pPr>
            <w:r>
              <w:rPr>
                <w:color w:val="000000"/>
              </w:rPr>
              <w:t xml:space="preserve">4.842.159 </w:t>
            </w:r>
          </w:p>
        </w:tc>
        <w:tc>
          <w:tcPr>
            <w:tcW w:w="1891" w:type="dxa"/>
            <w:tcBorders>
              <w:top w:val="nil"/>
              <w:left w:val="nil"/>
              <w:bottom w:val="single" w:sz="4" w:space="0" w:color="auto"/>
              <w:right w:val="single" w:sz="4" w:space="0" w:color="auto"/>
            </w:tcBorders>
            <w:shd w:val="clear" w:color="auto" w:fill="auto"/>
            <w:noWrap/>
            <w:vAlign w:val="center"/>
            <w:hideMark/>
          </w:tcPr>
          <w:p w14:paraId="3A957621" w14:textId="3702C8D3" w:rsidR="00E71C12" w:rsidRPr="00D8141D" w:rsidRDefault="00E71C12" w:rsidP="00E71C12">
            <w:pPr>
              <w:suppressAutoHyphens/>
              <w:spacing w:before="120" w:after="120"/>
              <w:jc w:val="center"/>
              <w:rPr>
                <w:szCs w:val="20"/>
                <w:lang w:eastAsia="pt-BR"/>
              </w:rPr>
            </w:pPr>
            <w:r>
              <w:rPr>
                <w:color w:val="000000"/>
              </w:rPr>
              <w:t>49,79%</w:t>
            </w:r>
          </w:p>
        </w:tc>
        <w:tc>
          <w:tcPr>
            <w:tcW w:w="1417" w:type="dxa"/>
            <w:tcBorders>
              <w:top w:val="nil"/>
              <w:left w:val="nil"/>
              <w:bottom w:val="single" w:sz="4" w:space="0" w:color="auto"/>
              <w:right w:val="single" w:sz="4" w:space="0" w:color="auto"/>
            </w:tcBorders>
            <w:shd w:val="clear" w:color="auto" w:fill="auto"/>
            <w:noWrap/>
            <w:vAlign w:val="center"/>
            <w:hideMark/>
          </w:tcPr>
          <w:p w14:paraId="12E1A436" w14:textId="00DF1C87" w:rsidR="00E71C12" w:rsidRPr="00D8141D" w:rsidRDefault="00E71C12" w:rsidP="00E71C12">
            <w:pPr>
              <w:suppressAutoHyphens/>
              <w:spacing w:before="120" w:after="120"/>
              <w:jc w:val="center"/>
              <w:rPr>
                <w:szCs w:val="20"/>
                <w:lang w:eastAsia="pt-BR"/>
              </w:rPr>
            </w:pPr>
            <w:r>
              <w:rPr>
                <w:color w:val="000000"/>
              </w:rPr>
              <w:t xml:space="preserve">4.842.159 </w:t>
            </w:r>
          </w:p>
        </w:tc>
        <w:tc>
          <w:tcPr>
            <w:tcW w:w="1891" w:type="dxa"/>
            <w:tcBorders>
              <w:top w:val="nil"/>
              <w:left w:val="nil"/>
              <w:bottom w:val="single" w:sz="4" w:space="0" w:color="auto"/>
              <w:right w:val="single" w:sz="4" w:space="0" w:color="auto"/>
            </w:tcBorders>
            <w:shd w:val="clear" w:color="auto" w:fill="auto"/>
            <w:noWrap/>
            <w:vAlign w:val="center"/>
            <w:hideMark/>
          </w:tcPr>
          <w:p w14:paraId="75656562" w14:textId="0A56114E" w:rsidR="00E71C12" w:rsidRPr="00D8141D" w:rsidRDefault="00E71C12" w:rsidP="00E71C12">
            <w:pPr>
              <w:suppressAutoHyphens/>
              <w:spacing w:before="120" w:after="120"/>
              <w:jc w:val="center"/>
              <w:rPr>
                <w:szCs w:val="20"/>
                <w:lang w:eastAsia="pt-BR"/>
              </w:rPr>
            </w:pPr>
            <w:r>
              <w:rPr>
                <w:color w:val="000000"/>
              </w:rPr>
              <w:t>44,53%</w:t>
            </w:r>
          </w:p>
        </w:tc>
      </w:tr>
      <w:tr w:rsidR="00E71C12" w:rsidRPr="00D8141D" w14:paraId="602905E0" w14:textId="77777777" w:rsidTr="00CF505B">
        <w:trPr>
          <w:trHeight w:val="630"/>
        </w:trPr>
        <w:tc>
          <w:tcPr>
            <w:tcW w:w="2309" w:type="dxa"/>
            <w:tcBorders>
              <w:top w:val="nil"/>
              <w:left w:val="single" w:sz="4" w:space="0" w:color="auto"/>
              <w:bottom w:val="single" w:sz="4" w:space="0" w:color="auto"/>
              <w:right w:val="single" w:sz="4" w:space="0" w:color="auto"/>
            </w:tcBorders>
            <w:shd w:val="clear" w:color="auto" w:fill="auto"/>
            <w:vAlign w:val="center"/>
            <w:hideMark/>
          </w:tcPr>
          <w:p w14:paraId="73A3ADAE" w14:textId="77777777" w:rsidR="00E71C12" w:rsidRPr="00D8141D" w:rsidRDefault="00E71C12" w:rsidP="00E71C12">
            <w:pPr>
              <w:suppressAutoHyphens/>
              <w:spacing w:before="120" w:after="120"/>
              <w:rPr>
                <w:b/>
                <w:bCs/>
                <w:szCs w:val="20"/>
                <w:lang w:eastAsia="pt-BR"/>
              </w:rPr>
            </w:pPr>
            <w:r w:rsidRPr="00D8141D">
              <w:rPr>
                <w:b/>
                <w:bCs/>
                <w:szCs w:val="20"/>
                <w:lang w:eastAsia="pt-BR"/>
              </w:rPr>
              <w:t>Capitalização Total</w:t>
            </w:r>
          </w:p>
        </w:tc>
        <w:tc>
          <w:tcPr>
            <w:tcW w:w="1276" w:type="dxa"/>
            <w:tcBorders>
              <w:top w:val="nil"/>
              <w:left w:val="nil"/>
              <w:bottom w:val="single" w:sz="4" w:space="0" w:color="auto"/>
              <w:right w:val="single" w:sz="4" w:space="0" w:color="auto"/>
            </w:tcBorders>
            <w:shd w:val="clear" w:color="auto" w:fill="auto"/>
            <w:noWrap/>
            <w:vAlign w:val="center"/>
            <w:hideMark/>
          </w:tcPr>
          <w:p w14:paraId="694AE7D7" w14:textId="22E2A1E6" w:rsidR="00E71C12" w:rsidRPr="00D8141D" w:rsidRDefault="00E71C12" w:rsidP="00E71C12">
            <w:pPr>
              <w:suppressAutoHyphens/>
              <w:spacing w:before="120" w:after="120"/>
              <w:jc w:val="center"/>
              <w:rPr>
                <w:b/>
                <w:bCs/>
                <w:szCs w:val="20"/>
                <w:lang w:eastAsia="pt-BR"/>
              </w:rPr>
            </w:pPr>
            <w:r w:rsidRPr="00155288">
              <w:rPr>
                <w:b/>
                <w:bCs/>
                <w:color w:val="000000"/>
              </w:rPr>
              <w:t xml:space="preserve">9.725.391 </w:t>
            </w:r>
          </w:p>
        </w:tc>
        <w:tc>
          <w:tcPr>
            <w:tcW w:w="1891" w:type="dxa"/>
            <w:tcBorders>
              <w:top w:val="nil"/>
              <w:left w:val="nil"/>
              <w:bottom w:val="single" w:sz="4" w:space="0" w:color="auto"/>
              <w:right w:val="single" w:sz="4" w:space="0" w:color="auto"/>
            </w:tcBorders>
            <w:shd w:val="clear" w:color="auto" w:fill="auto"/>
            <w:noWrap/>
            <w:vAlign w:val="center"/>
            <w:hideMark/>
          </w:tcPr>
          <w:p w14:paraId="79AD1837" w14:textId="77777777" w:rsidR="00E71C12" w:rsidRPr="00D8141D" w:rsidRDefault="00E71C12" w:rsidP="00E71C12">
            <w:pPr>
              <w:suppressAutoHyphens/>
              <w:spacing w:before="120" w:after="120"/>
              <w:jc w:val="center"/>
              <w:rPr>
                <w:b/>
                <w:bCs/>
                <w:szCs w:val="20"/>
                <w:lang w:eastAsia="pt-BR"/>
              </w:rPr>
            </w:pPr>
            <w:r w:rsidRPr="00155288">
              <w:rPr>
                <w:b/>
                <w:bCs/>
                <w:color w:val="000000"/>
              </w:rPr>
              <w:t>100,00%</w:t>
            </w:r>
          </w:p>
        </w:tc>
        <w:tc>
          <w:tcPr>
            <w:tcW w:w="1417" w:type="dxa"/>
            <w:tcBorders>
              <w:top w:val="nil"/>
              <w:left w:val="nil"/>
              <w:bottom w:val="single" w:sz="4" w:space="0" w:color="auto"/>
              <w:right w:val="single" w:sz="4" w:space="0" w:color="auto"/>
            </w:tcBorders>
            <w:shd w:val="clear" w:color="auto" w:fill="auto"/>
            <w:noWrap/>
            <w:vAlign w:val="center"/>
            <w:hideMark/>
          </w:tcPr>
          <w:p w14:paraId="0086F284" w14:textId="6B69BB3F" w:rsidR="00E71C12" w:rsidRPr="00D8141D" w:rsidRDefault="00E71C12" w:rsidP="00E71C12">
            <w:pPr>
              <w:suppressAutoHyphens/>
              <w:spacing w:before="120" w:after="120"/>
              <w:jc w:val="center"/>
              <w:rPr>
                <w:b/>
                <w:bCs/>
                <w:szCs w:val="20"/>
                <w:lang w:eastAsia="pt-BR"/>
              </w:rPr>
            </w:pPr>
            <w:r w:rsidRPr="00155288">
              <w:rPr>
                <w:b/>
                <w:bCs/>
                <w:color w:val="000000"/>
              </w:rPr>
              <w:t xml:space="preserve">10.872.914 </w:t>
            </w:r>
          </w:p>
        </w:tc>
        <w:tc>
          <w:tcPr>
            <w:tcW w:w="1891" w:type="dxa"/>
            <w:tcBorders>
              <w:top w:val="nil"/>
              <w:left w:val="nil"/>
              <w:bottom w:val="single" w:sz="4" w:space="0" w:color="auto"/>
              <w:right w:val="single" w:sz="4" w:space="0" w:color="auto"/>
            </w:tcBorders>
            <w:shd w:val="clear" w:color="auto" w:fill="auto"/>
            <w:noWrap/>
            <w:vAlign w:val="center"/>
            <w:hideMark/>
          </w:tcPr>
          <w:p w14:paraId="5412613B" w14:textId="77777777" w:rsidR="00E71C12" w:rsidRPr="00D8141D" w:rsidRDefault="00E71C12" w:rsidP="00E71C12">
            <w:pPr>
              <w:suppressAutoHyphens/>
              <w:spacing w:before="120" w:after="120"/>
              <w:jc w:val="center"/>
              <w:rPr>
                <w:b/>
                <w:bCs/>
                <w:szCs w:val="20"/>
                <w:lang w:eastAsia="pt-BR"/>
              </w:rPr>
            </w:pPr>
            <w:r w:rsidRPr="00155288">
              <w:rPr>
                <w:b/>
                <w:bCs/>
                <w:color w:val="000000"/>
              </w:rPr>
              <w:t>100,00%</w:t>
            </w:r>
          </w:p>
        </w:tc>
      </w:tr>
    </w:tbl>
    <w:p w14:paraId="20D347D5" w14:textId="77777777" w:rsidR="002E1BE2" w:rsidRPr="00D8141D" w:rsidRDefault="00E8286C" w:rsidP="002D4C3F">
      <w:pPr>
        <w:pStyle w:val="EDP-corpodetexto"/>
        <w:widowControl w:val="0"/>
        <w:spacing w:after="140" w:line="290" w:lineRule="auto"/>
        <w:rPr>
          <w:rFonts w:cs="Calibri"/>
          <w:sz w:val="22"/>
          <w:szCs w:val="22"/>
        </w:rPr>
      </w:pPr>
      <w:r w:rsidRPr="00D8141D">
        <w:rPr>
          <w:rFonts w:cs="Calibri"/>
          <w:sz w:val="22"/>
          <w:szCs w:val="22"/>
        </w:rPr>
        <w:t xml:space="preserve">Para mais informações relacionadas à capitalização da Emissora, ver seção </w:t>
      </w:r>
      <w:r w:rsidR="002A4B8C" w:rsidRPr="00D8141D">
        <w:rPr>
          <w:rFonts w:cs="Calibri"/>
          <w:sz w:val="22"/>
          <w:szCs w:val="22"/>
        </w:rPr>
        <w:t>“</w:t>
      </w:r>
      <w:r w:rsidRPr="00D8141D">
        <w:rPr>
          <w:rFonts w:cs="Calibri"/>
          <w:sz w:val="22"/>
          <w:szCs w:val="22"/>
        </w:rPr>
        <w:t>10.1 Comentários dos Diretores – Condições Financeiras/Patrimoniais</w:t>
      </w:r>
      <w:r w:rsidR="002A4B8C" w:rsidRPr="00D8141D">
        <w:rPr>
          <w:rFonts w:cs="Calibri"/>
          <w:sz w:val="22"/>
          <w:szCs w:val="22"/>
        </w:rPr>
        <w:t>”</w:t>
      </w:r>
      <w:r w:rsidRPr="00D8141D">
        <w:rPr>
          <w:rFonts w:cs="Calibri"/>
          <w:sz w:val="22"/>
          <w:szCs w:val="22"/>
        </w:rPr>
        <w:t xml:space="preserve"> do Formulário de Referência e as </w:t>
      </w:r>
      <w:r w:rsidR="001C46F4" w:rsidRPr="00D8141D">
        <w:rPr>
          <w:rFonts w:cs="Calibri"/>
          <w:sz w:val="22"/>
          <w:szCs w:val="22"/>
        </w:rPr>
        <w:t>I</w:t>
      </w:r>
      <w:r w:rsidRPr="00D8141D">
        <w:rPr>
          <w:rFonts w:cs="Calibri"/>
          <w:sz w:val="22"/>
          <w:szCs w:val="22"/>
        </w:rPr>
        <w:t xml:space="preserve">nformações </w:t>
      </w:r>
      <w:r w:rsidR="001C46F4" w:rsidRPr="00D8141D">
        <w:rPr>
          <w:rFonts w:cs="Calibri"/>
          <w:sz w:val="22"/>
          <w:szCs w:val="22"/>
        </w:rPr>
        <w:t>T</w:t>
      </w:r>
      <w:r w:rsidRPr="00D8141D">
        <w:rPr>
          <w:rFonts w:cs="Calibri"/>
          <w:sz w:val="22"/>
          <w:szCs w:val="22"/>
        </w:rPr>
        <w:t>rimestrais (ITR) da Emissora, e respectivas notas explicativas, incorporados por referência a este Prospecto.</w:t>
      </w:r>
    </w:p>
    <w:p w14:paraId="6477679B" w14:textId="77777777" w:rsidR="00EC235D" w:rsidRPr="00566CD3" w:rsidRDefault="00171900" w:rsidP="009E5F9A">
      <w:pPr>
        <w:jc w:val="both"/>
      </w:pPr>
      <w:r w:rsidRPr="00566CD3">
        <w:br w:type="page"/>
      </w:r>
      <w:bookmarkStart w:id="639" w:name="_Toc87002561"/>
      <w:bookmarkStart w:id="640" w:name="_Toc90045172"/>
    </w:p>
    <w:p w14:paraId="53CE8C1C" w14:textId="77777777" w:rsidR="00EC235D" w:rsidRPr="00566CD3" w:rsidRDefault="00EC235D" w:rsidP="00EC235D">
      <w:pPr>
        <w:spacing w:before="220" w:after="220"/>
        <w:jc w:val="center"/>
      </w:pPr>
    </w:p>
    <w:p w14:paraId="35E1F01B" w14:textId="77777777" w:rsidR="00EC235D" w:rsidRPr="00566CD3" w:rsidRDefault="00EC235D" w:rsidP="00EC235D">
      <w:pPr>
        <w:spacing w:before="220" w:after="220"/>
        <w:jc w:val="center"/>
      </w:pPr>
    </w:p>
    <w:p w14:paraId="37C4FECC" w14:textId="77777777" w:rsidR="00EC235D" w:rsidRPr="00566CD3" w:rsidRDefault="00EC235D" w:rsidP="00EC235D">
      <w:pPr>
        <w:spacing w:before="220" w:after="220"/>
        <w:jc w:val="center"/>
      </w:pPr>
    </w:p>
    <w:p w14:paraId="1B6F9A6C" w14:textId="77777777" w:rsidR="00EC235D" w:rsidRPr="00566CD3" w:rsidRDefault="00EC235D" w:rsidP="00EC235D">
      <w:pPr>
        <w:spacing w:before="220" w:after="220"/>
        <w:jc w:val="center"/>
      </w:pPr>
    </w:p>
    <w:p w14:paraId="2383F18F" w14:textId="77777777" w:rsidR="00EC235D" w:rsidRPr="00566CD3" w:rsidRDefault="00EC235D" w:rsidP="00EC235D">
      <w:pPr>
        <w:spacing w:before="220" w:after="220"/>
        <w:jc w:val="center"/>
      </w:pPr>
    </w:p>
    <w:p w14:paraId="17D6CA00" w14:textId="77777777" w:rsidR="00EC235D" w:rsidRPr="00566CD3" w:rsidRDefault="00EC235D" w:rsidP="00EC235D">
      <w:pPr>
        <w:spacing w:before="220" w:after="220"/>
        <w:jc w:val="center"/>
      </w:pPr>
    </w:p>
    <w:p w14:paraId="26102DAE" w14:textId="77777777" w:rsidR="00EC235D" w:rsidRPr="00566CD3" w:rsidRDefault="00EC235D" w:rsidP="00EC235D">
      <w:pPr>
        <w:spacing w:before="220" w:after="220"/>
        <w:jc w:val="center"/>
      </w:pPr>
    </w:p>
    <w:p w14:paraId="55B53138" w14:textId="77777777" w:rsidR="00EC235D" w:rsidRPr="00566CD3" w:rsidRDefault="00EC235D" w:rsidP="00EC235D">
      <w:pPr>
        <w:spacing w:before="220" w:after="220"/>
        <w:jc w:val="center"/>
      </w:pPr>
    </w:p>
    <w:p w14:paraId="232E1659" w14:textId="77777777" w:rsidR="00EC235D" w:rsidRPr="00566CD3" w:rsidRDefault="00EC235D" w:rsidP="00EC235D">
      <w:pPr>
        <w:spacing w:before="220" w:after="220"/>
        <w:jc w:val="center"/>
      </w:pPr>
    </w:p>
    <w:p w14:paraId="3A1C287A" w14:textId="77777777" w:rsidR="00EC235D" w:rsidRPr="00566CD3" w:rsidRDefault="00EC235D" w:rsidP="00EC235D">
      <w:pPr>
        <w:spacing w:before="220" w:after="220"/>
        <w:jc w:val="center"/>
      </w:pPr>
    </w:p>
    <w:p w14:paraId="6549A97C" w14:textId="77777777" w:rsidR="00EC235D" w:rsidRPr="00566CD3" w:rsidRDefault="00EC235D" w:rsidP="00EC235D">
      <w:pPr>
        <w:spacing w:before="220" w:after="220"/>
        <w:jc w:val="center"/>
      </w:pPr>
    </w:p>
    <w:p w14:paraId="55F7D9BB" w14:textId="77777777" w:rsidR="00EC235D" w:rsidRPr="00566CD3" w:rsidRDefault="00EC235D" w:rsidP="00EC235D">
      <w:pPr>
        <w:spacing w:before="220" w:after="220"/>
        <w:jc w:val="center"/>
      </w:pPr>
    </w:p>
    <w:p w14:paraId="2068B30D" w14:textId="77777777" w:rsidR="00EC235D" w:rsidRPr="00566CD3" w:rsidRDefault="00EC235D" w:rsidP="00EC235D">
      <w:pPr>
        <w:spacing w:before="240" w:after="240"/>
        <w:jc w:val="center"/>
      </w:pPr>
      <w:r w:rsidRPr="00566CD3">
        <w:t xml:space="preserve"> (Esta página foi intencionalmente deixada em branco)</w:t>
      </w:r>
    </w:p>
    <w:p w14:paraId="6BA9C493" w14:textId="77777777" w:rsidR="00E8286C" w:rsidRPr="00566CD3" w:rsidRDefault="00EC235D" w:rsidP="009E5F9A">
      <w:pPr>
        <w:pStyle w:val="Ttulo1"/>
        <w:keepNext w:val="0"/>
        <w:pageBreakBefore w:val="0"/>
        <w:widowControl w:val="0"/>
        <w:spacing w:after="140" w:line="290" w:lineRule="auto"/>
        <w:rPr>
          <w:caps w:val="0"/>
        </w:rPr>
      </w:pPr>
      <w:r w:rsidRPr="00566CD3">
        <w:br w:type="page"/>
      </w:r>
      <w:bookmarkStart w:id="641" w:name="_Toc95928495"/>
      <w:r w:rsidR="00136232" w:rsidRPr="00566CD3">
        <w:rPr>
          <w:caps w:val="0"/>
        </w:rPr>
        <w:lastRenderedPageBreak/>
        <w:t>CAPACIDADE DE PAGAMENTO DA EMISSORA</w:t>
      </w:r>
      <w:bookmarkEnd w:id="638"/>
      <w:bookmarkEnd w:id="639"/>
      <w:bookmarkEnd w:id="640"/>
      <w:bookmarkEnd w:id="641"/>
    </w:p>
    <w:p w14:paraId="6AE726D9" w14:textId="77777777" w:rsidR="00E8286C" w:rsidRPr="00566CD3" w:rsidRDefault="00E8286C" w:rsidP="002D4C3F">
      <w:pPr>
        <w:widowControl w:val="0"/>
        <w:spacing w:after="140" w:line="290" w:lineRule="auto"/>
        <w:jc w:val="both"/>
      </w:pPr>
      <w:r w:rsidRPr="00566CD3">
        <w:t>Os administradores da Emissora, com base em análise dos indicadores de desempenho e da geração operacional de caixa da Emissora, entendem que a Emissora possui plenas condições para honrar as obrigações de curto, médio e</w:t>
      </w:r>
      <w:r w:rsidR="0090556A" w:rsidRPr="00566CD3">
        <w:t>/ou</w:t>
      </w:r>
      <w:r w:rsidRPr="00566CD3">
        <w:t xml:space="preserve"> longo prazo existentes, incluindo as Debêntures, bem como para continuar expandindo suas operações, embora não possam garantir que tal situação permanecerá igual. De acordo com os administradores da Emissora, sua geração de caixa lhe confere margem de conforto para honrar todas as obrigações de longo prazo existentes.</w:t>
      </w:r>
    </w:p>
    <w:p w14:paraId="40CA3EF4" w14:textId="77777777" w:rsidR="003D1BDB" w:rsidRPr="00D8141D" w:rsidRDefault="003D1BDB" w:rsidP="002D4C3F">
      <w:pPr>
        <w:pStyle w:val="EDP-corpodetexto"/>
        <w:widowControl w:val="0"/>
        <w:spacing w:after="140" w:line="290" w:lineRule="auto"/>
        <w:rPr>
          <w:rFonts w:eastAsia="Calibri" w:cs="Calibri"/>
          <w:sz w:val="22"/>
          <w:szCs w:val="24"/>
        </w:rPr>
      </w:pPr>
      <w:r w:rsidRPr="00D8141D">
        <w:rPr>
          <w:rFonts w:eastAsia="Calibri" w:cs="Calibri"/>
          <w:sz w:val="22"/>
          <w:szCs w:val="24"/>
        </w:rPr>
        <w:t xml:space="preserve">O sumário dos fluxos de caixa das atividades operacionais, de investimento e de financiamento da Emissora nos exercícios sociais encerrados em 31 de março de 2021, 2020 e 2019, e no trimestre findo em 30 de setembro de 2021 estão apresentados na tabela (em R$ mil) a seguir: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64"/>
        <w:gridCol w:w="1308"/>
        <w:gridCol w:w="1735"/>
        <w:gridCol w:w="1739"/>
        <w:gridCol w:w="1735"/>
      </w:tblGrid>
      <w:tr w:rsidR="003D1BDB" w:rsidRPr="00D8141D" w14:paraId="2166A4A4" w14:textId="77777777" w:rsidTr="007741A8">
        <w:trPr>
          <w:jc w:val="center"/>
        </w:trPr>
        <w:tc>
          <w:tcPr>
            <w:tcW w:w="1289" w:type="pct"/>
            <w:shd w:val="clear" w:color="auto" w:fill="auto"/>
            <w:vAlign w:val="bottom"/>
          </w:tcPr>
          <w:p w14:paraId="29DDF4AD" w14:textId="77777777" w:rsidR="003D1BDB" w:rsidRPr="00566CD3" w:rsidRDefault="003D1BDB" w:rsidP="003D1BDB">
            <w:pPr>
              <w:suppressAutoHyphens/>
              <w:spacing w:before="120" w:after="120"/>
            </w:pPr>
          </w:p>
        </w:tc>
        <w:tc>
          <w:tcPr>
            <w:tcW w:w="745" w:type="pct"/>
            <w:shd w:val="clear" w:color="auto" w:fill="auto"/>
          </w:tcPr>
          <w:p w14:paraId="4300691D" w14:textId="77777777" w:rsidR="003D1BDB" w:rsidRPr="00D8141D" w:rsidRDefault="003D1BDB" w:rsidP="003D1BDB">
            <w:pPr>
              <w:pBdr>
                <w:bottom w:val="single" w:sz="4" w:space="1" w:color="auto"/>
              </w:pBdr>
              <w:suppressAutoHyphens/>
              <w:spacing w:before="120" w:after="120"/>
              <w:jc w:val="center"/>
              <w:rPr>
                <w:b/>
                <w:szCs w:val="20"/>
              </w:rPr>
            </w:pPr>
            <w:r w:rsidRPr="00D8141D">
              <w:rPr>
                <w:b/>
                <w:szCs w:val="20"/>
              </w:rPr>
              <w:t>Trimestre findo em 30.09.2021</w:t>
            </w:r>
            <w:r w:rsidRPr="00D8141D">
              <w:rPr>
                <w:b/>
                <w:szCs w:val="20"/>
                <w:vertAlign w:val="superscript"/>
              </w:rPr>
              <w:t>(1)</w:t>
            </w:r>
          </w:p>
        </w:tc>
        <w:tc>
          <w:tcPr>
            <w:tcW w:w="988" w:type="pct"/>
            <w:shd w:val="clear" w:color="auto" w:fill="auto"/>
            <w:vAlign w:val="bottom"/>
          </w:tcPr>
          <w:p w14:paraId="01CD5654" w14:textId="77777777" w:rsidR="003D1BDB" w:rsidRPr="00D8141D" w:rsidRDefault="003D1BDB" w:rsidP="003D1BDB">
            <w:pPr>
              <w:pBdr>
                <w:bottom w:val="single" w:sz="4" w:space="1" w:color="auto"/>
              </w:pBdr>
              <w:suppressAutoHyphens/>
              <w:spacing w:before="120" w:after="120"/>
              <w:jc w:val="center"/>
              <w:rPr>
                <w:b/>
                <w:szCs w:val="20"/>
              </w:rPr>
            </w:pPr>
            <w:r w:rsidRPr="00D8141D">
              <w:rPr>
                <w:b/>
                <w:szCs w:val="20"/>
              </w:rPr>
              <w:t>Exercício social encerrado em 31.03.2021</w:t>
            </w:r>
            <w:r w:rsidRPr="00D8141D">
              <w:rPr>
                <w:b/>
                <w:szCs w:val="20"/>
                <w:vertAlign w:val="superscript"/>
              </w:rPr>
              <w:t>(1)</w:t>
            </w:r>
          </w:p>
        </w:tc>
        <w:tc>
          <w:tcPr>
            <w:tcW w:w="990" w:type="pct"/>
            <w:shd w:val="clear" w:color="auto" w:fill="auto"/>
            <w:vAlign w:val="bottom"/>
          </w:tcPr>
          <w:p w14:paraId="3D75915C" w14:textId="77777777" w:rsidR="003D1BDB" w:rsidRPr="00D8141D" w:rsidRDefault="003D1BDB" w:rsidP="003D1BDB">
            <w:pPr>
              <w:pBdr>
                <w:bottom w:val="single" w:sz="4" w:space="1" w:color="auto"/>
              </w:pBdr>
              <w:suppressAutoHyphens/>
              <w:spacing w:before="120" w:after="120"/>
              <w:jc w:val="center"/>
              <w:rPr>
                <w:b/>
                <w:szCs w:val="20"/>
              </w:rPr>
            </w:pPr>
            <w:r w:rsidRPr="00D8141D">
              <w:rPr>
                <w:b/>
                <w:szCs w:val="20"/>
              </w:rPr>
              <w:t>Exercício social encerrado em 31.03.2020</w:t>
            </w:r>
            <w:r w:rsidRPr="00D8141D">
              <w:rPr>
                <w:b/>
                <w:szCs w:val="20"/>
                <w:vertAlign w:val="superscript"/>
              </w:rPr>
              <w:t>(1)</w:t>
            </w:r>
          </w:p>
        </w:tc>
        <w:tc>
          <w:tcPr>
            <w:tcW w:w="988" w:type="pct"/>
            <w:shd w:val="clear" w:color="auto" w:fill="auto"/>
            <w:vAlign w:val="bottom"/>
          </w:tcPr>
          <w:p w14:paraId="62563CC8" w14:textId="77777777" w:rsidR="003D1BDB" w:rsidRPr="00D8141D" w:rsidRDefault="003D1BDB" w:rsidP="003D1BDB">
            <w:pPr>
              <w:pBdr>
                <w:bottom w:val="single" w:sz="4" w:space="1" w:color="auto"/>
              </w:pBdr>
              <w:suppressAutoHyphens/>
              <w:spacing w:before="120" w:after="120"/>
              <w:jc w:val="center"/>
              <w:rPr>
                <w:b/>
                <w:szCs w:val="20"/>
              </w:rPr>
            </w:pPr>
            <w:r w:rsidRPr="00D8141D">
              <w:rPr>
                <w:b/>
                <w:szCs w:val="20"/>
              </w:rPr>
              <w:t>Exercício social encerrado em 31.03.2019</w:t>
            </w:r>
            <w:r w:rsidRPr="00D8141D">
              <w:rPr>
                <w:b/>
                <w:szCs w:val="20"/>
                <w:vertAlign w:val="superscript"/>
              </w:rPr>
              <w:t>(1)</w:t>
            </w:r>
          </w:p>
        </w:tc>
      </w:tr>
      <w:tr w:rsidR="00E71C12" w:rsidRPr="00D8141D" w14:paraId="4B8C8F84" w14:textId="77777777" w:rsidTr="007741A8">
        <w:trPr>
          <w:trHeight w:val="658"/>
          <w:jc w:val="center"/>
        </w:trPr>
        <w:tc>
          <w:tcPr>
            <w:tcW w:w="1289" w:type="pct"/>
            <w:shd w:val="clear" w:color="auto" w:fill="auto"/>
            <w:vAlign w:val="center"/>
          </w:tcPr>
          <w:p w14:paraId="79C6F533" w14:textId="77777777" w:rsidR="00E71C12" w:rsidRPr="00566CD3" w:rsidRDefault="00E71C12" w:rsidP="00E71C12">
            <w:pPr>
              <w:tabs>
                <w:tab w:val="right" w:leader="dot" w:pos="2700"/>
              </w:tabs>
              <w:suppressAutoHyphens/>
              <w:spacing w:before="120" w:after="120"/>
              <w:ind w:left="60" w:hanging="2"/>
            </w:pPr>
            <w:r w:rsidRPr="00566CD3">
              <w:t>Caixa líquido gerado pelas atividades operacionais</w:t>
            </w:r>
          </w:p>
        </w:tc>
        <w:tc>
          <w:tcPr>
            <w:tcW w:w="745" w:type="pct"/>
            <w:shd w:val="clear" w:color="auto" w:fill="auto"/>
            <w:vAlign w:val="center"/>
          </w:tcPr>
          <w:p w14:paraId="60B9AC9F" w14:textId="72439545" w:rsidR="00E71C12" w:rsidRPr="00D8141D" w:rsidRDefault="00E71C12" w:rsidP="00E71C12">
            <w:pPr>
              <w:tabs>
                <w:tab w:val="decimal" w:pos="564"/>
              </w:tabs>
              <w:suppressAutoHyphens/>
              <w:spacing w:before="120" w:after="120"/>
              <w:jc w:val="center"/>
              <w:rPr>
                <w:szCs w:val="20"/>
              </w:rPr>
            </w:pPr>
            <w:r w:rsidRPr="00155288">
              <w:t xml:space="preserve">2.231.032 </w:t>
            </w:r>
          </w:p>
        </w:tc>
        <w:tc>
          <w:tcPr>
            <w:tcW w:w="988" w:type="pct"/>
            <w:shd w:val="clear" w:color="auto" w:fill="auto"/>
            <w:vAlign w:val="center"/>
          </w:tcPr>
          <w:p w14:paraId="4E203CC8" w14:textId="77777777" w:rsidR="00E71C12" w:rsidRPr="00D8141D" w:rsidRDefault="00E71C12" w:rsidP="00E71C12">
            <w:pPr>
              <w:tabs>
                <w:tab w:val="decimal" w:pos="1090"/>
              </w:tabs>
              <w:suppressAutoHyphens/>
              <w:spacing w:before="120" w:after="120"/>
              <w:rPr>
                <w:szCs w:val="20"/>
              </w:rPr>
            </w:pPr>
            <w:r w:rsidRPr="00566CD3">
              <w:t>2.273.225</w:t>
            </w:r>
            <w:r w:rsidRPr="00155288">
              <w:t xml:space="preserve"> </w:t>
            </w:r>
          </w:p>
        </w:tc>
        <w:tc>
          <w:tcPr>
            <w:tcW w:w="990" w:type="pct"/>
            <w:shd w:val="clear" w:color="auto" w:fill="auto"/>
            <w:vAlign w:val="center"/>
          </w:tcPr>
          <w:p w14:paraId="45C8A982" w14:textId="77777777" w:rsidR="00E71C12" w:rsidRPr="00D8141D" w:rsidRDefault="00E71C12" w:rsidP="00E71C12">
            <w:pPr>
              <w:tabs>
                <w:tab w:val="decimal" w:pos="1207"/>
              </w:tabs>
              <w:suppressAutoHyphens/>
              <w:spacing w:before="120" w:after="120"/>
              <w:rPr>
                <w:szCs w:val="20"/>
              </w:rPr>
            </w:pPr>
            <w:r w:rsidRPr="00566CD3">
              <w:t>1.956.879</w:t>
            </w:r>
            <w:r w:rsidRPr="00155288">
              <w:t xml:space="preserve"> </w:t>
            </w:r>
          </w:p>
        </w:tc>
        <w:tc>
          <w:tcPr>
            <w:tcW w:w="988" w:type="pct"/>
            <w:shd w:val="clear" w:color="auto" w:fill="auto"/>
            <w:vAlign w:val="center"/>
          </w:tcPr>
          <w:p w14:paraId="3E1BCCCC" w14:textId="77777777" w:rsidR="00E71C12" w:rsidRPr="00D8141D" w:rsidRDefault="00E71C12" w:rsidP="00E71C12">
            <w:pPr>
              <w:tabs>
                <w:tab w:val="decimal" w:pos="1086"/>
                <w:tab w:val="decimal" w:pos="1207"/>
              </w:tabs>
              <w:suppressAutoHyphens/>
              <w:spacing w:before="120" w:after="120"/>
              <w:jc w:val="center"/>
              <w:rPr>
                <w:szCs w:val="20"/>
              </w:rPr>
            </w:pPr>
            <w:r w:rsidRPr="00566CD3">
              <w:t>1.680.974</w:t>
            </w:r>
            <w:r w:rsidRPr="00155288">
              <w:t xml:space="preserve"> </w:t>
            </w:r>
          </w:p>
        </w:tc>
      </w:tr>
      <w:tr w:rsidR="00E71C12" w:rsidRPr="00D8141D" w14:paraId="0F708E94" w14:textId="77777777" w:rsidTr="007741A8">
        <w:trPr>
          <w:trHeight w:val="643"/>
          <w:jc w:val="center"/>
        </w:trPr>
        <w:tc>
          <w:tcPr>
            <w:tcW w:w="1289" w:type="pct"/>
            <w:shd w:val="clear" w:color="auto" w:fill="auto"/>
            <w:vAlign w:val="center"/>
          </w:tcPr>
          <w:p w14:paraId="6A6A99E3" w14:textId="77777777" w:rsidR="00E71C12" w:rsidRPr="00566CD3" w:rsidRDefault="00E71C12" w:rsidP="00E71C12">
            <w:pPr>
              <w:tabs>
                <w:tab w:val="right" w:leader="dot" w:pos="2700"/>
              </w:tabs>
              <w:suppressAutoHyphens/>
              <w:spacing w:before="120" w:after="120"/>
              <w:ind w:left="60" w:hanging="2"/>
            </w:pPr>
            <w:r w:rsidRPr="00566CD3">
              <w:t>Caixa líquido utilizado nas atividades de investimentos</w:t>
            </w:r>
          </w:p>
        </w:tc>
        <w:tc>
          <w:tcPr>
            <w:tcW w:w="745" w:type="pct"/>
            <w:shd w:val="clear" w:color="auto" w:fill="auto"/>
            <w:vAlign w:val="center"/>
          </w:tcPr>
          <w:p w14:paraId="169E78A0" w14:textId="25C270B4" w:rsidR="00E71C12" w:rsidRPr="00D8141D" w:rsidRDefault="00E71C12" w:rsidP="00E71C12">
            <w:pPr>
              <w:tabs>
                <w:tab w:val="decimal" w:pos="564"/>
              </w:tabs>
              <w:suppressAutoHyphens/>
              <w:spacing w:before="120" w:after="120"/>
              <w:jc w:val="center"/>
              <w:rPr>
                <w:szCs w:val="20"/>
              </w:rPr>
            </w:pPr>
            <w:r w:rsidRPr="00566CD3">
              <w:t>(</w:t>
            </w:r>
            <w:r w:rsidRPr="00155288">
              <w:t xml:space="preserve">1.706.474) </w:t>
            </w:r>
          </w:p>
        </w:tc>
        <w:tc>
          <w:tcPr>
            <w:tcW w:w="988" w:type="pct"/>
            <w:shd w:val="clear" w:color="auto" w:fill="auto"/>
            <w:vAlign w:val="center"/>
          </w:tcPr>
          <w:p w14:paraId="58865FD3" w14:textId="77777777" w:rsidR="00E71C12" w:rsidRPr="00D8141D" w:rsidRDefault="00E71C12" w:rsidP="00E71C12">
            <w:pPr>
              <w:tabs>
                <w:tab w:val="decimal" w:pos="1090"/>
              </w:tabs>
              <w:suppressAutoHyphens/>
              <w:spacing w:before="120" w:after="120"/>
              <w:rPr>
                <w:szCs w:val="20"/>
              </w:rPr>
            </w:pPr>
            <w:r w:rsidRPr="00566CD3">
              <w:t>(690.094)</w:t>
            </w:r>
            <w:r w:rsidRPr="00155288">
              <w:t xml:space="preserve"> </w:t>
            </w:r>
          </w:p>
        </w:tc>
        <w:tc>
          <w:tcPr>
            <w:tcW w:w="990" w:type="pct"/>
            <w:shd w:val="clear" w:color="auto" w:fill="auto"/>
            <w:vAlign w:val="center"/>
          </w:tcPr>
          <w:p w14:paraId="3617095B" w14:textId="77777777" w:rsidR="00E71C12" w:rsidRPr="00D8141D" w:rsidRDefault="00E71C12" w:rsidP="00E71C12">
            <w:pPr>
              <w:tabs>
                <w:tab w:val="decimal" w:pos="1207"/>
              </w:tabs>
              <w:suppressAutoHyphens/>
              <w:spacing w:before="120" w:after="120"/>
              <w:rPr>
                <w:szCs w:val="20"/>
              </w:rPr>
            </w:pPr>
            <w:r w:rsidRPr="00566CD3">
              <w:t>(1.287.980)</w:t>
            </w:r>
            <w:r w:rsidRPr="00155288">
              <w:t xml:space="preserve"> </w:t>
            </w:r>
          </w:p>
        </w:tc>
        <w:tc>
          <w:tcPr>
            <w:tcW w:w="988" w:type="pct"/>
            <w:shd w:val="clear" w:color="auto" w:fill="auto"/>
            <w:vAlign w:val="center"/>
          </w:tcPr>
          <w:p w14:paraId="2CCEAA86" w14:textId="77777777" w:rsidR="00E71C12" w:rsidRPr="00D8141D" w:rsidRDefault="00E71C12" w:rsidP="00E71C12">
            <w:pPr>
              <w:tabs>
                <w:tab w:val="decimal" w:pos="1086"/>
                <w:tab w:val="decimal" w:pos="1207"/>
              </w:tabs>
              <w:suppressAutoHyphens/>
              <w:spacing w:before="120" w:after="120"/>
              <w:jc w:val="center"/>
              <w:rPr>
                <w:szCs w:val="20"/>
              </w:rPr>
            </w:pPr>
            <w:r w:rsidRPr="00566CD3">
              <w:t>(1.765.833)</w:t>
            </w:r>
            <w:r w:rsidRPr="00155288">
              <w:t xml:space="preserve"> </w:t>
            </w:r>
          </w:p>
        </w:tc>
      </w:tr>
      <w:tr w:rsidR="00E71C12" w:rsidRPr="00D8141D" w14:paraId="22A14F44" w14:textId="77777777" w:rsidTr="007741A8">
        <w:trPr>
          <w:jc w:val="center"/>
        </w:trPr>
        <w:tc>
          <w:tcPr>
            <w:tcW w:w="1289" w:type="pct"/>
            <w:shd w:val="clear" w:color="auto" w:fill="auto"/>
            <w:vAlign w:val="center"/>
          </w:tcPr>
          <w:p w14:paraId="6C1A8A92" w14:textId="77777777" w:rsidR="00E71C12" w:rsidRPr="00566CD3" w:rsidRDefault="00E71C12" w:rsidP="00E71C12">
            <w:pPr>
              <w:tabs>
                <w:tab w:val="right" w:leader="dot" w:pos="2700"/>
              </w:tabs>
              <w:suppressAutoHyphens/>
              <w:spacing w:before="120" w:after="120"/>
              <w:ind w:left="60" w:hanging="2"/>
            </w:pPr>
            <w:r w:rsidRPr="00566CD3">
              <w:t>Caixa líquido utilizado nas atividades de financiamentos</w:t>
            </w:r>
          </w:p>
        </w:tc>
        <w:tc>
          <w:tcPr>
            <w:tcW w:w="745" w:type="pct"/>
            <w:shd w:val="clear" w:color="auto" w:fill="auto"/>
            <w:vAlign w:val="center"/>
          </w:tcPr>
          <w:p w14:paraId="5142F5D4" w14:textId="2F6A6DF4" w:rsidR="00E71C12" w:rsidRPr="00D8141D" w:rsidRDefault="00E71C12" w:rsidP="00E71C12">
            <w:pPr>
              <w:tabs>
                <w:tab w:val="decimal" w:pos="564"/>
              </w:tabs>
              <w:suppressAutoHyphens/>
              <w:spacing w:before="120" w:after="120"/>
              <w:jc w:val="center"/>
              <w:rPr>
                <w:szCs w:val="20"/>
              </w:rPr>
            </w:pPr>
            <w:r w:rsidRPr="00566CD3">
              <w:t>(</w:t>
            </w:r>
            <w:r w:rsidRPr="00155288">
              <w:t xml:space="preserve">489.258) </w:t>
            </w:r>
          </w:p>
        </w:tc>
        <w:tc>
          <w:tcPr>
            <w:tcW w:w="988" w:type="pct"/>
            <w:shd w:val="clear" w:color="auto" w:fill="auto"/>
            <w:vAlign w:val="center"/>
          </w:tcPr>
          <w:p w14:paraId="10DDAA59" w14:textId="77777777" w:rsidR="00E71C12" w:rsidRPr="00D8141D" w:rsidRDefault="00E71C12" w:rsidP="00E71C12">
            <w:pPr>
              <w:tabs>
                <w:tab w:val="decimal" w:pos="1090"/>
              </w:tabs>
              <w:suppressAutoHyphens/>
              <w:spacing w:before="120" w:after="120"/>
              <w:rPr>
                <w:szCs w:val="20"/>
              </w:rPr>
            </w:pPr>
            <w:r w:rsidRPr="00566CD3">
              <w:t>(1.386.847)</w:t>
            </w:r>
            <w:r w:rsidRPr="00155288">
              <w:t xml:space="preserve"> </w:t>
            </w:r>
          </w:p>
        </w:tc>
        <w:tc>
          <w:tcPr>
            <w:tcW w:w="990" w:type="pct"/>
            <w:shd w:val="clear" w:color="auto" w:fill="auto"/>
            <w:vAlign w:val="center"/>
          </w:tcPr>
          <w:p w14:paraId="22DCD420" w14:textId="77777777" w:rsidR="00E71C12" w:rsidRPr="00D8141D" w:rsidRDefault="00E71C12" w:rsidP="00E71C12">
            <w:pPr>
              <w:tabs>
                <w:tab w:val="decimal" w:pos="1207"/>
              </w:tabs>
              <w:suppressAutoHyphens/>
              <w:spacing w:before="120" w:after="120"/>
              <w:rPr>
                <w:szCs w:val="20"/>
              </w:rPr>
            </w:pPr>
            <w:r w:rsidRPr="00566CD3">
              <w:t>(774.440)</w:t>
            </w:r>
            <w:r w:rsidRPr="00155288">
              <w:t xml:space="preserve"> </w:t>
            </w:r>
          </w:p>
        </w:tc>
        <w:tc>
          <w:tcPr>
            <w:tcW w:w="988" w:type="pct"/>
            <w:shd w:val="clear" w:color="auto" w:fill="auto"/>
            <w:vAlign w:val="center"/>
          </w:tcPr>
          <w:p w14:paraId="0CC2A785" w14:textId="77777777" w:rsidR="00E71C12" w:rsidRPr="00D8141D" w:rsidRDefault="00E71C12" w:rsidP="00E71C12">
            <w:pPr>
              <w:tabs>
                <w:tab w:val="decimal" w:pos="1086"/>
                <w:tab w:val="decimal" w:pos="1207"/>
              </w:tabs>
              <w:suppressAutoHyphens/>
              <w:spacing w:before="120" w:after="120"/>
              <w:jc w:val="center"/>
              <w:rPr>
                <w:szCs w:val="20"/>
              </w:rPr>
            </w:pPr>
            <w:r w:rsidRPr="00566CD3">
              <w:t>141.601</w:t>
            </w:r>
            <w:r w:rsidRPr="00155288">
              <w:t xml:space="preserve"> </w:t>
            </w:r>
          </w:p>
        </w:tc>
      </w:tr>
      <w:tr w:rsidR="00E71C12" w:rsidRPr="00D8141D" w14:paraId="231C3D2B" w14:textId="77777777" w:rsidTr="007741A8">
        <w:trPr>
          <w:jc w:val="center"/>
        </w:trPr>
        <w:tc>
          <w:tcPr>
            <w:tcW w:w="1289" w:type="pct"/>
            <w:shd w:val="clear" w:color="auto" w:fill="auto"/>
            <w:vAlign w:val="center"/>
          </w:tcPr>
          <w:p w14:paraId="216AB527" w14:textId="77777777" w:rsidR="00E71C12" w:rsidRPr="00566CD3" w:rsidRDefault="00E71C12" w:rsidP="00E71C12">
            <w:pPr>
              <w:tabs>
                <w:tab w:val="right" w:leader="dot" w:pos="2700"/>
              </w:tabs>
              <w:suppressAutoHyphens/>
              <w:spacing w:before="120" w:after="120"/>
              <w:ind w:left="60" w:hanging="2"/>
            </w:pPr>
            <w:r w:rsidRPr="00566CD3">
              <w:t>Aumento (redução) do saldo de caixa e equivalentes a caixa</w:t>
            </w:r>
          </w:p>
        </w:tc>
        <w:tc>
          <w:tcPr>
            <w:tcW w:w="745" w:type="pct"/>
            <w:shd w:val="clear" w:color="auto" w:fill="auto"/>
            <w:vAlign w:val="center"/>
          </w:tcPr>
          <w:p w14:paraId="15B45DA8" w14:textId="2108E4D6" w:rsidR="00E71C12" w:rsidRPr="00D8141D" w:rsidRDefault="00E71C12" w:rsidP="00E71C12">
            <w:pPr>
              <w:tabs>
                <w:tab w:val="decimal" w:pos="564"/>
              </w:tabs>
              <w:suppressAutoHyphens/>
              <w:spacing w:before="120" w:after="120"/>
              <w:jc w:val="center"/>
              <w:rPr>
                <w:szCs w:val="20"/>
              </w:rPr>
            </w:pPr>
            <w:r w:rsidRPr="00155288">
              <w:t xml:space="preserve">35.300 </w:t>
            </w:r>
          </w:p>
        </w:tc>
        <w:tc>
          <w:tcPr>
            <w:tcW w:w="988" w:type="pct"/>
            <w:shd w:val="clear" w:color="auto" w:fill="auto"/>
            <w:vAlign w:val="center"/>
          </w:tcPr>
          <w:p w14:paraId="4379AA42" w14:textId="77777777" w:rsidR="00E71C12" w:rsidRPr="00D8141D" w:rsidRDefault="00E71C12" w:rsidP="00E71C12">
            <w:pPr>
              <w:tabs>
                <w:tab w:val="decimal" w:pos="1090"/>
              </w:tabs>
              <w:suppressAutoHyphens/>
              <w:spacing w:before="120" w:after="120"/>
              <w:rPr>
                <w:szCs w:val="20"/>
              </w:rPr>
            </w:pPr>
            <w:r w:rsidRPr="00566CD3">
              <w:t>196.284</w:t>
            </w:r>
            <w:r w:rsidRPr="00155288">
              <w:t xml:space="preserve"> </w:t>
            </w:r>
          </w:p>
        </w:tc>
        <w:tc>
          <w:tcPr>
            <w:tcW w:w="990" w:type="pct"/>
            <w:shd w:val="clear" w:color="auto" w:fill="auto"/>
            <w:vAlign w:val="center"/>
          </w:tcPr>
          <w:p w14:paraId="2D85709B" w14:textId="77777777" w:rsidR="00E71C12" w:rsidRPr="00D8141D" w:rsidRDefault="00E71C12" w:rsidP="00E71C12">
            <w:pPr>
              <w:tabs>
                <w:tab w:val="decimal" w:pos="1207"/>
              </w:tabs>
              <w:suppressAutoHyphens/>
              <w:spacing w:before="120" w:after="120"/>
              <w:ind w:right="-116"/>
              <w:rPr>
                <w:szCs w:val="20"/>
              </w:rPr>
            </w:pPr>
            <w:r w:rsidRPr="00566CD3">
              <w:t>(105.541)</w:t>
            </w:r>
            <w:r w:rsidRPr="00155288">
              <w:t xml:space="preserve"> </w:t>
            </w:r>
          </w:p>
        </w:tc>
        <w:tc>
          <w:tcPr>
            <w:tcW w:w="988" w:type="pct"/>
            <w:shd w:val="clear" w:color="auto" w:fill="auto"/>
            <w:vAlign w:val="center"/>
          </w:tcPr>
          <w:p w14:paraId="733DC0D9" w14:textId="77777777" w:rsidR="00E71C12" w:rsidRPr="00D8141D" w:rsidRDefault="00E71C12" w:rsidP="00E71C12">
            <w:pPr>
              <w:tabs>
                <w:tab w:val="decimal" w:pos="1086"/>
                <w:tab w:val="decimal" w:pos="1207"/>
              </w:tabs>
              <w:suppressAutoHyphens/>
              <w:spacing w:before="120" w:after="120"/>
              <w:jc w:val="center"/>
              <w:rPr>
                <w:szCs w:val="20"/>
              </w:rPr>
            </w:pPr>
            <w:r w:rsidRPr="00566CD3">
              <w:t>56.742</w:t>
            </w:r>
            <w:r w:rsidRPr="00155288">
              <w:t xml:space="preserve"> </w:t>
            </w:r>
          </w:p>
        </w:tc>
      </w:tr>
    </w:tbl>
    <w:p w14:paraId="0D6369AD" w14:textId="77777777" w:rsidR="003D1BDB" w:rsidRPr="00566CD3" w:rsidRDefault="003D1BDB" w:rsidP="003D1BDB">
      <w:pPr>
        <w:suppressAutoHyphens/>
        <w:spacing w:before="240" w:after="240"/>
        <w:ind w:left="288" w:hanging="288"/>
        <w:jc w:val="both"/>
        <w:rPr>
          <w:sz w:val="20"/>
        </w:rPr>
      </w:pPr>
      <w:r w:rsidRPr="00566CD3">
        <w:rPr>
          <w:sz w:val="20"/>
          <w:vertAlign w:val="superscript"/>
        </w:rPr>
        <w:t>(1)</w:t>
      </w:r>
      <w:r w:rsidRPr="00566CD3">
        <w:rPr>
          <w:sz w:val="20"/>
          <w:vertAlign w:val="superscript"/>
        </w:rPr>
        <w:tab/>
      </w:r>
      <w:r w:rsidRPr="00566CD3">
        <w:rPr>
          <w:sz w:val="20"/>
        </w:rPr>
        <w:t>As informações contábeis da Emissora foram extraídas das suas demonstrações financeiras e/ou informações trimestrais.</w:t>
      </w:r>
    </w:p>
    <w:p w14:paraId="39D9B72A" w14:textId="77777777" w:rsidR="0083356F" w:rsidRPr="00D8141D" w:rsidRDefault="0083356F" w:rsidP="002D4C3F">
      <w:pPr>
        <w:pStyle w:val="EDP-corpodetexto"/>
        <w:widowControl w:val="0"/>
        <w:spacing w:after="140" w:line="290" w:lineRule="auto"/>
        <w:rPr>
          <w:rFonts w:cs="Calibri"/>
          <w:sz w:val="24"/>
          <w:szCs w:val="24"/>
        </w:rPr>
      </w:pPr>
      <w:r w:rsidRPr="00D8141D">
        <w:rPr>
          <w:rFonts w:cs="Calibri"/>
          <w:sz w:val="22"/>
          <w:szCs w:val="22"/>
        </w:rPr>
        <w:t>Para mais informações relacionadas à capacidade de pagamento dos compromissos financeiros da Emissora, ver seção “10.1 Comentários dos Diretores – Condições Financeiras/Patrimoniais” do Formulário de Referência e as demonstrações financeiras e informações trimestrais (ITR) da Emissora, e respectivas notas explicativas, incorporados por referência a este Prospecto</w:t>
      </w:r>
      <w:r w:rsidRPr="00D8141D">
        <w:rPr>
          <w:rFonts w:cs="Calibri"/>
          <w:sz w:val="24"/>
          <w:szCs w:val="24"/>
        </w:rPr>
        <w:t>.</w:t>
      </w:r>
    </w:p>
    <w:p w14:paraId="70548B44" w14:textId="77777777" w:rsidR="00E8286C" w:rsidRPr="00566CD3" w:rsidRDefault="00E8286C" w:rsidP="002D4C3F">
      <w:pPr>
        <w:pStyle w:val="BasicParagraph"/>
        <w:widowControl w:val="0"/>
        <w:suppressAutoHyphens w:val="0"/>
        <w:spacing w:after="140" w:line="290" w:lineRule="auto"/>
        <w:jc w:val="both"/>
        <w:rPr>
          <w:rFonts w:ascii="Calibri" w:hAnsi="Calibri"/>
        </w:rPr>
      </w:pPr>
    </w:p>
    <w:p w14:paraId="766F94B4" w14:textId="77777777" w:rsidR="00E113A2" w:rsidRPr="00566CD3" w:rsidRDefault="00E113A2" w:rsidP="00E113A2">
      <w:pPr>
        <w:spacing w:before="220" w:after="220"/>
        <w:jc w:val="center"/>
      </w:pPr>
    </w:p>
    <w:p w14:paraId="31A8B7E6" w14:textId="77777777" w:rsidR="00E113A2" w:rsidRPr="00566CD3" w:rsidRDefault="00E113A2" w:rsidP="00E113A2">
      <w:pPr>
        <w:spacing w:before="220" w:after="220"/>
        <w:jc w:val="center"/>
      </w:pPr>
    </w:p>
    <w:p w14:paraId="30A3CBCC" w14:textId="77777777" w:rsidR="00E113A2" w:rsidRPr="00566CD3" w:rsidRDefault="00E113A2" w:rsidP="00E113A2">
      <w:pPr>
        <w:spacing w:before="220" w:after="220"/>
        <w:jc w:val="center"/>
      </w:pPr>
    </w:p>
    <w:p w14:paraId="16CE1167" w14:textId="77777777" w:rsidR="00E113A2" w:rsidRPr="00566CD3" w:rsidRDefault="00E113A2" w:rsidP="00E113A2">
      <w:pPr>
        <w:spacing w:before="220" w:after="220"/>
        <w:jc w:val="center"/>
      </w:pPr>
    </w:p>
    <w:p w14:paraId="7A7E4A0C" w14:textId="77777777" w:rsidR="00E113A2" w:rsidRPr="00566CD3" w:rsidRDefault="00E113A2" w:rsidP="00E113A2">
      <w:pPr>
        <w:spacing w:before="220" w:after="220"/>
        <w:jc w:val="center"/>
      </w:pPr>
    </w:p>
    <w:p w14:paraId="59EB9FF3" w14:textId="77777777" w:rsidR="00E113A2" w:rsidRPr="00566CD3" w:rsidRDefault="00E113A2" w:rsidP="00E113A2">
      <w:pPr>
        <w:spacing w:before="220" w:after="220"/>
        <w:jc w:val="center"/>
      </w:pPr>
    </w:p>
    <w:p w14:paraId="3F641534" w14:textId="77777777" w:rsidR="00E113A2" w:rsidRPr="00566CD3" w:rsidRDefault="00E113A2" w:rsidP="00E113A2">
      <w:pPr>
        <w:spacing w:before="220" w:after="220"/>
        <w:jc w:val="center"/>
      </w:pPr>
    </w:p>
    <w:p w14:paraId="7D8E4341" w14:textId="77777777" w:rsidR="00E113A2" w:rsidRPr="00566CD3" w:rsidRDefault="00E113A2" w:rsidP="00E113A2">
      <w:pPr>
        <w:spacing w:before="220" w:after="220"/>
        <w:jc w:val="center"/>
      </w:pPr>
    </w:p>
    <w:p w14:paraId="55B70CDF" w14:textId="77777777" w:rsidR="00E113A2" w:rsidRPr="00566CD3" w:rsidRDefault="00E113A2" w:rsidP="00E113A2">
      <w:pPr>
        <w:spacing w:before="220" w:after="220"/>
        <w:jc w:val="center"/>
      </w:pPr>
    </w:p>
    <w:p w14:paraId="6A75B561" w14:textId="77777777" w:rsidR="00E113A2" w:rsidRPr="00566CD3" w:rsidRDefault="00E113A2" w:rsidP="00E113A2">
      <w:pPr>
        <w:spacing w:before="220" w:after="220"/>
        <w:jc w:val="center"/>
      </w:pPr>
    </w:p>
    <w:p w14:paraId="40BC396F" w14:textId="77777777" w:rsidR="00E113A2" w:rsidRPr="00566CD3" w:rsidRDefault="00E113A2" w:rsidP="00E113A2">
      <w:pPr>
        <w:spacing w:before="220" w:after="220"/>
        <w:jc w:val="center"/>
      </w:pPr>
    </w:p>
    <w:p w14:paraId="0FF42015" w14:textId="77777777" w:rsidR="00E113A2" w:rsidRPr="00566CD3" w:rsidRDefault="00E113A2" w:rsidP="00E113A2">
      <w:pPr>
        <w:spacing w:before="220" w:after="220"/>
        <w:jc w:val="center"/>
      </w:pPr>
    </w:p>
    <w:p w14:paraId="237F876B" w14:textId="77777777" w:rsidR="00E113A2" w:rsidRPr="00566CD3" w:rsidRDefault="00E113A2" w:rsidP="00E113A2">
      <w:pPr>
        <w:spacing w:before="240" w:after="240"/>
        <w:jc w:val="center"/>
      </w:pPr>
      <w:r w:rsidRPr="00566CD3">
        <w:t xml:space="preserve"> (Esta página foi intencionalmente deixada em branco)</w:t>
      </w:r>
    </w:p>
    <w:p w14:paraId="6E7AD9C7" w14:textId="77777777" w:rsidR="0036774A" w:rsidRPr="009E5F9A" w:rsidRDefault="00E113A2" w:rsidP="009E5F9A">
      <w:pPr>
        <w:rPr>
          <w:b/>
          <w:bCs/>
        </w:rPr>
      </w:pPr>
      <w:r w:rsidRPr="00566CD3">
        <w:br w:type="page"/>
      </w:r>
      <w:r w:rsidR="0036774A" w:rsidRPr="009E5F9A">
        <w:rPr>
          <w:b/>
          <w:bCs/>
        </w:rPr>
        <w:lastRenderedPageBreak/>
        <w:t>ANEXOS</w:t>
      </w:r>
    </w:p>
    <w:p w14:paraId="7A019330" w14:textId="77777777" w:rsidR="00915218" w:rsidRPr="00566CD3" w:rsidRDefault="00915218" w:rsidP="0012175C"/>
    <w:p w14:paraId="297887DC" w14:textId="2D9661A0" w:rsidR="0036774A" w:rsidRPr="00566CD3" w:rsidRDefault="0036774A" w:rsidP="0036774A">
      <w:pPr>
        <w:tabs>
          <w:tab w:val="right" w:leader="dot" w:pos="8789"/>
        </w:tabs>
        <w:spacing w:after="200" w:line="240" w:lineRule="exact"/>
        <w:ind w:right="2"/>
      </w:pPr>
      <w:r w:rsidRPr="00566CD3">
        <w:rPr>
          <w:b/>
        </w:rPr>
        <w:t>ANEXO A –</w:t>
      </w:r>
      <w:r w:rsidRPr="00566CD3">
        <w:t xml:space="preserve"> Escritura de Emissão</w:t>
      </w:r>
      <w:r w:rsidRPr="00566CD3">
        <w:tab/>
      </w:r>
      <w:r w:rsidR="00C36741">
        <w:t>15</w:t>
      </w:r>
      <w:r w:rsidR="00820B4D">
        <w:t>3</w:t>
      </w:r>
    </w:p>
    <w:p w14:paraId="1000BA4C" w14:textId="1B5D8A64" w:rsidR="0036774A" w:rsidRPr="00566CD3" w:rsidRDefault="0036774A" w:rsidP="0036774A">
      <w:pPr>
        <w:tabs>
          <w:tab w:val="right" w:leader="dot" w:pos="8789"/>
        </w:tabs>
        <w:spacing w:after="200" w:line="240" w:lineRule="exact"/>
        <w:ind w:right="2"/>
      </w:pPr>
      <w:r w:rsidRPr="00566CD3">
        <w:rPr>
          <w:b/>
        </w:rPr>
        <w:t xml:space="preserve">ANEXO </w:t>
      </w:r>
      <w:r w:rsidR="00DB205D" w:rsidRPr="00566CD3">
        <w:rPr>
          <w:b/>
        </w:rPr>
        <w:t>B</w:t>
      </w:r>
      <w:r w:rsidRPr="00566CD3">
        <w:rPr>
          <w:b/>
        </w:rPr>
        <w:t xml:space="preserve"> –</w:t>
      </w:r>
      <w:r w:rsidRPr="00566CD3">
        <w:t xml:space="preserve"> Aditamento à Escritura de Emissão referente ao resultado do </w:t>
      </w:r>
      <w:r w:rsidR="007D78B8" w:rsidRPr="00566CD3">
        <w:br/>
      </w:r>
      <w:r w:rsidRPr="00566CD3">
        <w:t xml:space="preserve">Procedimento de </w:t>
      </w:r>
      <w:r w:rsidRPr="00566CD3">
        <w:rPr>
          <w:i/>
        </w:rPr>
        <w:t>Bookbuilding</w:t>
      </w:r>
      <w:r w:rsidRPr="00566CD3">
        <w:tab/>
      </w:r>
      <w:r w:rsidR="00C36741">
        <w:t>23</w:t>
      </w:r>
      <w:r w:rsidR="00820B4D">
        <w:t>3</w:t>
      </w:r>
    </w:p>
    <w:p w14:paraId="06F7B201" w14:textId="159DEE70" w:rsidR="0036774A" w:rsidRPr="00566CD3" w:rsidRDefault="0036774A" w:rsidP="0036774A">
      <w:pPr>
        <w:tabs>
          <w:tab w:val="right" w:leader="dot" w:pos="8789"/>
        </w:tabs>
        <w:spacing w:after="200" w:line="240" w:lineRule="exact"/>
        <w:ind w:right="2"/>
      </w:pPr>
      <w:r w:rsidRPr="00566CD3">
        <w:rPr>
          <w:b/>
        </w:rPr>
        <w:t xml:space="preserve">ANEXO </w:t>
      </w:r>
      <w:r w:rsidR="00DB205D" w:rsidRPr="00566CD3">
        <w:rPr>
          <w:b/>
        </w:rPr>
        <w:t>C</w:t>
      </w:r>
      <w:r w:rsidRPr="00566CD3">
        <w:rPr>
          <w:b/>
        </w:rPr>
        <w:t xml:space="preserve"> –</w:t>
      </w:r>
      <w:r w:rsidRPr="00566CD3">
        <w:t xml:space="preserve"> Ata da Reunião do Conselho de Administração da Emissora que </w:t>
      </w:r>
      <w:r w:rsidR="007D78B8" w:rsidRPr="00566CD3">
        <w:br/>
      </w:r>
      <w:r w:rsidRPr="00566CD3">
        <w:t>aprovou a Emissão e a Oferta</w:t>
      </w:r>
      <w:r w:rsidRPr="00566CD3">
        <w:tab/>
      </w:r>
      <w:r w:rsidR="00C36741">
        <w:t>31</w:t>
      </w:r>
      <w:r w:rsidR="00820B4D">
        <w:t>7</w:t>
      </w:r>
    </w:p>
    <w:p w14:paraId="67749346" w14:textId="78460E2B" w:rsidR="0036774A" w:rsidRPr="00566CD3" w:rsidRDefault="0036774A" w:rsidP="0036774A">
      <w:pPr>
        <w:tabs>
          <w:tab w:val="right" w:leader="dot" w:pos="8789"/>
        </w:tabs>
        <w:spacing w:after="200" w:line="240" w:lineRule="exact"/>
        <w:ind w:right="2"/>
      </w:pPr>
      <w:r w:rsidRPr="00566CD3">
        <w:rPr>
          <w:b/>
        </w:rPr>
        <w:t xml:space="preserve">ANEXO </w:t>
      </w:r>
      <w:r w:rsidR="00DB205D" w:rsidRPr="00566CD3">
        <w:rPr>
          <w:b/>
        </w:rPr>
        <w:t>D</w:t>
      </w:r>
      <w:r w:rsidRPr="00566CD3">
        <w:rPr>
          <w:b/>
        </w:rPr>
        <w:t xml:space="preserve"> -</w:t>
      </w:r>
      <w:r w:rsidRPr="00566CD3">
        <w:t xml:space="preserve"> Declaração da Emissora, nos termos do artigo 56 da Instrução CVM 400</w:t>
      </w:r>
      <w:r w:rsidRPr="00566CD3">
        <w:tab/>
      </w:r>
      <w:r w:rsidR="00C36741">
        <w:t>33</w:t>
      </w:r>
      <w:r w:rsidR="00820B4D">
        <w:t>1</w:t>
      </w:r>
    </w:p>
    <w:p w14:paraId="7E42C622" w14:textId="6D5F3B23" w:rsidR="0036774A" w:rsidRPr="00566CD3" w:rsidRDefault="0036774A" w:rsidP="0036774A">
      <w:pPr>
        <w:tabs>
          <w:tab w:val="right" w:leader="dot" w:pos="8789"/>
        </w:tabs>
        <w:spacing w:after="200" w:line="240" w:lineRule="exact"/>
        <w:ind w:right="2"/>
      </w:pPr>
      <w:r w:rsidRPr="00566CD3">
        <w:rPr>
          <w:b/>
        </w:rPr>
        <w:t xml:space="preserve">ANEXO </w:t>
      </w:r>
      <w:r w:rsidR="00DB205D" w:rsidRPr="00566CD3">
        <w:rPr>
          <w:b/>
        </w:rPr>
        <w:t>E</w:t>
      </w:r>
      <w:r w:rsidRPr="00566CD3">
        <w:rPr>
          <w:b/>
        </w:rPr>
        <w:t xml:space="preserve"> -</w:t>
      </w:r>
      <w:r w:rsidRPr="00566CD3">
        <w:t xml:space="preserve"> Declaração do Coordenador Líder, nos termos do artigo 56 da </w:t>
      </w:r>
      <w:r w:rsidR="007D78B8" w:rsidRPr="00566CD3">
        <w:br/>
      </w:r>
      <w:r w:rsidRPr="00566CD3">
        <w:t>Instrução CVM 400</w:t>
      </w:r>
      <w:r w:rsidRPr="00566CD3">
        <w:tab/>
      </w:r>
      <w:r w:rsidR="00C36741">
        <w:t>33</w:t>
      </w:r>
      <w:r w:rsidR="00820B4D">
        <w:t>5</w:t>
      </w:r>
    </w:p>
    <w:p w14:paraId="62B80128" w14:textId="5916C504" w:rsidR="0036774A" w:rsidRPr="00566CD3" w:rsidRDefault="0036774A" w:rsidP="0036774A">
      <w:pPr>
        <w:tabs>
          <w:tab w:val="right" w:leader="dot" w:pos="8789"/>
        </w:tabs>
        <w:spacing w:after="200" w:line="240" w:lineRule="exact"/>
        <w:ind w:right="2"/>
      </w:pPr>
      <w:r w:rsidRPr="00566CD3">
        <w:rPr>
          <w:b/>
        </w:rPr>
        <w:t xml:space="preserve">ANEXO </w:t>
      </w:r>
      <w:r w:rsidR="00DB205D" w:rsidRPr="00566CD3">
        <w:rPr>
          <w:b/>
        </w:rPr>
        <w:t>F</w:t>
      </w:r>
      <w:r w:rsidRPr="00566CD3">
        <w:rPr>
          <w:b/>
        </w:rPr>
        <w:t xml:space="preserve"> –</w:t>
      </w:r>
      <w:r w:rsidRPr="00566CD3">
        <w:t xml:space="preserve"> </w:t>
      </w:r>
      <w:r w:rsidR="00324D97" w:rsidRPr="00566CD3">
        <w:t>Portaria nº 21 de 04 de maio de 2021</w:t>
      </w:r>
      <w:r w:rsidRPr="00566CD3">
        <w:t>, do Ministério de Minas e Energia</w:t>
      </w:r>
      <w:r w:rsidRPr="00566CD3">
        <w:tab/>
      </w:r>
      <w:r w:rsidR="00C36741">
        <w:t>34</w:t>
      </w:r>
      <w:r w:rsidR="00820B4D">
        <w:t>5</w:t>
      </w:r>
    </w:p>
    <w:p w14:paraId="481150A5" w14:textId="7987D8EA" w:rsidR="0036774A" w:rsidRPr="00566CD3" w:rsidRDefault="0036774A" w:rsidP="0036774A">
      <w:pPr>
        <w:tabs>
          <w:tab w:val="right" w:leader="dot" w:pos="8789"/>
        </w:tabs>
        <w:spacing w:after="200" w:line="240" w:lineRule="exact"/>
        <w:ind w:right="2"/>
      </w:pPr>
      <w:r w:rsidRPr="00566CD3">
        <w:rPr>
          <w:b/>
        </w:rPr>
        <w:t xml:space="preserve">ANEXO </w:t>
      </w:r>
      <w:r w:rsidR="00DB205D" w:rsidRPr="00566CD3">
        <w:rPr>
          <w:b/>
        </w:rPr>
        <w:t>G</w:t>
      </w:r>
      <w:r w:rsidRPr="00566CD3">
        <w:rPr>
          <w:b/>
        </w:rPr>
        <w:t xml:space="preserve"> –</w:t>
      </w:r>
      <w:r w:rsidRPr="00566CD3">
        <w:t xml:space="preserve"> </w:t>
      </w:r>
      <w:r w:rsidR="00324D97" w:rsidRPr="00566CD3">
        <w:t>Portaria nº 35/SPG/MME de 18 de outubro de 2021</w:t>
      </w:r>
      <w:r w:rsidRPr="00566CD3">
        <w:t xml:space="preserve">, do Ministério de </w:t>
      </w:r>
      <w:r w:rsidR="007D78B8" w:rsidRPr="00566CD3">
        <w:br/>
      </w:r>
      <w:r w:rsidRPr="00566CD3">
        <w:t>Minas e Energia</w:t>
      </w:r>
      <w:r w:rsidRPr="00566CD3">
        <w:tab/>
      </w:r>
      <w:r w:rsidR="00C36741">
        <w:t>3</w:t>
      </w:r>
      <w:r w:rsidR="00820B4D">
        <w:t>49</w:t>
      </w:r>
    </w:p>
    <w:p w14:paraId="5B4FA01C" w14:textId="7C03B06E" w:rsidR="00B44307" w:rsidRPr="00566CD3" w:rsidRDefault="0036774A" w:rsidP="0036774A">
      <w:pPr>
        <w:tabs>
          <w:tab w:val="right" w:leader="dot" w:pos="8789"/>
        </w:tabs>
        <w:spacing w:after="200" w:line="240" w:lineRule="exact"/>
        <w:ind w:right="2"/>
      </w:pPr>
      <w:r w:rsidRPr="00566CD3">
        <w:rPr>
          <w:b/>
        </w:rPr>
        <w:t xml:space="preserve">ANEXO </w:t>
      </w:r>
      <w:r w:rsidR="00DB205D" w:rsidRPr="00566CD3">
        <w:rPr>
          <w:b/>
        </w:rPr>
        <w:t>H</w:t>
      </w:r>
      <w:r w:rsidRPr="00566CD3">
        <w:rPr>
          <w:b/>
        </w:rPr>
        <w:t xml:space="preserve"> –</w:t>
      </w:r>
      <w:r w:rsidRPr="00566CD3">
        <w:t xml:space="preserve"> Súmula de Classificação de Risco (</w:t>
      </w:r>
      <w:r w:rsidRPr="00566CD3">
        <w:rPr>
          <w:i/>
        </w:rPr>
        <w:t>Rating</w:t>
      </w:r>
      <w:r w:rsidRPr="00566CD3">
        <w:t xml:space="preserve">) </w:t>
      </w:r>
      <w:r w:rsidRPr="00566CD3">
        <w:tab/>
      </w:r>
      <w:r w:rsidR="00C36741">
        <w:t>35</w:t>
      </w:r>
      <w:r w:rsidR="00820B4D">
        <w:t>3</w:t>
      </w:r>
    </w:p>
    <w:p w14:paraId="18BE27AB" w14:textId="77777777" w:rsidR="0029028C" w:rsidRPr="00566CD3" w:rsidRDefault="0029028C">
      <w:r w:rsidRPr="00566CD3">
        <w:br w:type="page"/>
      </w:r>
    </w:p>
    <w:p w14:paraId="52048843" w14:textId="77777777" w:rsidR="0029028C" w:rsidRPr="00566CD3" w:rsidRDefault="0029028C" w:rsidP="0029028C">
      <w:pPr>
        <w:spacing w:before="220" w:after="220"/>
        <w:jc w:val="center"/>
      </w:pPr>
    </w:p>
    <w:p w14:paraId="12EC5493" w14:textId="77777777" w:rsidR="0029028C" w:rsidRPr="00566CD3" w:rsidRDefault="0029028C" w:rsidP="0029028C">
      <w:pPr>
        <w:spacing w:before="220" w:after="220"/>
        <w:jc w:val="center"/>
      </w:pPr>
    </w:p>
    <w:p w14:paraId="0F7543E7" w14:textId="77777777" w:rsidR="0029028C" w:rsidRPr="00566CD3" w:rsidRDefault="0029028C" w:rsidP="0029028C">
      <w:pPr>
        <w:spacing w:before="220" w:after="220"/>
        <w:jc w:val="center"/>
      </w:pPr>
    </w:p>
    <w:p w14:paraId="20BAA6BF" w14:textId="77777777" w:rsidR="0029028C" w:rsidRPr="00566CD3" w:rsidRDefault="0029028C" w:rsidP="0029028C">
      <w:pPr>
        <w:spacing w:before="220" w:after="220"/>
        <w:jc w:val="center"/>
      </w:pPr>
    </w:p>
    <w:p w14:paraId="339BBF36" w14:textId="77777777" w:rsidR="0029028C" w:rsidRPr="00566CD3" w:rsidRDefault="0029028C" w:rsidP="0029028C">
      <w:pPr>
        <w:spacing w:before="220" w:after="220"/>
        <w:jc w:val="center"/>
      </w:pPr>
    </w:p>
    <w:p w14:paraId="79033B94" w14:textId="77777777" w:rsidR="0029028C" w:rsidRPr="00566CD3" w:rsidRDefault="0029028C" w:rsidP="0029028C">
      <w:pPr>
        <w:spacing w:before="220" w:after="220"/>
        <w:jc w:val="center"/>
      </w:pPr>
    </w:p>
    <w:p w14:paraId="0C11891E" w14:textId="77777777" w:rsidR="0029028C" w:rsidRPr="00566CD3" w:rsidRDefault="0029028C" w:rsidP="0029028C">
      <w:pPr>
        <w:spacing w:before="220" w:after="220"/>
        <w:jc w:val="center"/>
      </w:pPr>
    </w:p>
    <w:p w14:paraId="17C5EA31" w14:textId="77777777" w:rsidR="0029028C" w:rsidRPr="00566CD3" w:rsidRDefault="0029028C" w:rsidP="0029028C">
      <w:pPr>
        <w:spacing w:before="220" w:after="220"/>
        <w:jc w:val="center"/>
      </w:pPr>
    </w:p>
    <w:p w14:paraId="1EB60650" w14:textId="77777777" w:rsidR="0029028C" w:rsidRPr="00566CD3" w:rsidRDefault="0029028C" w:rsidP="0029028C">
      <w:pPr>
        <w:spacing w:before="220" w:after="220"/>
        <w:jc w:val="center"/>
      </w:pPr>
    </w:p>
    <w:p w14:paraId="481CDA7E" w14:textId="77777777" w:rsidR="0029028C" w:rsidRPr="00566CD3" w:rsidRDefault="0029028C" w:rsidP="0029028C">
      <w:pPr>
        <w:spacing w:before="220" w:after="220"/>
        <w:jc w:val="center"/>
      </w:pPr>
    </w:p>
    <w:p w14:paraId="15F6ECCB" w14:textId="77777777" w:rsidR="0029028C" w:rsidRPr="00566CD3" w:rsidRDefault="0029028C" w:rsidP="0029028C">
      <w:pPr>
        <w:spacing w:before="220" w:after="220"/>
        <w:jc w:val="center"/>
      </w:pPr>
    </w:p>
    <w:p w14:paraId="3CE6D321" w14:textId="77777777" w:rsidR="0029028C" w:rsidRPr="00566CD3" w:rsidRDefault="0029028C" w:rsidP="0029028C">
      <w:pPr>
        <w:spacing w:before="220" w:after="220"/>
        <w:jc w:val="center"/>
      </w:pPr>
    </w:p>
    <w:p w14:paraId="7E3E7958" w14:textId="77777777" w:rsidR="0029028C" w:rsidRPr="00566CD3" w:rsidRDefault="0029028C" w:rsidP="0029028C">
      <w:pPr>
        <w:spacing w:before="220" w:after="220"/>
        <w:jc w:val="center"/>
      </w:pPr>
    </w:p>
    <w:p w14:paraId="3DC21570" w14:textId="77777777" w:rsidR="0029028C" w:rsidRPr="00566CD3" w:rsidRDefault="0029028C" w:rsidP="0029028C">
      <w:pPr>
        <w:spacing w:before="240" w:after="240"/>
        <w:jc w:val="center"/>
      </w:pPr>
      <w:r w:rsidRPr="00566CD3">
        <w:t xml:space="preserve"> (Esta página foi intencionalmente deixada em branco)</w:t>
      </w:r>
    </w:p>
    <w:sectPr w:rsidR="0029028C" w:rsidRPr="00566CD3" w:rsidSect="00291082">
      <w:headerReference w:type="even" r:id="rId32"/>
      <w:headerReference w:type="default" r:id="rId33"/>
      <w:footerReference w:type="even" r:id="rId34"/>
      <w:footerReference w:type="default" r:id="rId35"/>
      <w:pgSz w:w="12240" w:h="15840" w:code="119"/>
      <w:pgMar w:top="1411" w:right="1750" w:bottom="1411" w:left="1699"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634B" w14:textId="77777777" w:rsidR="0079281B" w:rsidRDefault="0079281B" w:rsidP="00C3310A">
      <w:r>
        <w:separator/>
      </w:r>
    </w:p>
  </w:endnote>
  <w:endnote w:type="continuationSeparator" w:id="0">
    <w:p w14:paraId="097D116A" w14:textId="77777777" w:rsidR="0079281B" w:rsidRDefault="0079281B" w:rsidP="00C3310A">
      <w:r>
        <w:continuationSeparator/>
      </w:r>
    </w:p>
  </w:endnote>
  <w:endnote w:type="continuationNotice" w:id="1">
    <w:p w14:paraId="28B1A365" w14:textId="77777777" w:rsidR="0079281B" w:rsidRDefault="00792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T108t00">
    <w:altName w:val="MS Gothic"/>
    <w:panose1 w:val="00000000000000000000"/>
    <w:charset w:val="80"/>
    <w:family w:val="swiss"/>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6F5C" w14:textId="56460868" w:rsidR="00693766" w:rsidRDefault="00364245">
    <w:pPr>
      <w:pStyle w:val="Rodap"/>
    </w:pPr>
    <w:r>
      <w:rPr>
        <w:noProof/>
      </w:rPr>
      <w:drawing>
        <wp:anchor distT="0" distB="0" distL="114300" distR="114300" simplePos="0" relativeHeight="251657728" behindDoc="0" locked="0" layoutInCell="1" allowOverlap="1" wp14:anchorId="4DC57285" wp14:editId="2AC73F1F">
          <wp:simplePos x="0" y="0"/>
          <wp:positionH relativeFrom="column">
            <wp:align>center</wp:align>
          </wp:positionH>
          <wp:positionV relativeFrom="page">
            <wp:align>bottom</wp:align>
          </wp:positionV>
          <wp:extent cx="8143240" cy="396240"/>
          <wp:effectExtent l="0" t="0" r="0" b="0"/>
          <wp:wrapSquare wrapText="bothSides"/>
          <wp:docPr id="17"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324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9C31" w14:textId="27F3BB94" w:rsidR="00693766" w:rsidRDefault="00693766" w:rsidP="00A91C43">
    <w:pPr>
      <w:pStyle w:val="Rodap"/>
      <w:jc w:val="center"/>
    </w:pPr>
    <w:r>
      <w:fldChar w:fldCharType="begin"/>
    </w:r>
    <w:r>
      <w:instrText>PAGE   \* MERGEFORMAT</w:instrText>
    </w:r>
    <w:r>
      <w:fldChar w:fldCharType="separate"/>
    </w:r>
    <w:r w:rsidR="006E7FAB">
      <w:rPr>
        <w:noProof/>
      </w:rPr>
      <w:t>2</w:t>
    </w:r>
    <w:r>
      <w:rPr>
        <w:noProof/>
      </w:rPr>
      <w:fldChar w:fldCharType="end"/>
    </w:r>
  </w:p>
  <w:p w14:paraId="6665CBCE" w14:textId="14E00B8F" w:rsidR="00693766" w:rsidRDefault="00364245" w:rsidP="00A91C43">
    <w:pPr>
      <w:pStyle w:val="Rodap"/>
    </w:pPr>
    <w:r>
      <w:rPr>
        <w:noProof/>
      </w:rPr>
      <w:drawing>
        <wp:anchor distT="0" distB="0" distL="114300" distR="114300" simplePos="0" relativeHeight="251656704" behindDoc="0" locked="0" layoutInCell="1" allowOverlap="1" wp14:anchorId="6CE5FAD9" wp14:editId="4DD548DF">
          <wp:simplePos x="0" y="0"/>
          <wp:positionH relativeFrom="column">
            <wp:align>center</wp:align>
          </wp:positionH>
          <wp:positionV relativeFrom="page">
            <wp:align>bottom</wp:align>
          </wp:positionV>
          <wp:extent cx="8143240" cy="396240"/>
          <wp:effectExtent l="0" t="0" r="0" b="0"/>
          <wp:wrapSquare wrapText="bothSides"/>
          <wp:docPr id="1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324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1C6F" w14:textId="77777777" w:rsidR="00693766" w:rsidRDefault="00693766">
    <w:pPr>
      <w:pStyle w:val="Rodap"/>
    </w:pPr>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4712" w14:textId="77777777" w:rsidR="00693766" w:rsidRDefault="00693766" w:rsidP="00662638">
    <w:pPr>
      <w:pStyle w:val="Rodap"/>
      <w:jc w:val="center"/>
      <w:rPr>
        <w:noProof/>
      </w:rPr>
    </w:pPr>
    <w:r>
      <w:fldChar w:fldCharType="begin"/>
    </w:r>
    <w:r>
      <w:instrText>PAGE   \* MERGEFORMAT</w:instrText>
    </w:r>
    <w:r>
      <w:fldChar w:fldCharType="separate"/>
    </w:r>
    <w:r w:rsidR="006E7FAB">
      <w:rPr>
        <w:noProof/>
      </w:rPr>
      <w:t>97</w:t>
    </w:r>
    <w:r>
      <w:rPr>
        <w:noProof/>
      </w:rPr>
      <w:fldChar w:fldCharType="end"/>
    </w:r>
  </w:p>
  <w:p w14:paraId="1DD464B8" w14:textId="09BE3845" w:rsidR="00693766" w:rsidRDefault="00364245" w:rsidP="00662638">
    <w:pPr>
      <w:pStyle w:val="Rodap"/>
      <w:jc w:val="center"/>
    </w:pPr>
    <w:r>
      <w:rPr>
        <w:noProof/>
      </w:rPr>
      <w:drawing>
        <wp:anchor distT="0" distB="0" distL="114300" distR="114300" simplePos="0" relativeHeight="251659776" behindDoc="0" locked="0" layoutInCell="1" allowOverlap="1" wp14:anchorId="1CF7943D" wp14:editId="60FE9BB6">
          <wp:simplePos x="0" y="0"/>
          <wp:positionH relativeFrom="column">
            <wp:align>center</wp:align>
          </wp:positionH>
          <wp:positionV relativeFrom="page">
            <wp:align>bottom</wp:align>
          </wp:positionV>
          <wp:extent cx="8143240" cy="396240"/>
          <wp:effectExtent l="0" t="0" r="0" b="0"/>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324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C8DA" w14:textId="77777777" w:rsidR="0079281B" w:rsidRDefault="0079281B" w:rsidP="00C3310A">
      <w:r>
        <w:separator/>
      </w:r>
    </w:p>
  </w:footnote>
  <w:footnote w:type="continuationSeparator" w:id="0">
    <w:p w14:paraId="7782C00F" w14:textId="77777777" w:rsidR="0079281B" w:rsidRDefault="0079281B" w:rsidP="00C3310A">
      <w:r>
        <w:continuationSeparator/>
      </w:r>
    </w:p>
  </w:footnote>
  <w:footnote w:type="continuationNotice" w:id="1">
    <w:p w14:paraId="4F198AEF" w14:textId="77777777" w:rsidR="0079281B" w:rsidRDefault="00792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9570" w14:textId="2422633E" w:rsidR="00693766" w:rsidRDefault="00364245" w:rsidP="009A733D">
    <w:pPr>
      <w:pStyle w:val="Cabealho"/>
    </w:pPr>
    <w:r>
      <w:rPr>
        <w:noProof/>
      </w:rPr>
      <w:drawing>
        <wp:anchor distT="0" distB="0" distL="114300" distR="114300" simplePos="0" relativeHeight="251655680" behindDoc="0" locked="0" layoutInCell="1" allowOverlap="1" wp14:anchorId="19DFE67B" wp14:editId="3D99BBC6">
          <wp:simplePos x="0" y="0"/>
          <wp:positionH relativeFrom="column">
            <wp:align>center</wp:align>
          </wp:positionH>
          <wp:positionV relativeFrom="page">
            <wp:align>top</wp:align>
          </wp:positionV>
          <wp:extent cx="8093075" cy="763270"/>
          <wp:effectExtent l="0" t="0" r="0" b="0"/>
          <wp:wrapSquare wrapText="bothSides"/>
          <wp:docPr id="1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307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88B3" w14:textId="77777777" w:rsidR="00693766" w:rsidRDefault="00693766" w:rsidP="00566CD3">
    <w:pPr>
      <w:pStyle w:val="Cabealho"/>
      <w:spacing w:after="0"/>
      <w:rPr>
        <w:rFonts w:cs="Tahoma"/>
        <w:b/>
        <w:bCs/>
        <w:color w:val="FF0000"/>
        <w:spacing w:val="-2"/>
        <w:sz w:val="10"/>
        <w:szCs w:val="10"/>
      </w:rPr>
    </w:pPr>
  </w:p>
  <w:p w14:paraId="45E20BF3" w14:textId="57BD512D" w:rsidR="00693766" w:rsidRPr="00651DA8" w:rsidRDefault="00364245" w:rsidP="00566CD3">
    <w:pPr>
      <w:pStyle w:val="Cabealho"/>
      <w:spacing w:after="0"/>
      <w:rPr>
        <w:rFonts w:cs="Tahoma"/>
        <w:b/>
        <w:bCs/>
        <w:color w:val="FF0000"/>
        <w:spacing w:val="-2"/>
        <w:sz w:val="10"/>
        <w:szCs w:val="10"/>
      </w:rPr>
    </w:pPr>
    <w:r>
      <w:rPr>
        <w:noProof/>
      </w:rPr>
      <w:drawing>
        <wp:anchor distT="0" distB="0" distL="114300" distR="114300" simplePos="0" relativeHeight="251654656" behindDoc="0" locked="0" layoutInCell="1" allowOverlap="1" wp14:anchorId="38CD43D5" wp14:editId="35B0055E">
          <wp:simplePos x="0" y="0"/>
          <wp:positionH relativeFrom="column">
            <wp:align>center</wp:align>
          </wp:positionH>
          <wp:positionV relativeFrom="page">
            <wp:align>top</wp:align>
          </wp:positionV>
          <wp:extent cx="8093075" cy="763270"/>
          <wp:effectExtent l="0" t="0" r="0" b="0"/>
          <wp:wrapSquare wrapText="bothSides"/>
          <wp:docPr id="18"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307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34A9" w14:textId="77777777" w:rsidR="00693766" w:rsidRDefault="00693766">
    <w:pPr>
      <w:pStyle w:val="Cabealho"/>
    </w:pPr>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03EA" w14:textId="7228291D" w:rsidR="00693766" w:rsidRDefault="00693766">
    <w:pPr>
      <w:pStyle w:val="Cabealho"/>
    </w:pPr>
    <w:r>
      <w:cr/>
    </w:r>
    <w:r w:rsidR="00364245">
      <w:rPr>
        <w:noProof/>
      </w:rPr>
      <w:drawing>
        <wp:anchor distT="0" distB="0" distL="114300" distR="114300" simplePos="0" relativeHeight="251658752" behindDoc="0" locked="0" layoutInCell="1" allowOverlap="1" wp14:anchorId="0A597E8A" wp14:editId="26581A59">
          <wp:simplePos x="0" y="0"/>
          <wp:positionH relativeFrom="column">
            <wp:align>center</wp:align>
          </wp:positionH>
          <wp:positionV relativeFrom="page">
            <wp:align>top</wp:align>
          </wp:positionV>
          <wp:extent cx="8093075" cy="76327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307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023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82234"/>
    <w:multiLevelType w:val="hybridMultilevel"/>
    <w:tmpl w:val="2CD69140"/>
    <w:lvl w:ilvl="0" w:tplc="2EB0A1DE">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C6A7789"/>
    <w:multiLevelType w:val="hybridMultilevel"/>
    <w:tmpl w:val="46521C9C"/>
    <w:lvl w:ilvl="0" w:tplc="0D3C1F40">
      <w:start w:val="1"/>
      <w:numFmt w:val="lowerRoman"/>
      <w:lvlText w:val="(%1)"/>
      <w:lvlJc w:val="left"/>
      <w:pPr>
        <w:ind w:left="1854" w:hanging="720"/>
      </w:pPr>
      <w:rPr>
        <w:rFonts w:ascii="Calibri" w:hAnsi="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0D540EB9"/>
    <w:multiLevelType w:val="multilevel"/>
    <w:tmpl w:val="51E644E4"/>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C67AD2E8"/>
    <w:lvl w:ilvl="0">
      <w:start w:val="1"/>
      <w:numFmt w:val="decimal"/>
      <w:pStyle w:val="Table5"/>
      <w:lvlText w:val="%1"/>
      <w:lvlJc w:val="left"/>
      <w:pPr>
        <w:tabs>
          <w:tab w:val="num" w:pos="680"/>
        </w:tabs>
        <w:ind w:left="680" w:hanging="680"/>
      </w:pPr>
      <w:rPr>
        <w:rFonts w:hint="default"/>
        <w:b/>
        <w:i w:val="0"/>
        <w:sz w:val="16"/>
        <w:szCs w:val="16"/>
      </w:rPr>
    </w:lvl>
    <w:lvl w:ilvl="1">
      <w:start w:val="1"/>
      <w:numFmt w:val="decimal"/>
      <w:pStyle w:val="Table6"/>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3060844"/>
    <w:multiLevelType w:val="hybridMultilevel"/>
    <w:tmpl w:val="2C54F4B6"/>
    <w:lvl w:ilvl="0" w:tplc="80A000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D650C3"/>
    <w:multiLevelType w:val="multilevel"/>
    <w:tmpl w:val="23F261CC"/>
    <w:lvl w:ilvl="0">
      <w:start w:val="1"/>
      <w:numFmt w:val="lowerRoman"/>
      <w:lvlText w:val="(%1)"/>
      <w:lvlJc w:val="left"/>
      <w:pPr>
        <w:tabs>
          <w:tab w:val="left" w:pos="360"/>
        </w:tabs>
        <w:ind w:left="720"/>
      </w:pPr>
      <w:rPr>
        <w:rFonts w:ascii="Arial" w:eastAsia="Tahoma" w:hAnsi="Arial" w:cs="Arial" w:hint="default"/>
        <w:strike w:val="0"/>
        <w:color w:val="000000"/>
        <w:spacing w:val="5"/>
        <w:w w:val="100"/>
        <w:sz w:val="20"/>
        <w:szCs w:val="20"/>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42800"/>
    <w:multiLevelType w:val="hybridMultilevel"/>
    <w:tmpl w:val="9AB81756"/>
    <w:lvl w:ilvl="0" w:tplc="D4380CEE">
      <w:start w:val="1"/>
      <w:numFmt w:val="bullet"/>
      <w:pStyle w:val="bullet2"/>
      <w:lvlText w:val=""/>
      <w:lvlJc w:val="left"/>
      <w:pPr>
        <w:tabs>
          <w:tab w:val="num" w:pos="1247"/>
        </w:tabs>
        <w:ind w:left="1247" w:hanging="680"/>
      </w:pPr>
      <w:rPr>
        <w:rFonts w:ascii="Symbol" w:hAnsi="Symbol" w:hint="default"/>
      </w:rPr>
    </w:lvl>
    <w:lvl w:ilvl="1" w:tplc="846EF080" w:tentative="1">
      <w:start w:val="1"/>
      <w:numFmt w:val="bullet"/>
      <w:lvlText w:val="o"/>
      <w:lvlJc w:val="left"/>
      <w:pPr>
        <w:tabs>
          <w:tab w:val="num" w:pos="1440"/>
        </w:tabs>
        <w:ind w:left="1440" w:hanging="360"/>
      </w:pPr>
      <w:rPr>
        <w:rFonts w:ascii="Courier New" w:hAnsi="Courier New" w:hint="default"/>
      </w:rPr>
    </w:lvl>
    <w:lvl w:ilvl="2" w:tplc="EB78E704" w:tentative="1">
      <w:start w:val="1"/>
      <w:numFmt w:val="bullet"/>
      <w:lvlText w:val=""/>
      <w:lvlJc w:val="left"/>
      <w:pPr>
        <w:tabs>
          <w:tab w:val="num" w:pos="2160"/>
        </w:tabs>
        <w:ind w:left="2160" w:hanging="360"/>
      </w:pPr>
      <w:rPr>
        <w:rFonts w:ascii="Wingdings" w:hAnsi="Wingdings" w:hint="default"/>
      </w:rPr>
    </w:lvl>
    <w:lvl w:ilvl="3" w:tplc="3D485B22" w:tentative="1">
      <w:start w:val="1"/>
      <w:numFmt w:val="bullet"/>
      <w:lvlText w:val=""/>
      <w:lvlJc w:val="left"/>
      <w:pPr>
        <w:tabs>
          <w:tab w:val="num" w:pos="2880"/>
        </w:tabs>
        <w:ind w:left="2880" w:hanging="360"/>
      </w:pPr>
      <w:rPr>
        <w:rFonts w:ascii="Symbol" w:hAnsi="Symbol" w:hint="default"/>
      </w:rPr>
    </w:lvl>
    <w:lvl w:ilvl="4" w:tplc="7D06B708" w:tentative="1">
      <w:start w:val="1"/>
      <w:numFmt w:val="bullet"/>
      <w:lvlText w:val="o"/>
      <w:lvlJc w:val="left"/>
      <w:pPr>
        <w:tabs>
          <w:tab w:val="num" w:pos="3600"/>
        </w:tabs>
        <w:ind w:left="3600" w:hanging="360"/>
      </w:pPr>
      <w:rPr>
        <w:rFonts w:ascii="Courier New" w:hAnsi="Courier New" w:hint="default"/>
      </w:rPr>
    </w:lvl>
    <w:lvl w:ilvl="5" w:tplc="26E0A662" w:tentative="1">
      <w:start w:val="1"/>
      <w:numFmt w:val="bullet"/>
      <w:lvlText w:val=""/>
      <w:lvlJc w:val="left"/>
      <w:pPr>
        <w:tabs>
          <w:tab w:val="num" w:pos="4320"/>
        </w:tabs>
        <w:ind w:left="4320" w:hanging="360"/>
      </w:pPr>
      <w:rPr>
        <w:rFonts w:ascii="Wingdings" w:hAnsi="Wingdings" w:hint="default"/>
      </w:rPr>
    </w:lvl>
    <w:lvl w:ilvl="6" w:tplc="9878CCD2" w:tentative="1">
      <w:start w:val="1"/>
      <w:numFmt w:val="bullet"/>
      <w:lvlText w:val=""/>
      <w:lvlJc w:val="left"/>
      <w:pPr>
        <w:tabs>
          <w:tab w:val="num" w:pos="5040"/>
        </w:tabs>
        <w:ind w:left="5040" w:hanging="360"/>
      </w:pPr>
      <w:rPr>
        <w:rFonts w:ascii="Symbol" w:hAnsi="Symbol" w:hint="default"/>
      </w:rPr>
    </w:lvl>
    <w:lvl w:ilvl="7" w:tplc="20560620" w:tentative="1">
      <w:start w:val="1"/>
      <w:numFmt w:val="bullet"/>
      <w:lvlText w:val="o"/>
      <w:lvlJc w:val="left"/>
      <w:pPr>
        <w:tabs>
          <w:tab w:val="num" w:pos="5760"/>
        </w:tabs>
        <w:ind w:left="5760" w:hanging="360"/>
      </w:pPr>
      <w:rPr>
        <w:rFonts w:ascii="Courier New" w:hAnsi="Courier New" w:hint="default"/>
      </w:rPr>
    </w:lvl>
    <w:lvl w:ilvl="8" w:tplc="5CB050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1466E"/>
    <w:multiLevelType w:val="multilevel"/>
    <w:tmpl w:val="DC22AF4C"/>
    <w:lvl w:ilvl="0">
      <w:start w:val="1"/>
      <w:numFmt w:val="decimal"/>
      <w:pStyle w:val="Nivel5"/>
      <w:lvlText w:val="%1."/>
      <w:lvlJc w:val="left"/>
      <w:pPr>
        <w:tabs>
          <w:tab w:val="num" w:pos="851"/>
        </w:tabs>
        <w:ind w:left="851" w:hanging="851"/>
      </w:pPr>
      <w:rPr>
        <w:rFonts w:ascii="Times New Roman" w:hAnsi="Times New Roman" w:hint="default"/>
        <w:b/>
        <w:i w:val="0"/>
        <w:sz w:val="22"/>
      </w:rPr>
    </w:lvl>
    <w:lvl w:ilvl="1">
      <w:start w:val="1"/>
      <w:numFmt w:val="decimal"/>
      <w:pStyle w:val="Nivel6"/>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84179"/>
    <w:multiLevelType w:val="hybridMultilevel"/>
    <w:tmpl w:val="46047376"/>
    <w:lvl w:ilvl="0" w:tplc="A5E6E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99B6A07"/>
    <w:multiLevelType w:val="hybridMultilevel"/>
    <w:tmpl w:val="713C88E8"/>
    <w:lvl w:ilvl="0" w:tplc="3606FDF6">
      <w:start w:val="1"/>
      <w:numFmt w:val="lowerRoman"/>
      <w:pStyle w:val="TabList1"/>
      <w:lvlText w:val="(%1)"/>
      <w:lvlJc w:val="left"/>
      <w:pPr>
        <w:tabs>
          <w:tab w:val="num" w:pos="397"/>
        </w:tabs>
        <w:ind w:left="397" w:hanging="39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177E64"/>
    <w:multiLevelType w:val="hybridMultilevel"/>
    <w:tmpl w:val="88C434D0"/>
    <w:lvl w:ilvl="0" w:tplc="95068A72">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A64EE0"/>
    <w:multiLevelType w:val="hybridMultilevel"/>
    <w:tmpl w:val="052A89DC"/>
    <w:lvl w:ilvl="0" w:tplc="0292F58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F84773"/>
    <w:multiLevelType w:val="singleLevel"/>
    <w:tmpl w:val="D3D04E22"/>
    <w:name w:val="ltBullet022232222222222222222222222222222222"/>
    <w:lvl w:ilvl="0">
      <w:start w:val="1"/>
      <w:numFmt w:val="bullet"/>
      <w:lvlText w:val=""/>
      <w:lvlJc w:val="left"/>
      <w:pPr>
        <w:tabs>
          <w:tab w:val="num" w:pos="245"/>
        </w:tabs>
        <w:ind w:left="245" w:hanging="245"/>
      </w:pPr>
      <w:rPr>
        <w:rFonts w:ascii="Wingdings" w:hAnsi="Wingdings" w:hint="default"/>
        <w:b w:val="0"/>
        <w:color w:val="7397BC"/>
      </w:rPr>
    </w:lvl>
  </w:abstractNum>
  <w:abstractNum w:abstractNumId="20" w15:restartNumberingAfterBreak="0">
    <w:nsid w:val="342C271C"/>
    <w:multiLevelType w:val="multilevel"/>
    <w:tmpl w:val="F004493C"/>
    <w:lvl w:ilvl="0">
      <w:start w:val="1"/>
      <w:numFmt w:val="decimal"/>
      <w:lvlText w:val="(%1)"/>
      <w:lvlJc w:val="left"/>
      <w:pPr>
        <w:tabs>
          <w:tab w:val="left" w:pos="288"/>
        </w:tabs>
        <w:ind w:left="720"/>
      </w:pPr>
      <w:rPr>
        <w:rFonts w:ascii="Arial" w:eastAsia="Tahoma" w:hAnsi="Arial" w:cs="Arial" w:hint="default"/>
        <w:strike w:val="0"/>
        <w:color w:val="000000"/>
        <w:spacing w:val="2"/>
        <w:w w:val="100"/>
        <w:sz w:val="1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8735A60"/>
    <w:multiLevelType w:val="multilevel"/>
    <w:tmpl w:val="4320B0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hAnsi="Calibri" w:cs="Calibri" w:hint="default"/>
        <w:b/>
        <w:bCs/>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F13CF3"/>
    <w:multiLevelType w:val="multilevel"/>
    <w:tmpl w:val="CFBCD9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hAnsi="Calibri" w:cs="Calibri" w:hint="default"/>
        <w:b/>
        <w:bCs/>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5B6215"/>
    <w:multiLevelType w:val="multilevel"/>
    <w:tmpl w:val="87207A74"/>
    <w:lvl w:ilvl="0">
      <w:start w:val="1"/>
      <w:numFmt w:val="bullet"/>
      <w:lvlRestart w:val="0"/>
      <w:pStyle w:val="Bullet3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FBE11B5"/>
    <w:multiLevelType w:val="multilevel"/>
    <w:tmpl w:val="0532CDDC"/>
    <w:lvl w:ilvl="0">
      <w:start w:val="1"/>
      <w:numFmt w:val="bullet"/>
      <w:lvlText w:val="·"/>
      <w:lvlJc w:val="left"/>
      <w:pPr>
        <w:tabs>
          <w:tab w:val="left" w:pos="360"/>
        </w:tabs>
        <w:ind w:left="720"/>
      </w:pPr>
      <w:rPr>
        <w:rFonts w:ascii="Symbol" w:eastAsia="Symbol" w:hAnsi="Symbol"/>
        <w:b/>
        <w:strike w:val="0"/>
        <w:color w:val="000000"/>
        <w:spacing w:val="7"/>
        <w:w w:val="100"/>
        <w:sz w:val="20"/>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BF09C9"/>
    <w:multiLevelType w:val="multilevel"/>
    <w:tmpl w:val="20AA5A3E"/>
    <w:lvl w:ilvl="0">
      <w:start w:val="5"/>
      <w:numFmt w:val="decimal"/>
      <w:pStyle w:val="Raia-ESTILO2"/>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4C2C7314"/>
    <w:multiLevelType w:val="hybridMultilevel"/>
    <w:tmpl w:val="1FE85B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C940FA0"/>
    <w:multiLevelType w:val="multilevel"/>
    <w:tmpl w:val="557AB82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Calibri" w:hAnsi="Calibri" w:cs="Calibri" w:hint="default"/>
        <w:b/>
        <w:bCs/>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0F57F20"/>
    <w:multiLevelType w:val="hybridMultilevel"/>
    <w:tmpl w:val="B964BB22"/>
    <w:lvl w:ilvl="0" w:tplc="AED80D90">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6"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Aria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Arial" w:hAnsi="Arial" w:cs="Arial"/>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pStyle w:val="citcar"/>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7" w15:restartNumberingAfterBreak="0">
    <w:nsid w:val="55B25252"/>
    <w:multiLevelType w:val="hybridMultilevel"/>
    <w:tmpl w:val="2EF6E4DA"/>
    <w:lvl w:ilvl="0" w:tplc="85BAA778">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5F728E2"/>
    <w:multiLevelType w:val="hybridMultilevel"/>
    <w:tmpl w:val="B1801FA8"/>
    <w:lvl w:ilvl="0" w:tplc="D7D6A7C8">
      <w:start w:val="1"/>
      <w:numFmt w:val="upperRoman"/>
      <w:pStyle w:val="UCRoman2"/>
      <w:lvlText w:val="%1."/>
      <w:lvlJc w:val="left"/>
      <w:pPr>
        <w:tabs>
          <w:tab w:val="num" w:pos="1247"/>
        </w:tabs>
        <w:ind w:left="567" w:firstLine="0"/>
      </w:pPr>
      <w:rPr>
        <w:rFonts w:ascii="Calibri" w:hAnsi="Calibri" w:cs="Calibri" w:hint="default"/>
        <w:b/>
        <w:i w:val="0"/>
        <w:sz w:val="24"/>
        <w:szCs w:val="24"/>
      </w:rPr>
    </w:lvl>
    <w:lvl w:ilvl="1" w:tplc="2E84D6D2">
      <w:start w:val="1"/>
      <w:numFmt w:val="lowerLetter"/>
      <w:lvlText w:val="%2."/>
      <w:lvlJc w:val="left"/>
      <w:pPr>
        <w:tabs>
          <w:tab w:val="num" w:pos="1440"/>
        </w:tabs>
        <w:ind w:left="1440" w:hanging="360"/>
      </w:pPr>
    </w:lvl>
    <w:lvl w:ilvl="2" w:tplc="B09CD554" w:tentative="1">
      <w:start w:val="1"/>
      <w:numFmt w:val="lowerRoman"/>
      <w:lvlText w:val="%3."/>
      <w:lvlJc w:val="right"/>
      <w:pPr>
        <w:tabs>
          <w:tab w:val="num" w:pos="2160"/>
        </w:tabs>
        <w:ind w:left="2160" w:hanging="180"/>
      </w:pPr>
    </w:lvl>
    <w:lvl w:ilvl="3" w:tplc="8A0C698E" w:tentative="1">
      <w:start w:val="1"/>
      <w:numFmt w:val="decimal"/>
      <w:lvlText w:val="%4."/>
      <w:lvlJc w:val="left"/>
      <w:pPr>
        <w:tabs>
          <w:tab w:val="num" w:pos="2880"/>
        </w:tabs>
        <w:ind w:left="2880" w:hanging="360"/>
      </w:pPr>
    </w:lvl>
    <w:lvl w:ilvl="4" w:tplc="D712887E" w:tentative="1">
      <w:start w:val="1"/>
      <w:numFmt w:val="lowerLetter"/>
      <w:lvlText w:val="%5."/>
      <w:lvlJc w:val="left"/>
      <w:pPr>
        <w:tabs>
          <w:tab w:val="num" w:pos="3600"/>
        </w:tabs>
        <w:ind w:left="3600" w:hanging="360"/>
      </w:pPr>
    </w:lvl>
    <w:lvl w:ilvl="5" w:tplc="EF286C16" w:tentative="1">
      <w:start w:val="1"/>
      <w:numFmt w:val="lowerRoman"/>
      <w:lvlText w:val="%6."/>
      <w:lvlJc w:val="right"/>
      <w:pPr>
        <w:tabs>
          <w:tab w:val="num" w:pos="4320"/>
        </w:tabs>
        <w:ind w:left="4320" w:hanging="180"/>
      </w:pPr>
    </w:lvl>
    <w:lvl w:ilvl="6" w:tplc="E66C7844" w:tentative="1">
      <w:start w:val="1"/>
      <w:numFmt w:val="decimal"/>
      <w:lvlText w:val="%7."/>
      <w:lvlJc w:val="left"/>
      <w:pPr>
        <w:tabs>
          <w:tab w:val="num" w:pos="5040"/>
        </w:tabs>
        <w:ind w:left="5040" w:hanging="360"/>
      </w:pPr>
    </w:lvl>
    <w:lvl w:ilvl="7" w:tplc="4E2EA21A" w:tentative="1">
      <w:start w:val="1"/>
      <w:numFmt w:val="lowerLetter"/>
      <w:lvlText w:val="%8."/>
      <w:lvlJc w:val="left"/>
      <w:pPr>
        <w:tabs>
          <w:tab w:val="num" w:pos="5760"/>
        </w:tabs>
        <w:ind w:left="5760" w:hanging="360"/>
      </w:pPr>
    </w:lvl>
    <w:lvl w:ilvl="8" w:tplc="39F273A6" w:tentative="1">
      <w:start w:val="1"/>
      <w:numFmt w:val="lowerRoman"/>
      <w:lvlText w:val="%9."/>
      <w:lvlJc w:val="right"/>
      <w:pPr>
        <w:tabs>
          <w:tab w:val="num" w:pos="6480"/>
        </w:tabs>
        <w:ind w:left="6480" w:hanging="180"/>
      </w:pPr>
    </w:lvl>
  </w:abstractNum>
  <w:abstractNum w:abstractNumId="39" w15:restartNumberingAfterBreak="0">
    <w:nsid w:val="56900D18"/>
    <w:multiLevelType w:val="multilevel"/>
    <w:tmpl w:val="F004493C"/>
    <w:lvl w:ilvl="0">
      <w:start w:val="1"/>
      <w:numFmt w:val="decimal"/>
      <w:lvlText w:val="(%1)"/>
      <w:lvlJc w:val="left"/>
      <w:pPr>
        <w:tabs>
          <w:tab w:val="left" w:pos="288"/>
        </w:tabs>
        <w:ind w:left="720"/>
      </w:pPr>
      <w:rPr>
        <w:rFonts w:ascii="Arial" w:eastAsia="Tahoma" w:hAnsi="Arial" w:cs="Arial" w:hint="default"/>
        <w:strike w:val="0"/>
        <w:color w:val="000000"/>
        <w:spacing w:val="2"/>
        <w:w w:val="100"/>
        <w:sz w:val="1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6C51794"/>
    <w:multiLevelType w:val="multilevel"/>
    <w:tmpl w:val="16D68B42"/>
    <w:lvl w:ilvl="0">
      <w:start w:val="1"/>
      <w:numFmt w:val="decimal"/>
      <w:pStyle w:val="Petio3"/>
      <w:lvlText w:val="%1"/>
      <w:lvlJc w:val="left"/>
      <w:pPr>
        <w:tabs>
          <w:tab w:val="num" w:pos="2722"/>
        </w:tabs>
        <w:ind w:left="0" w:firstLine="2041"/>
      </w:pPr>
      <w:rPr>
        <w:rFonts w:ascii="Arial" w:hAnsi="Arial" w:hint="default"/>
        <w:b/>
        <w:i w:val="0"/>
        <w:sz w:val="24"/>
      </w:rPr>
    </w:lvl>
    <w:lvl w:ilvl="1">
      <w:start w:val="1"/>
      <w:numFmt w:val="decimal"/>
      <w:pStyle w:val="Petio4"/>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1" w15:restartNumberingAfterBreak="0">
    <w:nsid w:val="56E26FEF"/>
    <w:multiLevelType w:val="singleLevel"/>
    <w:tmpl w:val="A4864A68"/>
    <w:lvl w:ilvl="0">
      <w:start w:val="1"/>
      <w:numFmt w:val="lowerRoman"/>
      <w:pStyle w:val="roman4"/>
      <w:lvlText w:val="(%1)"/>
      <w:lvlJc w:val="left"/>
      <w:pPr>
        <w:tabs>
          <w:tab w:val="num" w:pos="2722"/>
        </w:tabs>
        <w:ind w:left="2041" w:firstLine="0"/>
      </w:pPr>
      <w:rPr>
        <w:rFonts w:ascii="Calibri" w:hAnsi="Calibri" w:cs="Calibri" w:hint="default"/>
        <w:b w:val="0"/>
        <w:i w:val="0"/>
        <w:sz w:val="24"/>
        <w:szCs w:val="24"/>
      </w:rPr>
    </w:lvl>
  </w:abstractNum>
  <w:abstractNum w:abstractNumId="4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3CF3BE9"/>
    <w:multiLevelType w:val="multilevel"/>
    <w:tmpl w:val="8B3E49AA"/>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9D15477"/>
    <w:multiLevelType w:val="hybridMultilevel"/>
    <w:tmpl w:val="B05A034E"/>
    <w:lvl w:ilvl="0" w:tplc="470A9C80">
      <w:start w:val="1"/>
      <w:numFmt w:val="lowerRoman"/>
      <w:lvlText w:val="(%1)"/>
      <w:lvlJc w:val="left"/>
      <w:pPr>
        <w:ind w:left="720" w:hanging="360"/>
      </w:pPr>
      <w:rPr>
        <w:rFonts w:ascii="Calibri" w:hAnsi="Calibri" w:cs="Calibri" w:hint="default"/>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B1D1232"/>
    <w:multiLevelType w:val="multilevel"/>
    <w:tmpl w:val="A8E84D2A"/>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pStyle w:val="Level5"/>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722"/>
        </w:tabs>
        <w:ind w:left="2722" w:hanging="681"/>
      </w:pPr>
      <w:rPr>
        <w:rFonts w:hint="default"/>
        <w:b/>
        <w:bCs/>
      </w:rPr>
    </w:lvl>
    <w:lvl w:ilvl="5">
      <w:start w:val="1"/>
      <w:numFmt w:val="upperRoman"/>
      <w:pStyle w:val="Level6"/>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8" w15:restartNumberingAfterBreak="0">
    <w:nsid w:val="6B502D22"/>
    <w:multiLevelType w:val="hybridMultilevel"/>
    <w:tmpl w:val="E2E61E24"/>
    <w:lvl w:ilvl="0" w:tplc="3DE293B2">
      <w:start w:val="27"/>
      <w:numFmt w:val="lowerLetter"/>
      <w:pStyle w:val="doublealpha"/>
      <w:lvlText w:val="(%1)"/>
      <w:lvlJc w:val="left"/>
      <w:pPr>
        <w:tabs>
          <w:tab w:val="num" w:pos="567"/>
        </w:tabs>
        <w:ind w:left="0" w:firstLine="0"/>
      </w:pPr>
      <w:rPr>
        <w:rFonts w:ascii="Tahoma" w:hAnsi="Tahoma" w:hint="default"/>
        <w:b w:val="0"/>
        <w:i w:val="0"/>
        <w:sz w:val="20"/>
      </w:rPr>
    </w:lvl>
    <w:lvl w:ilvl="1" w:tplc="80B86FE0" w:tentative="1">
      <w:start w:val="1"/>
      <w:numFmt w:val="lowerLetter"/>
      <w:lvlText w:val="%2."/>
      <w:lvlJc w:val="left"/>
      <w:pPr>
        <w:tabs>
          <w:tab w:val="num" w:pos="1440"/>
        </w:tabs>
        <w:ind w:left="1440" w:hanging="360"/>
      </w:pPr>
    </w:lvl>
    <w:lvl w:ilvl="2" w:tplc="5A9C8E9E" w:tentative="1">
      <w:start w:val="1"/>
      <w:numFmt w:val="lowerRoman"/>
      <w:lvlText w:val="%3."/>
      <w:lvlJc w:val="right"/>
      <w:pPr>
        <w:tabs>
          <w:tab w:val="num" w:pos="2160"/>
        </w:tabs>
        <w:ind w:left="2160" w:hanging="180"/>
      </w:pPr>
    </w:lvl>
    <w:lvl w:ilvl="3" w:tplc="BA68A15C" w:tentative="1">
      <w:start w:val="1"/>
      <w:numFmt w:val="decimal"/>
      <w:lvlText w:val="%4."/>
      <w:lvlJc w:val="left"/>
      <w:pPr>
        <w:tabs>
          <w:tab w:val="num" w:pos="2880"/>
        </w:tabs>
        <w:ind w:left="2880" w:hanging="360"/>
      </w:pPr>
    </w:lvl>
    <w:lvl w:ilvl="4" w:tplc="B80AC588" w:tentative="1">
      <w:start w:val="1"/>
      <w:numFmt w:val="lowerLetter"/>
      <w:lvlText w:val="%5."/>
      <w:lvlJc w:val="left"/>
      <w:pPr>
        <w:tabs>
          <w:tab w:val="num" w:pos="3600"/>
        </w:tabs>
        <w:ind w:left="3600" w:hanging="360"/>
      </w:pPr>
    </w:lvl>
    <w:lvl w:ilvl="5" w:tplc="ACDC063C" w:tentative="1">
      <w:start w:val="1"/>
      <w:numFmt w:val="lowerRoman"/>
      <w:lvlText w:val="%6."/>
      <w:lvlJc w:val="right"/>
      <w:pPr>
        <w:tabs>
          <w:tab w:val="num" w:pos="4320"/>
        </w:tabs>
        <w:ind w:left="4320" w:hanging="180"/>
      </w:pPr>
    </w:lvl>
    <w:lvl w:ilvl="6" w:tplc="716229B0" w:tentative="1">
      <w:start w:val="1"/>
      <w:numFmt w:val="decimal"/>
      <w:lvlText w:val="%7."/>
      <w:lvlJc w:val="left"/>
      <w:pPr>
        <w:tabs>
          <w:tab w:val="num" w:pos="5040"/>
        </w:tabs>
        <w:ind w:left="5040" w:hanging="360"/>
      </w:pPr>
    </w:lvl>
    <w:lvl w:ilvl="7" w:tplc="C428E582" w:tentative="1">
      <w:start w:val="1"/>
      <w:numFmt w:val="lowerLetter"/>
      <w:lvlText w:val="%8."/>
      <w:lvlJc w:val="left"/>
      <w:pPr>
        <w:tabs>
          <w:tab w:val="num" w:pos="5760"/>
        </w:tabs>
        <w:ind w:left="5760" w:hanging="360"/>
      </w:pPr>
    </w:lvl>
    <w:lvl w:ilvl="8" w:tplc="35D6A974" w:tentative="1">
      <w:start w:val="1"/>
      <w:numFmt w:val="lowerRoman"/>
      <w:lvlText w:val="%9."/>
      <w:lvlJc w:val="right"/>
      <w:pPr>
        <w:tabs>
          <w:tab w:val="num" w:pos="6480"/>
        </w:tabs>
        <w:ind w:left="6480" w:hanging="180"/>
      </w:pPr>
    </w:lvl>
  </w:abstractNum>
  <w:abstractNum w:abstractNumId="49" w15:restartNumberingAfterBreak="0">
    <w:nsid w:val="6D1809A5"/>
    <w:multiLevelType w:val="hybridMultilevel"/>
    <w:tmpl w:val="5F6E90C0"/>
    <w:lvl w:ilvl="0" w:tplc="FFA02928">
      <w:start w:val="1"/>
      <w:numFmt w:val="lowerRoman"/>
      <w:lvlText w:val="(%1)"/>
      <w:lvlJc w:val="left"/>
      <w:pPr>
        <w:ind w:left="1800" w:hanging="720"/>
      </w:pPr>
      <w:rPr>
        <w:rFonts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6D3A1047"/>
    <w:multiLevelType w:val="multilevel"/>
    <w:tmpl w:val="F004493C"/>
    <w:lvl w:ilvl="0">
      <w:start w:val="1"/>
      <w:numFmt w:val="decimal"/>
      <w:lvlText w:val="(%1)"/>
      <w:lvlJc w:val="left"/>
      <w:pPr>
        <w:tabs>
          <w:tab w:val="left" w:pos="288"/>
        </w:tabs>
        <w:ind w:left="720"/>
      </w:pPr>
      <w:rPr>
        <w:rFonts w:ascii="Arial" w:eastAsia="Tahoma" w:hAnsi="Arial" w:cs="Arial" w:hint="default"/>
        <w:strike w:val="0"/>
        <w:color w:val="000000"/>
        <w:spacing w:val="2"/>
        <w:w w:val="100"/>
        <w:sz w:val="13"/>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2" w15:restartNumberingAfterBreak="0">
    <w:nsid w:val="742622E9"/>
    <w:multiLevelType w:val="multilevel"/>
    <w:tmpl w:val="CFB4C0BC"/>
    <w:lvl w:ilvl="0">
      <w:start w:val="1"/>
      <w:numFmt w:val="decimal"/>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3i"/>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52424E4"/>
    <w:multiLevelType w:val="hybridMultilevel"/>
    <w:tmpl w:val="B0AEA686"/>
    <w:lvl w:ilvl="0" w:tplc="DDBAA1AA">
      <w:start w:val="1"/>
      <w:numFmt w:val="lowerRoman"/>
      <w:lvlText w:val="(%1)"/>
      <w:lvlJc w:val="left"/>
      <w:pPr>
        <w:ind w:left="1372" w:hanging="720"/>
      </w:pPr>
      <w:rPr>
        <w:rFonts w:hint="default"/>
        <w:b/>
        <w:bCs/>
      </w:rPr>
    </w:lvl>
    <w:lvl w:ilvl="1" w:tplc="04160019" w:tentative="1">
      <w:start w:val="1"/>
      <w:numFmt w:val="lowerLetter"/>
      <w:lvlText w:val="%2."/>
      <w:lvlJc w:val="left"/>
      <w:pPr>
        <w:ind w:left="1732" w:hanging="360"/>
      </w:pPr>
    </w:lvl>
    <w:lvl w:ilvl="2" w:tplc="0416001B" w:tentative="1">
      <w:start w:val="1"/>
      <w:numFmt w:val="lowerRoman"/>
      <w:lvlText w:val="%3."/>
      <w:lvlJc w:val="right"/>
      <w:pPr>
        <w:ind w:left="2452" w:hanging="180"/>
      </w:pPr>
    </w:lvl>
    <w:lvl w:ilvl="3" w:tplc="0416000F" w:tentative="1">
      <w:start w:val="1"/>
      <w:numFmt w:val="decimal"/>
      <w:lvlText w:val="%4."/>
      <w:lvlJc w:val="left"/>
      <w:pPr>
        <w:ind w:left="3172" w:hanging="360"/>
      </w:pPr>
    </w:lvl>
    <w:lvl w:ilvl="4" w:tplc="04160019" w:tentative="1">
      <w:start w:val="1"/>
      <w:numFmt w:val="lowerLetter"/>
      <w:lvlText w:val="%5."/>
      <w:lvlJc w:val="left"/>
      <w:pPr>
        <w:ind w:left="3892" w:hanging="360"/>
      </w:pPr>
    </w:lvl>
    <w:lvl w:ilvl="5" w:tplc="0416001B" w:tentative="1">
      <w:start w:val="1"/>
      <w:numFmt w:val="lowerRoman"/>
      <w:lvlText w:val="%6."/>
      <w:lvlJc w:val="right"/>
      <w:pPr>
        <w:ind w:left="4612" w:hanging="180"/>
      </w:pPr>
    </w:lvl>
    <w:lvl w:ilvl="6" w:tplc="0416000F" w:tentative="1">
      <w:start w:val="1"/>
      <w:numFmt w:val="decimal"/>
      <w:lvlText w:val="%7."/>
      <w:lvlJc w:val="left"/>
      <w:pPr>
        <w:ind w:left="5332" w:hanging="360"/>
      </w:pPr>
    </w:lvl>
    <w:lvl w:ilvl="7" w:tplc="04160019" w:tentative="1">
      <w:start w:val="1"/>
      <w:numFmt w:val="lowerLetter"/>
      <w:lvlText w:val="%8."/>
      <w:lvlJc w:val="left"/>
      <w:pPr>
        <w:ind w:left="6052" w:hanging="360"/>
      </w:pPr>
    </w:lvl>
    <w:lvl w:ilvl="8" w:tplc="0416001B" w:tentative="1">
      <w:start w:val="1"/>
      <w:numFmt w:val="lowerRoman"/>
      <w:lvlText w:val="%9."/>
      <w:lvlJc w:val="right"/>
      <w:pPr>
        <w:ind w:left="6772" w:hanging="180"/>
      </w:pPr>
    </w:lvl>
  </w:abstractNum>
  <w:abstractNum w:abstractNumId="54" w15:restartNumberingAfterBreak="0">
    <w:nsid w:val="773B68CC"/>
    <w:multiLevelType w:val="hybridMultilevel"/>
    <w:tmpl w:val="63E0E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8257A82"/>
    <w:multiLevelType w:val="hybridMultilevel"/>
    <w:tmpl w:val="785032B0"/>
    <w:lvl w:ilvl="0" w:tplc="461AB378">
      <w:start w:val="1"/>
      <w:numFmt w:val="bullet"/>
      <w:pStyle w:val="bullet1"/>
      <w:lvlText w:val=""/>
      <w:lvlJc w:val="left"/>
      <w:pPr>
        <w:tabs>
          <w:tab w:val="num" w:pos="567"/>
        </w:tabs>
        <w:ind w:left="567" w:hanging="567"/>
      </w:pPr>
      <w:rPr>
        <w:rFonts w:ascii="Symbol" w:hAnsi="Symbol" w:hint="default"/>
      </w:rPr>
    </w:lvl>
    <w:lvl w:ilvl="1" w:tplc="ADB6CB54" w:tentative="1">
      <w:start w:val="1"/>
      <w:numFmt w:val="bullet"/>
      <w:lvlText w:val="o"/>
      <w:lvlJc w:val="left"/>
      <w:pPr>
        <w:tabs>
          <w:tab w:val="num" w:pos="1440"/>
        </w:tabs>
        <w:ind w:left="1440" w:hanging="360"/>
      </w:pPr>
      <w:rPr>
        <w:rFonts w:ascii="Courier New" w:hAnsi="Courier New" w:hint="default"/>
      </w:rPr>
    </w:lvl>
    <w:lvl w:ilvl="2" w:tplc="CE96FA5C" w:tentative="1">
      <w:start w:val="1"/>
      <w:numFmt w:val="bullet"/>
      <w:lvlText w:val=""/>
      <w:lvlJc w:val="left"/>
      <w:pPr>
        <w:tabs>
          <w:tab w:val="num" w:pos="2160"/>
        </w:tabs>
        <w:ind w:left="2160" w:hanging="360"/>
      </w:pPr>
      <w:rPr>
        <w:rFonts w:ascii="Wingdings" w:hAnsi="Wingdings" w:hint="default"/>
      </w:rPr>
    </w:lvl>
    <w:lvl w:ilvl="3" w:tplc="3D0ED00A" w:tentative="1">
      <w:start w:val="1"/>
      <w:numFmt w:val="bullet"/>
      <w:lvlText w:val=""/>
      <w:lvlJc w:val="left"/>
      <w:pPr>
        <w:tabs>
          <w:tab w:val="num" w:pos="2880"/>
        </w:tabs>
        <w:ind w:left="2880" w:hanging="360"/>
      </w:pPr>
      <w:rPr>
        <w:rFonts w:ascii="Symbol" w:hAnsi="Symbol" w:hint="default"/>
      </w:rPr>
    </w:lvl>
    <w:lvl w:ilvl="4" w:tplc="B20E3B12" w:tentative="1">
      <w:start w:val="1"/>
      <w:numFmt w:val="bullet"/>
      <w:lvlText w:val="o"/>
      <w:lvlJc w:val="left"/>
      <w:pPr>
        <w:tabs>
          <w:tab w:val="num" w:pos="3600"/>
        </w:tabs>
        <w:ind w:left="3600" w:hanging="360"/>
      </w:pPr>
      <w:rPr>
        <w:rFonts w:ascii="Courier New" w:hAnsi="Courier New" w:hint="default"/>
      </w:rPr>
    </w:lvl>
    <w:lvl w:ilvl="5" w:tplc="7102DA84" w:tentative="1">
      <w:start w:val="1"/>
      <w:numFmt w:val="bullet"/>
      <w:lvlText w:val=""/>
      <w:lvlJc w:val="left"/>
      <w:pPr>
        <w:tabs>
          <w:tab w:val="num" w:pos="4320"/>
        </w:tabs>
        <w:ind w:left="4320" w:hanging="360"/>
      </w:pPr>
      <w:rPr>
        <w:rFonts w:ascii="Wingdings" w:hAnsi="Wingdings" w:hint="default"/>
      </w:rPr>
    </w:lvl>
    <w:lvl w:ilvl="6" w:tplc="A3301232" w:tentative="1">
      <w:start w:val="1"/>
      <w:numFmt w:val="bullet"/>
      <w:lvlText w:val=""/>
      <w:lvlJc w:val="left"/>
      <w:pPr>
        <w:tabs>
          <w:tab w:val="num" w:pos="5040"/>
        </w:tabs>
        <w:ind w:left="5040" w:hanging="360"/>
      </w:pPr>
      <w:rPr>
        <w:rFonts w:ascii="Symbol" w:hAnsi="Symbol" w:hint="default"/>
      </w:rPr>
    </w:lvl>
    <w:lvl w:ilvl="7" w:tplc="6FA48594" w:tentative="1">
      <w:start w:val="1"/>
      <w:numFmt w:val="bullet"/>
      <w:lvlText w:val="o"/>
      <w:lvlJc w:val="left"/>
      <w:pPr>
        <w:tabs>
          <w:tab w:val="num" w:pos="5760"/>
        </w:tabs>
        <w:ind w:left="5760" w:hanging="360"/>
      </w:pPr>
      <w:rPr>
        <w:rFonts w:ascii="Courier New" w:hAnsi="Courier New" w:hint="default"/>
      </w:rPr>
    </w:lvl>
    <w:lvl w:ilvl="8" w:tplc="08501EB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C2605B"/>
    <w:multiLevelType w:val="hybridMultilevel"/>
    <w:tmpl w:val="C4266DA0"/>
    <w:lvl w:ilvl="0" w:tplc="8CD8D3FE">
      <w:start w:val="1"/>
      <w:numFmt w:val="bullet"/>
      <w:pStyle w:val="HOMEB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5612B0"/>
    <w:multiLevelType w:val="multilevel"/>
    <w:tmpl w:val="EBA26B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Calibri" w:hAnsi="Calibri" w:cs="Calibri" w:hint="default"/>
        <w:b/>
        <w:bCs/>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7C55127E"/>
    <w:multiLevelType w:val="hybridMultilevel"/>
    <w:tmpl w:val="8FBCC1CC"/>
    <w:lvl w:ilvl="0" w:tplc="CADAA40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EE028A7"/>
    <w:multiLevelType w:val="hybridMultilevel"/>
    <w:tmpl w:val="41A26458"/>
    <w:lvl w:ilvl="0" w:tplc="F5C6647C">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2" w15:restartNumberingAfterBreak="0">
    <w:nsid w:val="7F37454C"/>
    <w:multiLevelType w:val="hybridMultilevel"/>
    <w:tmpl w:val="6A4424FA"/>
    <w:lvl w:ilvl="0" w:tplc="95320ABA">
      <w:start w:val="1"/>
      <w:numFmt w:val="bullet"/>
      <w:pStyle w:val="HOMEBRBulletFolhaRost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62"/>
  </w:num>
  <w:num w:numId="3">
    <w:abstractNumId w:val="47"/>
  </w:num>
  <w:num w:numId="4">
    <w:abstractNumId w:val="29"/>
  </w:num>
  <w:num w:numId="5">
    <w:abstractNumId w:val="9"/>
  </w:num>
  <w:num w:numId="6">
    <w:abstractNumId w:val="28"/>
  </w:num>
  <w:num w:numId="7">
    <w:abstractNumId w:val="36"/>
  </w:num>
  <w:num w:numId="8">
    <w:abstractNumId w:val="11"/>
  </w:num>
  <w:num w:numId="9">
    <w:abstractNumId w:val="60"/>
  </w:num>
  <w:num w:numId="10">
    <w:abstractNumId w:val="6"/>
  </w:num>
  <w:num w:numId="11">
    <w:abstractNumId w:val="30"/>
  </w:num>
  <w:num w:numId="12">
    <w:abstractNumId w:val="20"/>
  </w:num>
  <w:num w:numId="13">
    <w:abstractNumId w:val="17"/>
  </w:num>
  <w:num w:numId="14">
    <w:abstractNumId w:val="54"/>
  </w:num>
  <w:num w:numId="15">
    <w:abstractNumId w:val="46"/>
  </w:num>
  <w:num w:numId="16">
    <w:abstractNumId w:val="12"/>
  </w:num>
  <w:num w:numId="17">
    <w:abstractNumId w:val="26"/>
  </w:num>
  <w:num w:numId="18">
    <w:abstractNumId w:val="40"/>
  </w:num>
  <w:num w:numId="19">
    <w:abstractNumId w:val="16"/>
  </w:num>
  <w:num w:numId="20">
    <w:abstractNumId w:val="43"/>
  </w:num>
  <w:num w:numId="21">
    <w:abstractNumId w:val="58"/>
  </w:num>
  <w:num w:numId="22">
    <w:abstractNumId w:val="45"/>
  </w:num>
  <w:num w:numId="23">
    <w:abstractNumId w:val="32"/>
  </w:num>
  <w:num w:numId="24">
    <w:abstractNumId w:val="42"/>
  </w:num>
  <w:num w:numId="25">
    <w:abstractNumId w:val="4"/>
  </w:num>
  <w:num w:numId="26">
    <w:abstractNumId w:val="52"/>
  </w:num>
  <w:num w:numId="27">
    <w:abstractNumId w:val="27"/>
  </w:num>
  <w:num w:numId="28">
    <w:abstractNumId w:val="15"/>
  </w:num>
  <w:num w:numId="29">
    <w:abstractNumId w:val="25"/>
  </w:num>
  <w:num w:numId="30">
    <w:abstractNumId w:val="22"/>
  </w:num>
  <w:num w:numId="31">
    <w:abstractNumId w:val="51"/>
  </w:num>
  <w:num w:numId="32">
    <w:abstractNumId w:val="24"/>
  </w:num>
  <w:num w:numId="33">
    <w:abstractNumId w:val="31"/>
  </w:num>
  <w:num w:numId="34">
    <w:abstractNumId w:val="57"/>
  </w:num>
  <w:num w:numId="35">
    <w:abstractNumId w:val="33"/>
  </w:num>
  <w:num w:numId="36">
    <w:abstractNumId w:val="14"/>
  </w:num>
  <w:num w:numId="37">
    <w:abstractNumId w:val="5"/>
  </w:num>
  <w:num w:numId="38">
    <w:abstractNumId w:val="10"/>
  </w:num>
  <w:num w:numId="39">
    <w:abstractNumId w:val="41"/>
  </w:num>
  <w:num w:numId="40">
    <w:abstractNumId w:val="23"/>
  </w:num>
  <w:num w:numId="41">
    <w:abstractNumId w:val="8"/>
  </w:num>
  <w:num w:numId="42">
    <w:abstractNumId w:val="18"/>
  </w:num>
  <w:num w:numId="43">
    <w:abstractNumId w:val="53"/>
  </w:num>
  <w:num w:numId="44">
    <w:abstractNumId w:val="34"/>
  </w:num>
  <w:num w:numId="45">
    <w:abstractNumId w:val="2"/>
  </w:num>
  <w:num w:numId="46">
    <w:abstractNumId w:val="48"/>
  </w:num>
  <w:num w:numId="47">
    <w:abstractNumId w:val="37"/>
  </w:num>
  <w:num w:numId="48">
    <w:abstractNumId w:val="35"/>
  </w:num>
  <w:num w:numId="49">
    <w:abstractNumId w:val="38"/>
  </w:num>
  <w:num w:numId="50">
    <w:abstractNumId w:val="49"/>
  </w:num>
  <w:num w:numId="51">
    <w:abstractNumId w:val="1"/>
  </w:num>
  <w:num w:numId="52">
    <w:abstractNumId w:val="61"/>
  </w:num>
  <w:num w:numId="53">
    <w:abstractNumId w:val="55"/>
  </w:num>
  <w:num w:numId="54">
    <w:abstractNumId w:val="59"/>
  </w:num>
  <w:num w:numId="55">
    <w:abstractNumId w:val="13"/>
  </w:num>
  <w:num w:numId="56">
    <w:abstractNumId w:val="20"/>
    <w:lvlOverride w:ilvl="0">
      <w:startOverride w:val="1"/>
    </w:lvlOverride>
    <w:lvlOverride w:ilvl="1"/>
    <w:lvlOverride w:ilvl="2"/>
    <w:lvlOverride w:ilvl="3"/>
    <w:lvlOverride w:ilvl="4"/>
    <w:lvlOverride w:ilvl="5"/>
    <w:lvlOverride w:ilvl="6"/>
    <w:lvlOverride w:ilvl="7"/>
    <w:lvlOverride w:ilvl="8"/>
  </w:num>
  <w:num w:numId="57">
    <w:abstractNumId w:val="39"/>
  </w:num>
  <w:num w:numId="58">
    <w:abstractNumId w:val="50"/>
  </w:num>
  <w:num w:numId="59">
    <w:abstractNumId w:val="21"/>
  </w:num>
  <w:num w:numId="60">
    <w:abstractNumId w:val="7"/>
  </w:num>
  <w:num w:numId="6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pt-BR" w:vendorID="1" w:dllVersion="513" w:checkStyle="1"/>
  <w:activeWritingStyle w:appName="MSWord" w:lang="pt-PT" w:vendorID="1" w:dllVersion="513" w:checkStyle="1"/>
  <w:linkStyles/>
  <w:defaultTabStop w:val="2041"/>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efosse"/>
    <w:docVar w:name="TMS_CultureID" w:val="Portuguese-Brazil"/>
    <w:docVar w:name="TMS_OfficeID" w:val="SaoPaulo"/>
  </w:docVars>
  <w:rsids>
    <w:rsidRoot w:val="00475963"/>
    <w:rsid w:val="00000056"/>
    <w:rsid w:val="000002C9"/>
    <w:rsid w:val="00000F88"/>
    <w:rsid w:val="00000FF9"/>
    <w:rsid w:val="00001454"/>
    <w:rsid w:val="00001642"/>
    <w:rsid w:val="0000201A"/>
    <w:rsid w:val="000024A3"/>
    <w:rsid w:val="000028B8"/>
    <w:rsid w:val="00002F73"/>
    <w:rsid w:val="00003A07"/>
    <w:rsid w:val="0000418F"/>
    <w:rsid w:val="0000527B"/>
    <w:rsid w:val="000055AF"/>
    <w:rsid w:val="0000564A"/>
    <w:rsid w:val="00005A09"/>
    <w:rsid w:val="00006062"/>
    <w:rsid w:val="000061C7"/>
    <w:rsid w:val="0000649E"/>
    <w:rsid w:val="00006711"/>
    <w:rsid w:val="000067F3"/>
    <w:rsid w:val="000072E2"/>
    <w:rsid w:val="0000765C"/>
    <w:rsid w:val="000079AF"/>
    <w:rsid w:val="000116CC"/>
    <w:rsid w:val="0001186A"/>
    <w:rsid w:val="00011E50"/>
    <w:rsid w:val="00012163"/>
    <w:rsid w:val="00012AD1"/>
    <w:rsid w:val="00012EDE"/>
    <w:rsid w:val="0001338D"/>
    <w:rsid w:val="00013444"/>
    <w:rsid w:val="000134C0"/>
    <w:rsid w:val="0001380C"/>
    <w:rsid w:val="00013851"/>
    <w:rsid w:val="000142D5"/>
    <w:rsid w:val="00014393"/>
    <w:rsid w:val="00014670"/>
    <w:rsid w:val="0001521B"/>
    <w:rsid w:val="000154C4"/>
    <w:rsid w:val="00015D3B"/>
    <w:rsid w:val="000160AD"/>
    <w:rsid w:val="00016377"/>
    <w:rsid w:val="00016709"/>
    <w:rsid w:val="00016E23"/>
    <w:rsid w:val="000172B7"/>
    <w:rsid w:val="0001765C"/>
    <w:rsid w:val="00017798"/>
    <w:rsid w:val="000200F6"/>
    <w:rsid w:val="000201A9"/>
    <w:rsid w:val="00020536"/>
    <w:rsid w:val="00020538"/>
    <w:rsid w:val="0002069B"/>
    <w:rsid w:val="00020A1A"/>
    <w:rsid w:val="00020EC5"/>
    <w:rsid w:val="00021E7C"/>
    <w:rsid w:val="0002213D"/>
    <w:rsid w:val="00022235"/>
    <w:rsid w:val="00022ADC"/>
    <w:rsid w:val="00022EF2"/>
    <w:rsid w:val="00023029"/>
    <w:rsid w:val="000235EF"/>
    <w:rsid w:val="0002399A"/>
    <w:rsid w:val="00023F84"/>
    <w:rsid w:val="00024045"/>
    <w:rsid w:val="00024888"/>
    <w:rsid w:val="00024F0A"/>
    <w:rsid w:val="00025391"/>
    <w:rsid w:val="000254A9"/>
    <w:rsid w:val="0002583F"/>
    <w:rsid w:val="00025BE9"/>
    <w:rsid w:val="0002663D"/>
    <w:rsid w:val="00026865"/>
    <w:rsid w:val="00026DF5"/>
    <w:rsid w:val="000278BF"/>
    <w:rsid w:val="00027B30"/>
    <w:rsid w:val="0003050E"/>
    <w:rsid w:val="0003180B"/>
    <w:rsid w:val="00031D50"/>
    <w:rsid w:val="00031D60"/>
    <w:rsid w:val="000327C7"/>
    <w:rsid w:val="000328F8"/>
    <w:rsid w:val="00032A25"/>
    <w:rsid w:val="00032BB5"/>
    <w:rsid w:val="00032F37"/>
    <w:rsid w:val="00033898"/>
    <w:rsid w:val="00033AE4"/>
    <w:rsid w:val="00033B4D"/>
    <w:rsid w:val="0003429D"/>
    <w:rsid w:val="00034C16"/>
    <w:rsid w:val="00034F78"/>
    <w:rsid w:val="000359D2"/>
    <w:rsid w:val="00035EEC"/>
    <w:rsid w:val="00036132"/>
    <w:rsid w:val="00037AD9"/>
    <w:rsid w:val="00037DC2"/>
    <w:rsid w:val="000409FA"/>
    <w:rsid w:val="00040B07"/>
    <w:rsid w:val="000410DE"/>
    <w:rsid w:val="00041262"/>
    <w:rsid w:val="000414A2"/>
    <w:rsid w:val="00041527"/>
    <w:rsid w:val="00043BD2"/>
    <w:rsid w:val="00043E90"/>
    <w:rsid w:val="00044229"/>
    <w:rsid w:val="0004438F"/>
    <w:rsid w:val="00044A55"/>
    <w:rsid w:val="00045214"/>
    <w:rsid w:val="00045427"/>
    <w:rsid w:val="0004568B"/>
    <w:rsid w:val="00045A91"/>
    <w:rsid w:val="00045C0C"/>
    <w:rsid w:val="00046C82"/>
    <w:rsid w:val="000470DC"/>
    <w:rsid w:val="00047241"/>
    <w:rsid w:val="000477CA"/>
    <w:rsid w:val="00047A4B"/>
    <w:rsid w:val="00050765"/>
    <w:rsid w:val="00050C49"/>
    <w:rsid w:val="00050DB6"/>
    <w:rsid w:val="00050E42"/>
    <w:rsid w:val="00051C4D"/>
    <w:rsid w:val="00052F75"/>
    <w:rsid w:val="00053619"/>
    <w:rsid w:val="0005386B"/>
    <w:rsid w:val="00054286"/>
    <w:rsid w:val="000545CC"/>
    <w:rsid w:val="00054709"/>
    <w:rsid w:val="00054C18"/>
    <w:rsid w:val="00054CD3"/>
    <w:rsid w:val="00055024"/>
    <w:rsid w:val="000555A6"/>
    <w:rsid w:val="000563ED"/>
    <w:rsid w:val="00056490"/>
    <w:rsid w:val="0005668A"/>
    <w:rsid w:val="00056B30"/>
    <w:rsid w:val="0005752F"/>
    <w:rsid w:val="00057978"/>
    <w:rsid w:val="00057A33"/>
    <w:rsid w:val="000602EB"/>
    <w:rsid w:val="00060F7D"/>
    <w:rsid w:val="000625F4"/>
    <w:rsid w:val="00062630"/>
    <w:rsid w:val="0006318A"/>
    <w:rsid w:val="000648D8"/>
    <w:rsid w:val="00065A34"/>
    <w:rsid w:val="00066772"/>
    <w:rsid w:val="0006686B"/>
    <w:rsid w:val="00066CC8"/>
    <w:rsid w:val="00066D35"/>
    <w:rsid w:val="00066E0F"/>
    <w:rsid w:val="00066EF2"/>
    <w:rsid w:val="0007002A"/>
    <w:rsid w:val="000707CC"/>
    <w:rsid w:val="000707EA"/>
    <w:rsid w:val="00070A83"/>
    <w:rsid w:val="00071F22"/>
    <w:rsid w:val="000722E2"/>
    <w:rsid w:val="00072661"/>
    <w:rsid w:val="00073575"/>
    <w:rsid w:val="00074212"/>
    <w:rsid w:val="0007519B"/>
    <w:rsid w:val="00075802"/>
    <w:rsid w:val="000773F2"/>
    <w:rsid w:val="0007777A"/>
    <w:rsid w:val="00077D1A"/>
    <w:rsid w:val="000804A2"/>
    <w:rsid w:val="0008066F"/>
    <w:rsid w:val="00080E0D"/>
    <w:rsid w:val="00080E6A"/>
    <w:rsid w:val="0008191C"/>
    <w:rsid w:val="00081942"/>
    <w:rsid w:val="00081A83"/>
    <w:rsid w:val="00082304"/>
    <w:rsid w:val="000825D1"/>
    <w:rsid w:val="000825FA"/>
    <w:rsid w:val="00082626"/>
    <w:rsid w:val="00082B45"/>
    <w:rsid w:val="00083042"/>
    <w:rsid w:val="00083277"/>
    <w:rsid w:val="00083426"/>
    <w:rsid w:val="00084517"/>
    <w:rsid w:val="00084660"/>
    <w:rsid w:val="000849C5"/>
    <w:rsid w:val="000860CF"/>
    <w:rsid w:val="00086450"/>
    <w:rsid w:val="00087A3A"/>
    <w:rsid w:val="00087DA3"/>
    <w:rsid w:val="00087E70"/>
    <w:rsid w:val="00087F4F"/>
    <w:rsid w:val="00090332"/>
    <w:rsid w:val="0009119C"/>
    <w:rsid w:val="00091237"/>
    <w:rsid w:val="00091393"/>
    <w:rsid w:val="00091BE3"/>
    <w:rsid w:val="00091EEF"/>
    <w:rsid w:val="00092000"/>
    <w:rsid w:val="000922B9"/>
    <w:rsid w:val="00092DDF"/>
    <w:rsid w:val="00093363"/>
    <w:rsid w:val="00094604"/>
    <w:rsid w:val="00094A24"/>
    <w:rsid w:val="000955A5"/>
    <w:rsid w:val="00095658"/>
    <w:rsid w:val="0009597B"/>
    <w:rsid w:val="00095BCD"/>
    <w:rsid w:val="00095F02"/>
    <w:rsid w:val="0009636F"/>
    <w:rsid w:val="00096B1E"/>
    <w:rsid w:val="00096BBE"/>
    <w:rsid w:val="00096E24"/>
    <w:rsid w:val="00096FDC"/>
    <w:rsid w:val="00097071"/>
    <w:rsid w:val="000979FF"/>
    <w:rsid w:val="00097E55"/>
    <w:rsid w:val="000A0731"/>
    <w:rsid w:val="000A0BA3"/>
    <w:rsid w:val="000A0F07"/>
    <w:rsid w:val="000A10A4"/>
    <w:rsid w:val="000A129D"/>
    <w:rsid w:val="000A137E"/>
    <w:rsid w:val="000A1392"/>
    <w:rsid w:val="000A1587"/>
    <w:rsid w:val="000A1B3E"/>
    <w:rsid w:val="000A1DE5"/>
    <w:rsid w:val="000A2151"/>
    <w:rsid w:val="000A22DA"/>
    <w:rsid w:val="000A27CF"/>
    <w:rsid w:val="000A380B"/>
    <w:rsid w:val="000A3E67"/>
    <w:rsid w:val="000A41DE"/>
    <w:rsid w:val="000A4DC0"/>
    <w:rsid w:val="000A4FAC"/>
    <w:rsid w:val="000A507A"/>
    <w:rsid w:val="000A50EC"/>
    <w:rsid w:val="000A545B"/>
    <w:rsid w:val="000A5E2F"/>
    <w:rsid w:val="000A5F5A"/>
    <w:rsid w:val="000A63D7"/>
    <w:rsid w:val="000A688F"/>
    <w:rsid w:val="000A69B7"/>
    <w:rsid w:val="000A6A2A"/>
    <w:rsid w:val="000A703F"/>
    <w:rsid w:val="000A74DE"/>
    <w:rsid w:val="000A77F2"/>
    <w:rsid w:val="000B0963"/>
    <w:rsid w:val="000B0ECD"/>
    <w:rsid w:val="000B16EF"/>
    <w:rsid w:val="000B2397"/>
    <w:rsid w:val="000B319E"/>
    <w:rsid w:val="000B3624"/>
    <w:rsid w:val="000B3C60"/>
    <w:rsid w:val="000B409C"/>
    <w:rsid w:val="000B482A"/>
    <w:rsid w:val="000B4C13"/>
    <w:rsid w:val="000B4DC8"/>
    <w:rsid w:val="000B5861"/>
    <w:rsid w:val="000B5A7B"/>
    <w:rsid w:val="000B65C8"/>
    <w:rsid w:val="000B66F3"/>
    <w:rsid w:val="000B6864"/>
    <w:rsid w:val="000B6A2B"/>
    <w:rsid w:val="000B6D7D"/>
    <w:rsid w:val="000B6FC1"/>
    <w:rsid w:val="000B759D"/>
    <w:rsid w:val="000B7A32"/>
    <w:rsid w:val="000B7DB2"/>
    <w:rsid w:val="000B7E9B"/>
    <w:rsid w:val="000B7F17"/>
    <w:rsid w:val="000C0939"/>
    <w:rsid w:val="000C0A3E"/>
    <w:rsid w:val="000C119D"/>
    <w:rsid w:val="000C16EA"/>
    <w:rsid w:val="000C18A1"/>
    <w:rsid w:val="000C1E66"/>
    <w:rsid w:val="000C2808"/>
    <w:rsid w:val="000C2832"/>
    <w:rsid w:val="000C2ADF"/>
    <w:rsid w:val="000C2AF1"/>
    <w:rsid w:val="000C32D2"/>
    <w:rsid w:val="000C330E"/>
    <w:rsid w:val="000C35EF"/>
    <w:rsid w:val="000C3824"/>
    <w:rsid w:val="000C39B0"/>
    <w:rsid w:val="000C48A0"/>
    <w:rsid w:val="000C4F21"/>
    <w:rsid w:val="000C56CD"/>
    <w:rsid w:val="000C572B"/>
    <w:rsid w:val="000C62AA"/>
    <w:rsid w:val="000C6337"/>
    <w:rsid w:val="000C669A"/>
    <w:rsid w:val="000C67F6"/>
    <w:rsid w:val="000C6C6F"/>
    <w:rsid w:val="000C77FA"/>
    <w:rsid w:val="000C7884"/>
    <w:rsid w:val="000C7E4E"/>
    <w:rsid w:val="000D00CE"/>
    <w:rsid w:val="000D0BE9"/>
    <w:rsid w:val="000D2495"/>
    <w:rsid w:val="000D2704"/>
    <w:rsid w:val="000D3054"/>
    <w:rsid w:val="000D3A1B"/>
    <w:rsid w:val="000D3D50"/>
    <w:rsid w:val="000D4671"/>
    <w:rsid w:val="000D4696"/>
    <w:rsid w:val="000D4DEB"/>
    <w:rsid w:val="000D5311"/>
    <w:rsid w:val="000D53D8"/>
    <w:rsid w:val="000D6379"/>
    <w:rsid w:val="000D6CB4"/>
    <w:rsid w:val="000D6E59"/>
    <w:rsid w:val="000D7CA5"/>
    <w:rsid w:val="000D7CC4"/>
    <w:rsid w:val="000E0BA9"/>
    <w:rsid w:val="000E0C88"/>
    <w:rsid w:val="000E1473"/>
    <w:rsid w:val="000E14CF"/>
    <w:rsid w:val="000E2EDC"/>
    <w:rsid w:val="000E343B"/>
    <w:rsid w:val="000E4577"/>
    <w:rsid w:val="000E4657"/>
    <w:rsid w:val="000E5765"/>
    <w:rsid w:val="000E5A5D"/>
    <w:rsid w:val="000E6276"/>
    <w:rsid w:val="000E633A"/>
    <w:rsid w:val="000E6686"/>
    <w:rsid w:val="000E6F20"/>
    <w:rsid w:val="000E6F7F"/>
    <w:rsid w:val="000E724B"/>
    <w:rsid w:val="000E74D5"/>
    <w:rsid w:val="000E7F05"/>
    <w:rsid w:val="000E7FE5"/>
    <w:rsid w:val="000F0A04"/>
    <w:rsid w:val="000F0A72"/>
    <w:rsid w:val="000F0BC3"/>
    <w:rsid w:val="000F13D8"/>
    <w:rsid w:val="000F1C33"/>
    <w:rsid w:val="000F2AB8"/>
    <w:rsid w:val="000F3940"/>
    <w:rsid w:val="000F3F63"/>
    <w:rsid w:val="000F458C"/>
    <w:rsid w:val="000F4916"/>
    <w:rsid w:val="000F4AA4"/>
    <w:rsid w:val="000F4AC6"/>
    <w:rsid w:val="000F4E34"/>
    <w:rsid w:val="000F5085"/>
    <w:rsid w:val="000F5093"/>
    <w:rsid w:val="000F53E1"/>
    <w:rsid w:val="000F540F"/>
    <w:rsid w:val="000F59A7"/>
    <w:rsid w:val="000F5B30"/>
    <w:rsid w:val="000F5FBE"/>
    <w:rsid w:val="000F5FE1"/>
    <w:rsid w:val="000F6532"/>
    <w:rsid w:val="000F7CFA"/>
    <w:rsid w:val="001002BE"/>
    <w:rsid w:val="00100A02"/>
    <w:rsid w:val="0010113F"/>
    <w:rsid w:val="00101B39"/>
    <w:rsid w:val="00101C8F"/>
    <w:rsid w:val="00101EE5"/>
    <w:rsid w:val="00102295"/>
    <w:rsid w:val="00103162"/>
    <w:rsid w:val="00103686"/>
    <w:rsid w:val="00103C25"/>
    <w:rsid w:val="00103C9C"/>
    <w:rsid w:val="00103D47"/>
    <w:rsid w:val="00104360"/>
    <w:rsid w:val="001053AE"/>
    <w:rsid w:val="0010554F"/>
    <w:rsid w:val="00106A8D"/>
    <w:rsid w:val="00106C8D"/>
    <w:rsid w:val="00106CC0"/>
    <w:rsid w:val="00107253"/>
    <w:rsid w:val="00107478"/>
    <w:rsid w:val="001074BC"/>
    <w:rsid w:val="00107579"/>
    <w:rsid w:val="001077B2"/>
    <w:rsid w:val="00107B85"/>
    <w:rsid w:val="0011059E"/>
    <w:rsid w:val="001109B0"/>
    <w:rsid w:val="001110FE"/>
    <w:rsid w:val="0011136B"/>
    <w:rsid w:val="00111F9B"/>
    <w:rsid w:val="00113B29"/>
    <w:rsid w:val="00113EF1"/>
    <w:rsid w:val="00113FB8"/>
    <w:rsid w:val="00115418"/>
    <w:rsid w:val="001154E1"/>
    <w:rsid w:val="00115974"/>
    <w:rsid w:val="00115AB5"/>
    <w:rsid w:val="00116512"/>
    <w:rsid w:val="001166E7"/>
    <w:rsid w:val="001166EA"/>
    <w:rsid w:val="00116D54"/>
    <w:rsid w:val="00116DC1"/>
    <w:rsid w:val="00117618"/>
    <w:rsid w:val="0012009A"/>
    <w:rsid w:val="00120561"/>
    <w:rsid w:val="0012086B"/>
    <w:rsid w:val="00121317"/>
    <w:rsid w:val="001213E3"/>
    <w:rsid w:val="0012175C"/>
    <w:rsid w:val="001219FA"/>
    <w:rsid w:val="00121C53"/>
    <w:rsid w:val="0012208D"/>
    <w:rsid w:val="0012209C"/>
    <w:rsid w:val="00122136"/>
    <w:rsid w:val="001222BD"/>
    <w:rsid w:val="00122512"/>
    <w:rsid w:val="001225A9"/>
    <w:rsid w:val="00122E2F"/>
    <w:rsid w:val="00122F0C"/>
    <w:rsid w:val="00122F62"/>
    <w:rsid w:val="001233E9"/>
    <w:rsid w:val="001233F7"/>
    <w:rsid w:val="0012485F"/>
    <w:rsid w:val="00125778"/>
    <w:rsid w:val="00125C82"/>
    <w:rsid w:val="001261DA"/>
    <w:rsid w:val="0012658D"/>
    <w:rsid w:val="00126A02"/>
    <w:rsid w:val="0012708E"/>
    <w:rsid w:val="00127516"/>
    <w:rsid w:val="00127B06"/>
    <w:rsid w:val="00127F19"/>
    <w:rsid w:val="00130042"/>
    <w:rsid w:val="001300D0"/>
    <w:rsid w:val="001306E0"/>
    <w:rsid w:val="001313E9"/>
    <w:rsid w:val="0013187B"/>
    <w:rsid w:val="00131CAB"/>
    <w:rsid w:val="00132017"/>
    <w:rsid w:val="00132C21"/>
    <w:rsid w:val="00133276"/>
    <w:rsid w:val="001332F0"/>
    <w:rsid w:val="00133427"/>
    <w:rsid w:val="001336AC"/>
    <w:rsid w:val="001340D6"/>
    <w:rsid w:val="0013512D"/>
    <w:rsid w:val="00136232"/>
    <w:rsid w:val="001365BC"/>
    <w:rsid w:val="001367AF"/>
    <w:rsid w:val="001367D4"/>
    <w:rsid w:val="00136A87"/>
    <w:rsid w:val="00136D3F"/>
    <w:rsid w:val="00137355"/>
    <w:rsid w:val="00137707"/>
    <w:rsid w:val="00137842"/>
    <w:rsid w:val="001379F7"/>
    <w:rsid w:val="00137FB1"/>
    <w:rsid w:val="00141163"/>
    <w:rsid w:val="00141D0E"/>
    <w:rsid w:val="00141EF3"/>
    <w:rsid w:val="00142248"/>
    <w:rsid w:val="0014232F"/>
    <w:rsid w:val="00144BA5"/>
    <w:rsid w:val="00144BB7"/>
    <w:rsid w:val="00145A30"/>
    <w:rsid w:val="0014605D"/>
    <w:rsid w:val="00146DB7"/>
    <w:rsid w:val="00146FDC"/>
    <w:rsid w:val="00146FF3"/>
    <w:rsid w:val="001475C7"/>
    <w:rsid w:val="001502F3"/>
    <w:rsid w:val="00150325"/>
    <w:rsid w:val="001509FF"/>
    <w:rsid w:val="0015123D"/>
    <w:rsid w:val="00151887"/>
    <w:rsid w:val="0015191F"/>
    <w:rsid w:val="00151F8F"/>
    <w:rsid w:val="0015252E"/>
    <w:rsid w:val="001526A7"/>
    <w:rsid w:val="00152BE7"/>
    <w:rsid w:val="001530F2"/>
    <w:rsid w:val="001535E7"/>
    <w:rsid w:val="001539A1"/>
    <w:rsid w:val="001539F5"/>
    <w:rsid w:val="00154502"/>
    <w:rsid w:val="00154F32"/>
    <w:rsid w:val="00155288"/>
    <w:rsid w:val="00155430"/>
    <w:rsid w:val="00155FAD"/>
    <w:rsid w:val="00156487"/>
    <w:rsid w:val="00156B6D"/>
    <w:rsid w:val="0015711B"/>
    <w:rsid w:val="001572E5"/>
    <w:rsid w:val="00157ACB"/>
    <w:rsid w:val="00157EEA"/>
    <w:rsid w:val="00160157"/>
    <w:rsid w:val="00160A50"/>
    <w:rsid w:val="00160EF4"/>
    <w:rsid w:val="00161D21"/>
    <w:rsid w:val="00162BE2"/>
    <w:rsid w:val="00162CCF"/>
    <w:rsid w:val="00163123"/>
    <w:rsid w:val="0016362C"/>
    <w:rsid w:val="00163E75"/>
    <w:rsid w:val="00164542"/>
    <w:rsid w:val="00164BCB"/>
    <w:rsid w:val="00164C99"/>
    <w:rsid w:val="00165221"/>
    <w:rsid w:val="00165441"/>
    <w:rsid w:val="00165690"/>
    <w:rsid w:val="0016572D"/>
    <w:rsid w:val="00166534"/>
    <w:rsid w:val="001665EE"/>
    <w:rsid w:val="00166D6D"/>
    <w:rsid w:val="0016788B"/>
    <w:rsid w:val="00167D5B"/>
    <w:rsid w:val="001705E9"/>
    <w:rsid w:val="0017063B"/>
    <w:rsid w:val="00170DC5"/>
    <w:rsid w:val="0017186C"/>
    <w:rsid w:val="0017188D"/>
    <w:rsid w:val="00171900"/>
    <w:rsid w:val="001719F0"/>
    <w:rsid w:val="00171D06"/>
    <w:rsid w:val="00171E85"/>
    <w:rsid w:val="00171F5A"/>
    <w:rsid w:val="00172089"/>
    <w:rsid w:val="001720DB"/>
    <w:rsid w:val="0017320E"/>
    <w:rsid w:val="00173607"/>
    <w:rsid w:val="0017376B"/>
    <w:rsid w:val="00173A0A"/>
    <w:rsid w:val="00174DA4"/>
    <w:rsid w:val="00175908"/>
    <w:rsid w:val="0017675B"/>
    <w:rsid w:val="00176D5A"/>
    <w:rsid w:val="00177533"/>
    <w:rsid w:val="00177C40"/>
    <w:rsid w:val="0018033D"/>
    <w:rsid w:val="001816CE"/>
    <w:rsid w:val="00181928"/>
    <w:rsid w:val="00182ED3"/>
    <w:rsid w:val="0018331D"/>
    <w:rsid w:val="00183810"/>
    <w:rsid w:val="001838A1"/>
    <w:rsid w:val="00183C41"/>
    <w:rsid w:val="00183EA7"/>
    <w:rsid w:val="00184964"/>
    <w:rsid w:val="00184A3F"/>
    <w:rsid w:val="00185315"/>
    <w:rsid w:val="001853D0"/>
    <w:rsid w:val="0018566B"/>
    <w:rsid w:val="00185BA1"/>
    <w:rsid w:val="00186ABF"/>
    <w:rsid w:val="00187117"/>
    <w:rsid w:val="00187222"/>
    <w:rsid w:val="001877E9"/>
    <w:rsid w:val="00187A8F"/>
    <w:rsid w:val="00187FAE"/>
    <w:rsid w:val="00190372"/>
    <w:rsid w:val="0019109F"/>
    <w:rsid w:val="001911CD"/>
    <w:rsid w:val="001911F5"/>
    <w:rsid w:val="0019159B"/>
    <w:rsid w:val="001915B9"/>
    <w:rsid w:val="00191629"/>
    <w:rsid w:val="0019232C"/>
    <w:rsid w:val="001932BC"/>
    <w:rsid w:val="0019348D"/>
    <w:rsid w:val="00193725"/>
    <w:rsid w:val="001937E2"/>
    <w:rsid w:val="001944B8"/>
    <w:rsid w:val="00195008"/>
    <w:rsid w:val="001951FA"/>
    <w:rsid w:val="00195636"/>
    <w:rsid w:val="0019577B"/>
    <w:rsid w:val="00195D15"/>
    <w:rsid w:val="00195EFD"/>
    <w:rsid w:val="001962CE"/>
    <w:rsid w:val="00196389"/>
    <w:rsid w:val="00196410"/>
    <w:rsid w:val="001965A1"/>
    <w:rsid w:val="00196E77"/>
    <w:rsid w:val="001975A0"/>
    <w:rsid w:val="00197993"/>
    <w:rsid w:val="00197E49"/>
    <w:rsid w:val="001A00E9"/>
    <w:rsid w:val="001A05F4"/>
    <w:rsid w:val="001A0CDF"/>
    <w:rsid w:val="001A2512"/>
    <w:rsid w:val="001A2CAB"/>
    <w:rsid w:val="001A382F"/>
    <w:rsid w:val="001A3CFC"/>
    <w:rsid w:val="001A3ED4"/>
    <w:rsid w:val="001A4356"/>
    <w:rsid w:val="001A4B73"/>
    <w:rsid w:val="001A4D54"/>
    <w:rsid w:val="001A4F83"/>
    <w:rsid w:val="001A53A8"/>
    <w:rsid w:val="001A54A8"/>
    <w:rsid w:val="001A582F"/>
    <w:rsid w:val="001A6463"/>
    <w:rsid w:val="001A68CB"/>
    <w:rsid w:val="001A6E02"/>
    <w:rsid w:val="001A73B2"/>
    <w:rsid w:val="001A743B"/>
    <w:rsid w:val="001A7B30"/>
    <w:rsid w:val="001A7B8B"/>
    <w:rsid w:val="001A7F42"/>
    <w:rsid w:val="001B053E"/>
    <w:rsid w:val="001B0FFA"/>
    <w:rsid w:val="001B1293"/>
    <w:rsid w:val="001B1F27"/>
    <w:rsid w:val="001B200B"/>
    <w:rsid w:val="001B22A9"/>
    <w:rsid w:val="001B2790"/>
    <w:rsid w:val="001B3302"/>
    <w:rsid w:val="001B39AE"/>
    <w:rsid w:val="001B4623"/>
    <w:rsid w:val="001B4643"/>
    <w:rsid w:val="001B4F0A"/>
    <w:rsid w:val="001B524C"/>
    <w:rsid w:val="001B5291"/>
    <w:rsid w:val="001B5B77"/>
    <w:rsid w:val="001B5C1E"/>
    <w:rsid w:val="001B5F96"/>
    <w:rsid w:val="001B610D"/>
    <w:rsid w:val="001B62A3"/>
    <w:rsid w:val="001B65A9"/>
    <w:rsid w:val="001B6950"/>
    <w:rsid w:val="001B6BAB"/>
    <w:rsid w:val="001B6F28"/>
    <w:rsid w:val="001B782B"/>
    <w:rsid w:val="001B7DAF"/>
    <w:rsid w:val="001B7ECF"/>
    <w:rsid w:val="001C0283"/>
    <w:rsid w:val="001C06F5"/>
    <w:rsid w:val="001C096E"/>
    <w:rsid w:val="001C106F"/>
    <w:rsid w:val="001C119A"/>
    <w:rsid w:val="001C2012"/>
    <w:rsid w:val="001C2A00"/>
    <w:rsid w:val="001C3218"/>
    <w:rsid w:val="001C3FDB"/>
    <w:rsid w:val="001C4435"/>
    <w:rsid w:val="001C4653"/>
    <w:rsid w:val="001C46F4"/>
    <w:rsid w:val="001C4FF0"/>
    <w:rsid w:val="001C5203"/>
    <w:rsid w:val="001C5451"/>
    <w:rsid w:val="001C55E3"/>
    <w:rsid w:val="001C5E43"/>
    <w:rsid w:val="001C6197"/>
    <w:rsid w:val="001C6261"/>
    <w:rsid w:val="001C62DE"/>
    <w:rsid w:val="001C6A06"/>
    <w:rsid w:val="001C6B70"/>
    <w:rsid w:val="001C7262"/>
    <w:rsid w:val="001C7DBC"/>
    <w:rsid w:val="001D0099"/>
    <w:rsid w:val="001D0298"/>
    <w:rsid w:val="001D064B"/>
    <w:rsid w:val="001D0977"/>
    <w:rsid w:val="001D1055"/>
    <w:rsid w:val="001D1280"/>
    <w:rsid w:val="001D15C9"/>
    <w:rsid w:val="001D1F81"/>
    <w:rsid w:val="001D265D"/>
    <w:rsid w:val="001D3B99"/>
    <w:rsid w:val="001D3DF2"/>
    <w:rsid w:val="001D4AA6"/>
    <w:rsid w:val="001D4C1D"/>
    <w:rsid w:val="001D51E4"/>
    <w:rsid w:val="001D521E"/>
    <w:rsid w:val="001D5977"/>
    <w:rsid w:val="001D599E"/>
    <w:rsid w:val="001D62A7"/>
    <w:rsid w:val="001D688D"/>
    <w:rsid w:val="001D6E6E"/>
    <w:rsid w:val="001D7397"/>
    <w:rsid w:val="001D7D34"/>
    <w:rsid w:val="001D7E48"/>
    <w:rsid w:val="001E0BCF"/>
    <w:rsid w:val="001E131C"/>
    <w:rsid w:val="001E14E6"/>
    <w:rsid w:val="001E1B28"/>
    <w:rsid w:val="001E1B83"/>
    <w:rsid w:val="001E1E20"/>
    <w:rsid w:val="001E271D"/>
    <w:rsid w:val="001E43D6"/>
    <w:rsid w:val="001E48E1"/>
    <w:rsid w:val="001E53DD"/>
    <w:rsid w:val="001E56C4"/>
    <w:rsid w:val="001E5752"/>
    <w:rsid w:val="001E5DD7"/>
    <w:rsid w:val="001E5ED9"/>
    <w:rsid w:val="001E6610"/>
    <w:rsid w:val="001E6836"/>
    <w:rsid w:val="001E6BF7"/>
    <w:rsid w:val="001E7813"/>
    <w:rsid w:val="001E7F83"/>
    <w:rsid w:val="001F02EF"/>
    <w:rsid w:val="001F0B0B"/>
    <w:rsid w:val="001F0D73"/>
    <w:rsid w:val="001F1117"/>
    <w:rsid w:val="001F1C8F"/>
    <w:rsid w:val="001F1F89"/>
    <w:rsid w:val="001F213F"/>
    <w:rsid w:val="001F26CD"/>
    <w:rsid w:val="001F2D36"/>
    <w:rsid w:val="001F2EBF"/>
    <w:rsid w:val="001F409C"/>
    <w:rsid w:val="001F43C7"/>
    <w:rsid w:val="001F4C2A"/>
    <w:rsid w:val="001F5AF1"/>
    <w:rsid w:val="001F5C50"/>
    <w:rsid w:val="001F66D9"/>
    <w:rsid w:val="001F68CE"/>
    <w:rsid w:val="001F6D89"/>
    <w:rsid w:val="001F6E15"/>
    <w:rsid w:val="001F7DC3"/>
    <w:rsid w:val="001F7F5A"/>
    <w:rsid w:val="002003D4"/>
    <w:rsid w:val="002017B3"/>
    <w:rsid w:val="00201FD4"/>
    <w:rsid w:val="00202FF0"/>
    <w:rsid w:val="00203F64"/>
    <w:rsid w:val="00204689"/>
    <w:rsid w:val="002051C5"/>
    <w:rsid w:val="002059CE"/>
    <w:rsid w:val="00206567"/>
    <w:rsid w:val="002065E0"/>
    <w:rsid w:val="00206846"/>
    <w:rsid w:val="00206B05"/>
    <w:rsid w:val="00206CD5"/>
    <w:rsid w:val="00207243"/>
    <w:rsid w:val="0020727A"/>
    <w:rsid w:val="0021058C"/>
    <w:rsid w:val="00210867"/>
    <w:rsid w:val="00211910"/>
    <w:rsid w:val="0021198D"/>
    <w:rsid w:val="00211A0C"/>
    <w:rsid w:val="00212061"/>
    <w:rsid w:val="00213329"/>
    <w:rsid w:val="00214525"/>
    <w:rsid w:val="0021516F"/>
    <w:rsid w:val="00215B82"/>
    <w:rsid w:val="00216A2A"/>
    <w:rsid w:val="00216CEF"/>
    <w:rsid w:val="00217295"/>
    <w:rsid w:val="0021757E"/>
    <w:rsid w:val="00217FCB"/>
    <w:rsid w:val="00220C33"/>
    <w:rsid w:val="00221260"/>
    <w:rsid w:val="002212A6"/>
    <w:rsid w:val="00221749"/>
    <w:rsid w:val="002218FF"/>
    <w:rsid w:val="00221E20"/>
    <w:rsid w:val="002223AF"/>
    <w:rsid w:val="0022303E"/>
    <w:rsid w:val="0022330F"/>
    <w:rsid w:val="00223857"/>
    <w:rsid w:val="0022411E"/>
    <w:rsid w:val="00224737"/>
    <w:rsid w:val="00224941"/>
    <w:rsid w:val="0022542B"/>
    <w:rsid w:val="002255A4"/>
    <w:rsid w:val="00225958"/>
    <w:rsid w:val="00225C7E"/>
    <w:rsid w:val="00225F17"/>
    <w:rsid w:val="00226730"/>
    <w:rsid w:val="0022730F"/>
    <w:rsid w:val="00227DE3"/>
    <w:rsid w:val="00227F75"/>
    <w:rsid w:val="002304D6"/>
    <w:rsid w:val="00230C2E"/>
    <w:rsid w:val="002310F6"/>
    <w:rsid w:val="0023138E"/>
    <w:rsid w:val="00231AB9"/>
    <w:rsid w:val="00231B0A"/>
    <w:rsid w:val="00231B2C"/>
    <w:rsid w:val="00231BD2"/>
    <w:rsid w:val="00232266"/>
    <w:rsid w:val="002325EF"/>
    <w:rsid w:val="00232C64"/>
    <w:rsid w:val="002333CE"/>
    <w:rsid w:val="00233679"/>
    <w:rsid w:val="002336B4"/>
    <w:rsid w:val="00234185"/>
    <w:rsid w:val="00234253"/>
    <w:rsid w:val="00234A8B"/>
    <w:rsid w:val="0023512F"/>
    <w:rsid w:val="00235686"/>
    <w:rsid w:val="002363FF"/>
    <w:rsid w:val="00236535"/>
    <w:rsid w:val="002365B1"/>
    <w:rsid w:val="00236BCF"/>
    <w:rsid w:val="0023739A"/>
    <w:rsid w:val="00237C31"/>
    <w:rsid w:val="00237D36"/>
    <w:rsid w:val="00240DCC"/>
    <w:rsid w:val="002417DA"/>
    <w:rsid w:val="002420BB"/>
    <w:rsid w:val="002423EF"/>
    <w:rsid w:val="0024397E"/>
    <w:rsid w:val="00244251"/>
    <w:rsid w:val="002447E8"/>
    <w:rsid w:val="00244BF2"/>
    <w:rsid w:val="00244C5D"/>
    <w:rsid w:val="00246084"/>
    <w:rsid w:val="002463B4"/>
    <w:rsid w:val="00247631"/>
    <w:rsid w:val="0024797B"/>
    <w:rsid w:val="00247C82"/>
    <w:rsid w:val="00247F62"/>
    <w:rsid w:val="00250444"/>
    <w:rsid w:val="00250481"/>
    <w:rsid w:val="002505DD"/>
    <w:rsid w:val="0025148A"/>
    <w:rsid w:val="002514D6"/>
    <w:rsid w:val="002516DD"/>
    <w:rsid w:val="00251BD2"/>
    <w:rsid w:val="002525B2"/>
    <w:rsid w:val="002525D7"/>
    <w:rsid w:val="00253070"/>
    <w:rsid w:val="00253576"/>
    <w:rsid w:val="002537BF"/>
    <w:rsid w:val="00253951"/>
    <w:rsid w:val="00253CCD"/>
    <w:rsid w:val="00254113"/>
    <w:rsid w:val="0025413C"/>
    <w:rsid w:val="002554A2"/>
    <w:rsid w:val="0025552F"/>
    <w:rsid w:val="00255B42"/>
    <w:rsid w:val="002566E7"/>
    <w:rsid w:val="00257AAE"/>
    <w:rsid w:val="00257EE5"/>
    <w:rsid w:val="0026024B"/>
    <w:rsid w:val="00260538"/>
    <w:rsid w:val="002605B6"/>
    <w:rsid w:val="002605C4"/>
    <w:rsid w:val="002616A7"/>
    <w:rsid w:val="002619A2"/>
    <w:rsid w:val="00261DD7"/>
    <w:rsid w:val="00262001"/>
    <w:rsid w:val="002631A9"/>
    <w:rsid w:val="0026321A"/>
    <w:rsid w:val="0026353A"/>
    <w:rsid w:val="0026353D"/>
    <w:rsid w:val="00263ED3"/>
    <w:rsid w:val="002645CA"/>
    <w:rsid w:val="002645FA"/>
    <w:rsid w:val="00264707"/>
    <w:rsid w:val="00264881"/>
    <w:rsid w:val="002648BD"/>
    <w:rsid w:val="00265E49"/>
    <w:rsid w:val="0026673F"/>
    <w:rsid w:val="0026676A"/>
    <w:rsid w:val="00266ACC"/>
    <w:rsid w:val="00267122"/>
    <w:rsid w:val="002679C8"/>
    <w:rsid w:val="0027015B"/>
    <w:rsid w:val="002712D9"/>
    <w:rsid w:val="00271357"/>
    <w:rsid w:val="002720D9"/>
    <w:rsid w:val="002721F1"/>
    <w:rsid w:val="0027272E"/>
    <w:rsid w:val="0027281D"/>
    <w:rsid w:val="00272BFB"/>
    <w:rsid w:val="0027301B"/>
    <w:rsid w:val="0027305F"/>
    <w:rsid w:val="00273254"/>
    <w:rsid w:val="002733EE"/>
    <w:rsid w:val="00273574"/>
    <w:rsid w:val="00273B05"/>
    <w:rsid w:val="00273CB9"/>
    <w:rsid w:val="0027441D"/>
    <w:rsid w:val="002768ED"/>
    <w:rsid w:val="00276A4F"/>
    <w:rsid w:val="002776DB"/>
    <w:rsid w:val="002801E0"/>
    <w:rsid w:val="00280232"/>
    <w:rsid w:val="00280DB3"/>
    <w:rsid w:val="00280DFB"/>
    <w:rsid w:val="0028195B"/>
    <w:rsid w:val="00282729"/>
    <w:rsid w:val="00282861"/>
    <w:rsid w:val="00282EF9"/>
    <w:rsid w:val="00283380"/>
    <w:rsid w:val="0028347E"/>
    <w:rsid w:val="00284A68"/>
    <w:rsid w:val="00285532"/>
    <w:rsid w:val="002859A1"/>
    <w:rsid w:val="00285D70"/>
    <w:rsid w:val="00286A01"/>
    <w:rsid w:val="00286A82"/>
    <w:rsid w:val="00287254"/>
    <w:rsid w:val="00287694"/>
    <w:rsid w:val="00287CD3"/>
    <w:rsid w:val="0029028C"/>
    <w:rsid w:val="0029093A"/>
    <w:rsid w:val="00290EB0"/>
    <w:rsid w:val="00291082"/>
    <w:rsid w:val="00291B88"/>
    <w:rsid w:val="00292286"/>
    <w:rsid w:val="00292920"/>
    <w:rsid w:val="002931F0"/>
    <w:rsid w:val="00293391"/>
    <w:rsid w:val="00293D0D"/>
    <w:rsid w:val="00294040"/>
    <w:rsid w:val="00294AEA"/>
    <w:rsid w:val="00294EED"/>
    <w:rsid w:val="002950DC"/>
    <w:rsid w:val="0029533E"/>
    <w:rsid w:val="00295411"/>
    <w:rsid w:val="002954BE"/>
    <w:rsid w:val="002958F6"/>
    <w:rsid w:val="00295A6B"/>
    <w:rsid w:val="00296171"/>
    <w:rsid w:val="00296248"/>
    <w:rsid w:val="002964E8"/>
    <w:rsid w:val="00296761"/>
    <w:rsid w:val="00296D39"/>
    <w:rsid w:val="002970A4"/>
    <w:rsid w:val="002970BE"/>
    <w:rsid w:val="00297A16"/>
    <w:rsid w:val="002A00CF"/>
    <w:rsid w:val="002A036C"/>
    <w:rsid w:val="002A0B13"/>
    <w:rsid w:val="002A148B"/>
    <w:rsid w:val="002A16D7"/>
    <w:rsid w:val="002A1D5D"/>
    <w:rsid w:val="002A236F"/>
    <w:rsid w:val="002A264E"/>
    <w:rsid w:val="002A33F7"/>
    <w:rsid w:val="002A3C00"/>
    <w:rsid w:val="002A48F5"/>
    <w:rsid w:val="002A4A4B"/>
    <w:rsid w:val="002A4B8C"/>
    <w:rsid w:val="002A6804"/>
    <w:rsid w:val="002A73FB"/>
    <w:rsid w:val="002A7778"/>
    <w:rsid w:val="002A7D0F"/>
    <w:rsid w:val="002A7FE5"/>
    <w:rsid w:val="002B00F6"/>
    <w:rsid w:val="002B040C"/>
    <w:rsid w:val="002B0D15"/>
    <w:rsid w:val="002B0D22"/>
    <w:rsid w:val="002B139C"/>
    <w:rsid w:val="002B2044"/>
    <w:rsid w:val="002B2F2F"/>
    <w:rsid w:val="002B2F78"/>
    <w:rsid w:val="002B3314"/>
    <w:rsid w:val="002B45B9"/>
    <w:rsid w:val="002B4C1E"/>
    <w:rsid w:val="002B52C7"/>
    <w:rsid w:val="002B5931"/>
    <w:rsid w:val="002B5D16"/>
    <w:rsid w:val="002B6024"/>
    <w:rsid w:val="002B6200"/>
    <w:rsid w:val="002B703F"/>
    <w:rsid w:val="002B731B"/>
    <w:rsid w:val="002B73F9"/>
    <w:rsid w:val="002B763C"/>
    <w:rsid w:val="002B7726"/>
    <w:rsid w:val="002B7B8E"/>
    <w:rsid w:val="002C0495"/>
    <w:rsid w:val="002C0F90"/>
    <w:rsid w:val="002C1F0B"/>
    <w:rsid w:val="002C2046"/>
    <w:rsid w:val="002C2283"/>
    <w:rsid w:val="002C2AC6"/>
    <w:rsid w:val="002C3B4C"/>
    <w:rsid w:val="002C3D0B"/>
    <w:rsid w:val="002C405B"/>
    <w:rsid w:val="002C409C"/>
    <w:rsid w:val="002C484B"/>
    <w:rsid w:val="002C54BD"/>
    <w:rsid w:val="002C5544"/>
    <w:rsid w:val="002C5CE6"/>
    <w:rsid w:val="002C5EA2"/>
    <w:rsid w:val="002C634F"/>
    <w:rsid w:val="002C65B3"/>
    <w:rsid w:val="002C6719"/>
    <w:rsid w:val="002C67F2"/>
    <w:rsid w:val="002C71DD"/>
    <w:rsid w:val="002C73C3"/>
    <w:rsid w:val="002C7677"/>
    <w:rsid w:val="002C7EF9"/>
    <w:rsid w:val="002D0A7E"/>
    <w:rsid w:val="002D1198"/>
    <w:rsid w:val="002D1313"/>
    <w:rsid w:val="002D14CC"/>
    <w:rsid w:val="002D179D"/>
    <w:rsid w:val="002D18B3"/>
    <w:rsid w:val="002D1B0D"/>
    <w:rsid w:val="002D1DAD"/>
    <w:rsid w:val="002D240A"/>
    <w:rsid w:val="002D2614"/>
    <w:rsid w:val="002D345C"/>
    <w:rsid w:val="002D350B"/>
    <w:rsid w:val="002D3593"/>
    <w:rsid w:val="002D3BE7"/>
    <w:rsid w:val="002D3CD5"/>
    <w:rsid w:val="002D4497"/>
    <w:rsid w:val="002D4C3F"/>
    <w:rsid w:val="002D4DA0"/>
    <w:rsid w:val="002D56A6"/>
    <w:rsid w:val="002D5E3A"/>
    <w:rsid w:val="002D5F00"/>
    <w:rsid w:val="002D638A"/>
    <w:rsid w:val="002D6456"/>
    <w:rsid w:val="002D68DA"/>
    <w:rsid w:val="002D708C"/>
    <w:rsid w:val="002D7143"/>
    <w:rsid w:val="002D7B5B"/>
    <w:rsid w:val="002D7F17"/>
    <w:rsid w:val="002E06C5"/>
    <w:rsid w:val="002E0B02"/>
    <w:rsid w:val="002E1821"/>
    <w:rsid w:val="002E1BC5"/>
    <w:rsid w:val="002E1BE2"/>
    <w:rsid w:val="002E1DA0"/>
    <w:rsid w:val="002E1E3C"/>
    <w:rsid w:val="002E1F36"/>
    <w:rsid w:val="002E2178"/>
    <w:rsid w:val="002E2421"/>
    <w:rsid w:val="002E2733"/>
    <w:rsid w:val="002E3222"/>
    <w:rsid w:val="002E3C57"/>
    <w:rsid w:val="002E466B"/>
    <w:rsid w:val="002E47C9"/>
    <w:rsid w:val="002E4B26"/>
    <w:rsid w:val="002E4D9F"/>
    <w:rsid w:val="002E579E"/>
    <w:rsid w:val="002E5934"/>
    <w:rsid w:val="002E598E"/>
    <w:rsid w:val="002E5C2B"/>
    <w:rsid w:val="002E5FAE"/>
    <w:rsid w:val="002E62EA"/>
    <w:rsid w:val="002E63F0"/>
    <w:rsid w:val="002E663C"/>
    <w:rsid w:val="002E6FC4"/>
    <w:rsid w:val="002E731C"/>
    <w:rsid w:val="002E7D5F"/>
    <w:rsid w:val="002F0206"/>
    <w:rsid w:val="002F0602"/>
    <w:rsid w:val="002F0629"/>
    <w:rsid w:val="002F138F"/>
    <w:rsid w:val="002F13A8"/>
    <w:rsid w:val="002F1D8B"/>
    <w:rsid w:val="002F3106"/>
    <w:rsid w:val="002F3465"/>
    <w:rsid w:val="002F34D8"/>
    <w:rsid w:val="002F3C36"/>
    <w:rsid w:val="002F3FD2"/>
    <w:rsid w:val="002F4C1D"/>
    <w:rsid w:val="002F4C9C"/>
    <w:rsid w:val="002F4DFA"/>
    <w:rsid w:val="002F54CE"/>
    <w:rsid w:val="002F5645"/>
    <w:rsid w:val="002F5DDA"/>
    <w:rsid w:val="002F6144"/>
    <w:rsid w:val="002F6257"/>
    <w:rsid w:val="002F6BC4"/>
    <w:rsid w:val="0030025D"/>
    <w:rsid w:val="00300534"/>
    <w:rsid w:val="003015A4"/>
    <w:rsid w:val="00301B1D"/>
    <w:rsid w:val="0030281F"/>
    <w:rsid w:val="00303759"/>
    <w:rsid w:val="00303BDA"/>
    <w:rsid w:val="00303F41"/>
    <w:rsid w:val="00304484"/>
    <w:rsid w:val="003047B7"/>
    <w:rsid w:val="0030511C"/>
    <w:rsid w:val="00305D56"/>
    <w:rsid w:val="00306679"/>
    <w:rsid w:val="00306689"/>
    <w:rsid w:val="00306FA6"/>
    <w:rsid w:val="003072D4"/>
    <w:rsid w:val="00307A78"/>
    <w:rsid w:val="00307DF1"/>
    <w:rsid w:val="0031059C"/>
    <w:rsid w:val="00310A96"/>
    <w:rsid w:val="00310C97"/>
    <w:rsid w:val="00310E9C"/>
    <w:rsid w:val="003111D1"/>
    <w:rsid w:val="003112FB"/>
    <w:rsid w:val="0031203E"/>
    <w:rsid w:val="00312E5F"/>
    <w:rsid w:val="00313068"/>
    <w:rsid w:val="003138B0"/>
    <w:rsid w:val="00313D10"/>
    <w:rsid w:val="003145BE"/>
    <w:rsid w:val="00314A1D"/>
    <w:rsid w:val="00315D49"/>
    <w:rsid w:val="00315D99"/>
    <w:rsid w:val="00316192"/>
    <w:rsid w:val="0031641C"/>
    <w:rsid w:val="00317CD0"/>
    <w:rsid w:val="003201FA"/>
    <w:rsid w:val="00320364"/>
    <w:rsid w:val="00321326"/>
    <w:rsid w:val="003214AE"/>
    <w:rsid w:val="003214CF"/>
    <w:rsid w:val="003220F0"/>
    <w:rsid w:val="003221A1"/>
    <w:rsid w:val="0032246D"/>
    <w:rsid w:val="0032291A"/>
    <w:rsid w:val="0032316B"/>
    <w:rsid w:val="0032328F"/>
    <w:rsid w:val="00323627"/>
    <w:rsid w:val="00323F22"/>
    <w:rsid w:val="00324225"/>
    <w:rsid w:val="00324348"/>
    <w:rsid w:val="0032442C"/>
    <w:rsid w:val="003245AA"/>
    <w:rsid w:val="00324673"/>
    <w:rsid w:val="00324D97"/>
    <w:rsid w:val="00324E22"/>
    <w:rsid w:val="00324E94"/>
    <w:rsid w:val="003256AC"/>
    <w:rsid w:val="003258B8"/>
    <w:rsid w:val="0032654B"/>
    <w:rsid w:val="00326750"/>
    <w:rsid w:val="00326A3F"/>
    <w:rsid w:val="00326DA3"/>
    <w:rsid w:val="0032713B"/>
    <w:rsid w:val="00327401"/>
    <w:rsid w:val="0033027B"/>
    <w:rsid w:val="00331184"/>
    <w:rsid w:val="00331276"/>
    <w:rsid w:val="003314D6"/>
    <w:rsid w:val="00331ADF"/>
    <w:rsid w:val="0033223C"/>
    <w:rsid w:val="0033368D"/>
    <w:rsid w:val="00333D22"/>
    <w:rsid w:val="003340F5"/>
    <w:rsid w:val="0033476F"/>
    <w:rsid w:val="00334AFE"/>
    <w:rsid w:val="0033627D"/>
    <w:rsid w:val="003378FC"/>
    <w:rsid w:val="003401C4"/>
    <w:rsid w:val="003402E6"/>
    <w:rsid w:val="003421C6"/>
    <w:rsid w:val="00342227"/>
    <w:rsid w:val="003425FF"/>
    <w:rsid w:val="00343464"/>
    <w:rsid w:val="00343A3D"/>
    <w:rsid w:val="00343C3C"/>
    <w:rsid w:val="00343E4F"/>
    <w:rsid w:val="00344CA7"/>
    <w:rsid w:val="00344EDD"/>
    <w:rsid w:val="00345295"/>
    <w:rsid w:val="00345440"/>
    <w:rsid w:val="00345E94"/>
    <w:rsid w:val="0034618E"/>
    <w:rsid w:val="00347001"/>
    <w:rsid w:val="00347711"/>
    <w:rsid w:val="00347CEF"/>
    <w:rsid w:val="00347F6F"/>
    <w:rsid w:val="00347FC7"/>
    <w:rsid w:val="003503B1"/>
    <w:rsid w:val="00350FEA"/>
    <w:rsid w:val="0035102C"/>
    <w:rsid w:val="00351B01"/>
    <w:rsid w:val="00351D29"/>
    <w:rsid w:val="0035205A"/>
    <w:rsid w:val="003521B0"/>
    <w:rsid w:val="003529B6"/>
    <w:rsid w:val="00352B6C"/>
    <w:rsid w:val="00352B94"/>
    <w:rsid w:val="00353CE4"/>
    <w:rsid w:val="00354601"/>
    <w:rsid w:val="00355480"/>
    <w:rsid w:val="00355865"/>
    <w:rsid w:val="0035638F"/>
    <w:rsid w:val="003566BB"/>
    <w:rsid w:val="003568F5"/>
    <w:rsid w:val="00356E0A"/>
    <w:rsid w:val="003576F5"/>
    <w:rsid w:val="003577F2"/>
    <w:rsid w:val="0036065A"/>
    <w:rsid w:val="003607C3"/>
    <w:rsid w:val="00360BAD"/>
    <w:rsid w:val="0036120A"/>
    <w:rsid w:val="003614C5"/>
    <w:rsid w:val="003615E8"/>
    <w:rsid w:val="0036188E"/>
    <w:rsid w:val="00361CC8"/>
    <w:rsid w:val="0036253C"/>
    <w:rsid w:val="00362940"/>
    <w:rsid w:val="00362B05"/>
    <w:rsid w:val="003632A6"/>
    <w:rsid w:val="0036344F"/>
    <w:rsid w:val="003634AA"/>
    <w:rsid w:val="00364245"/>
    <w:rsid w:val="00364D35"/>
    <w:rsid w:val="0036516B"/>
    <w:rsid w:val="00365988"/>
    <w:rsid w:val="00365E97"/>
    <w:rsid w:val="003660A7"/>
    <w:rsid w:val="00366563"/>
    <w:rsid w:val="00366E72"/>
    <w:rsid w:val="0036737E"/>
    <w:rsid w:val="0036774A"/>
    <w:rsid w:val="003701B1"/>
    <w:rsid w:val="00370690"/>
    <w:rsid w:val="003708CB"/>
    <w:rsid w:val="003708F4"/>
    <w:rsid w:val="0037100C"/>
    <w:rsid w:val="0037189A"/>
    <w:rsid w:val="003719E2"/>
    <w:rsid w:val="00371CB0"/>
    <w:rsid w:val="003721B3"/>
    <w:rsid w:val="00372484"/>
    <w:rsid w:val="00372491"/>
    <w:rsid w:val="003728C2"/>
    <w:rsid w:val="003731B7"/>
    <w:rsid w:val="00373241"/>
    <w:rsid w:val="0037345B"/>
    <w:rsid w:val="00373602"/>
    <w:rsid w:val="00373C60"/>
    <w:rsid w:val="0037486C"/>
    <w:rsid w:val="00375236"/>
    <w:rsid w:val="00375404"/>
    <w:rsid w:val="00375783"/>
    <w:rsid w:val="00375D62"/>
    <w:rsid w:val="0037657F"/>
    <w:rsid w:val="00376696"/>
    <w:rsid w:val="00376AB0"/>
    <w:rsid w:val="00380430"/>
    <w:rsid w:val="00380820"/>
    <w:rsid w:val="00380F21"/>
    <w:rsid w:val="003817F1"/>
    <w:rsid w:val="0038243A"/>
    <w:rsid w:val="003837A7"/>
    <w:rsid w:val="00383945"/>
    <w:rsid w:val="0038424C"/>
    <w:rsid w:val="003848FE"/>
    <w:rsid w:val="00384B67"/>
    <w:rsid w:val="003850D0"/>
    <w:rsid w:val="0038575B"/>
    <w:rsid w:val="003873C8"/>
    <w:rsid w:val="003877B1"/>
    <w:rsid w:val="00387C53"/>
    <w:rsid w:val="00391603"/>
    <w:rsid w:val="00391B20"/>
    <w:rsid w:val="00391EBB"/>
    <w:rsid w:val="00392726"/>
    <w:rsid w:val="00392997"/>
    <w:rsid w:val="00394419"/>
    <w:rsid w:val="003945DA"/>
    <w:rsid w:val="003946A7"/>
    <w:rsid w:val="00394818"/>
    <w:rsid w:val="00395558"/>
    <w:rsid w:val="0039661E"/>
    <w:rsid w:val="00396908"/>
    <w:rsid w:val="00396DB2"/>
    <w:rsid w:val="003970E4"/>
    <w:rsid w:val="003978BC"/>
    <w:rsid w:val="00397A82"/>
    <w:rsid w:val="00397EA4"/>
    <w:rsid w:val="003A0613"/>
    <w:rsid w:val="003A123A"/>
    <w:rsid w:val="003A1322"/>
    <w:rsid w:val="003A146A"/>
    <w:rsid w:val="003A1B2D"/>
    <w:rsid w:val="003A1C6A"/>
    <w:rsid w:val="003A25C4"/>
    <w:rsid w:val="003A3C3E"/>
    <w:rsid w:val="003A3C99"/>
    <w:rsid w:val="003A3D15"/>
    <w:rsid w:val="003A411E"/>
    <w:rsid w:val="003A42BB"/>
    <w:rsid w:val="003A4D09"/>
    <w:rsid w:val="003A4F08"/>
    <w:rsid w:val="003A4F5F"/>
    <w:rsid w:val="003A4FD7"/>
    <w:rsid w:val="003A509B"/>
    <w:rsid w:val="003A50A9"/>
    <w:rsid w:val="003A5BE1"/>
    <w:rsid w:val="003A608A"/>
    <w:rsid w:val="003A6908"/>
    <w:rsid w:val="003A6E5C"/>
    <w:rsid w:val="003A71B5"/>
    <w:rsid w:val="003A7213"/>
    <w:rsid w:val="003A7704"/>
    <w:rsid w:val="003A78A9"/>
    <w:rsid w:val="003A7AEE"/>
    <w:rsid w:val="003B03DA"/>
    <w:rsid w:val="003B0684"/>
    <w:rsid w:val="003B098D"/>
    <w:rsid w:val="003B1E94"/>
    <w:rsid w:val="003B1FA2"/>
    <w:rsid w:val="003B21E2"/>
    <w:rsid w:val="003B2841"/>
    <w:rsid w:val="003B2EA3"/>
    <w:rsid w:val="003B30CC"/>
    <w:rsid w:val="003B3BD0"/>
    <w:rsid w:val="003B3CA5"/>
    <w:rsid w:val="003B3CA9"/>
    <w:rsid w:val="003B3E79"/>
    <w:rsid w:val="003B3F5C"/>
    <w:rsid w:val="003B4382"/>
    <w:rsid w:val="003B4AAE"/>
    <w:rsid w:val="003B4E9E"/>
    <w:rsid w:val="003B50E9"/>
    <w:rsid w:val="003B5429"/>
    <w:rsid w:val="003B595C"/>
    <w:rsid w:val="003B5A03"/>
    <w:rsid w:val="003B5D35"/>
    <w:rsid w:val="003B6F8C"/>
    <w:rsid w:val="003C194F"/>
    <w:rsid w:val="003C27F7"/>
    <w:rsid w:val="003C3429"/>
    <w:rsid w:val="003C4107"/>
    <w:rsid w:val="003C41F0"/>
    <w:rsid w:val="003C4391"/>
    <w:rsid w:val="003C4921"/>
    <w:rsid w:val="003C523E"/>
    <w:rsid w:val="003C5624"/>
    <w:rsid w:val="003C5ED0"/>
    <w:rsid w:val="003C63DB"/>
    <w:rsid w:val="003C6B6F"/>
    <w:rsid w:val="003C6D66"/>
    <w:rsid w:val="003C6E1B"/>
    <w:rsid w:val="003C70C5"/>
    <w:rsid w:val="003C73D0"/>
    <w:rsid w:val="003C7AFE"/>
    <w:rsid w:val="003D03B3"/>
    <w:rsid w:val="003D048A"/>
    <w:rsid w:val="003D0500"/>
    <w:rsid w:val="003D051E"/>
    <w:rsid w:val="003D063D"/>
    <w:rsid w:val="003D0802"/>
    <w:rsid w:val="003D0E10"/>
    <w:rsid w:val="003D1778"/>
    <w:rsid w:val="003D1BDB"/>
    <w:rsid w:val="003D2478"/>
    <w:rsid w:val="003D29F3"/>
    <w:rsid w:val="003D2E88"/>
    <w:rsid w:val="003D39F6"/>
    <w:rsid w:val="003D3E94"/>
    <w:rsid w:val="003D42AF"/>
    <w:rsid w:val="003D4FDE"/>
    <w:rsid w:val="003D6561"/>
    <w:rsid w:val="003D6A51"/>
    <w:rsid w:val="003D6C0D"/>
    <w:rsid w:val="003D7AFA"/>
    <w:rsid w:val="003D7BDA"/>
    <w:rsid w:val="003D7ED0"/>
    <w:rsid w:val="003E00FB"/>
    <w:rsid w:val="003E015B"/>
    <w:rsid w:val="003E03B8"/>
    <w:rsid w:val="003E13AA"/>
    <w:rsid w:val="003E18CC"/>
    <w:rsid w:val="003E1BD7"/>
    <w:rsid w:val="003E2EBD"/>
    <w:rsid w:val="003E32DB"/>
    <w:rsid w:val="003E338B"/>
    <w:rsid w:val="003E453E"/>
    <w:rsid w:val="003E5663"/>
    <w:rsid w:val="003E5AEE"/>
    <w:rsid w:val="003E5F9A"/>
    <w:rsid w:val="003E604D"/>
    <w:rsid w:val="003E724D"/>
    <w:rsid w:val="003E7366"/>
    <w:rsid w:val="003E7E2E"/>
    <w:rsid w:val="003F00A1"/>
    <w:rsid w:val="003F0F72"/>
    <w:rsid w:val="003F13FD"/>
    <w:rsid w:val="003F14D7"/>
    <w:rsid w:val="003F164F"/>
    <w:rsid w:val="003F186A"/>
    <w:rsid w:val="003F217C"/>
    <w:rsid w:val="003F223A"/>
    <w:rsid w:val="003F241C"/>
    <w:rsid w:val="003F2EE7"/>
    <w:rsid w:val="003F31C0"/>
    <w:rsid w:val="003F368E"/>
    <w:rsid w:val="003F3C23"/>
    <w:rsid w:val="003F40C8"/>
    <w:rsid w:val="003F413E"/>
    <w:rsid w:val="003F414E"/>
    <w:rsid w:val="003F4740"/>
    <w:rsid w:val="003F5078"/>
    <w:rsid w:val="003F5481"/>
    <w:rsid w:val="003F56A5"/>
    <w:rsid w:val="003F5E1B"/>
    <w:rsid w:val="003F60AF"/>
    <w:rsid w:val="003F623F"/>
    <w:rsid w:val="003F6B72"/>
    <w:rsid w:val="003F75D2"/>
    <w:rsid w:val="004016EA"/>
    <w:rsid w:val="00402743"/>
    <w:rsid w:val="0040307F"/>
    <w:rsid w:val="00403147"/>
    <w:rsid w:val="00403610"/>
    <w:rsid w:val="00403C1B"/>
    <w:rsid w:val="00403EB2"/>
    <w:rsid w:val="00404537"/>
    <w:rsid w:val="00405378"/>
    <w:rsid w:val="00405F02"/>
    <w:rsid w:val="00406805"/>
    <w:rsid w:val="00406A3C"/>
    <w:rsid w:val="00406D48"/>
    <w:rsid w:val="00406DE6"/>
    <w:rsid w:val="00406E5C"/>
    <w:rsid w:val="00407B1A"/>
    <w:rsid w:val="00410047"/>
    <w:rsid w:val="00410314"/>
    <w:rsid w:val="004105CA"/>
    <w:rsid w:val="0041060F"/>
    <w:rsid w:val="00411698"/>
    <w:rsid w:val="00411838"/>
    <w:rsid w:val="00411FBD"/>
    <w:rsid w:val="0041286B"/>
    <w:rsid w:val="00412ACC"/>
    <w:rsid w:val="00412E7E"/>
    <w:rsid w:val="00413EAB"/>
    <w:rsid w:val="0041433D"/>
    <w:rsid w:val="004145A2"/>
    <w:rsid w:val="004145E8"/>
    <w:rsid w:val="0041460C"/>
    <w:rsid w:val="00414BDA"/>
    <w:rsid w:val="00414D7F"/>
    <w:rsid w:val="00415151"/>
    <w:rsid w:val="004153BD"/>
    <w:rsid w:val="00416064"/>
    <w:rsid w:val="0041730A"/>
    <w:rsid w:val="004204E3"/>
    <w:rsid w:val="00420A35"/>
    <w:rsid w:val="00421083"/>
    <w:rsid w:val="004214C4"/>
    <w:rsid w:val="0042171A"/>
    <w:rsid w:val="0042226D"/>
    <w:rsid w:val="0042265B"/>
    <w:rsid w:val="00422F34"/>
    <w:rsid w:val="0042357D"/>
    <w:rsid w:val="00423DAF"/>
    <w:rsid w:val="004241B3"/>
    <w:rsid w:val="00424F92"/>
    <w:rsid w:val="0042597F"/>
    <w:rsid w:val="0042600F"/>
    <w:rsid w:val="004265F7"/>
    <w:rsid w:val="0042676E"/>
    <w:rsid w:val="00426B7B"/>
    <w:rsid w:val="00427E35"/>
    <w:rsid w:val="0043023B"/>
    <w:rsid w:val="00431377"/>
    <w:rsid w:val="004318A8"/>
    <w:rsid w:val="004323A2"/>
    <w:rsid w:val="00433E00"/>
    <w:rsid w:val="00434624"/>
    <w:rsid w:val="00434636"/>
    <w:rsid w:val="00434A0C"/>
    <w:rsid w:val="00434D20"/>
    <w:rsid w:val="00434F8E"/>
    <w:rsid w:val="00435051"/>
    <w:rsid w:val="00436105"/>
    <w:rsid w:val="00436DDA"/>
    <w:rsid w:val="00436E71"/>
    <w:rsid w:val="004370E7"/>
    <w:rsid w:val="004371D8"/>
    <w:rsid w:val="00437261"/>
    <w:rsid w:val="00440282"/>
    <w:rsid w:val="004404C6"/>
    <w:rsid w:val="004416E8"/>
    <w:rsid w:val="004419E9"/>
    <w:rsid w:val="00441A4D"/>
    <w:rsid w:val="00441E37"/>
    <w:rsid w:val="0044304B"/>
    <w:rsid w:val="004435BD"/>
    <w:rsid w:val="00443D5F"/>
    <w:rsid w:val="00443DE5"/>
    <w:rsid w:val="00444293"/>
    <w:rsid w:val="00444657"/>
    <w:rsid w:val="00444C27"/>
    <w:rsid w:val="004450A3"/>
    <w:rsid w:val="004452F1"/>
    <w:rsid w:val="00445481"/>
    <w:rsid w:val="004457B0"/>
    <w:rsid w:val="00445F84"/>
    <w:rsid w:val="004461B8"/>
    <w:rsid w:val="00446A1F"/>
    <w:rsid w:val="00446B2B"/>
    <w:rsid w:val="00446F6B"/>
    <w:rsid w:val="004471FD"/>
    <w:rsid w:val="00447840"/>
    <w:rsid w:val="00447A73"/>
    <w:rsid w:val="004502C4"/>
    <w:rsid w:val="004507D9"/>
    <w:rsid w:val="00450C11"/>
    <w:rsid w:val="00450EF9"/>
    <w:rsid w:val="00450F44"/>
    <w:rsid w:val="00451543"/>
    <w:rsid w:val="00451B54"/>
    <w:rsid w:val="00451E6A"/>
    <w:rsid w:val="00451E7A"/>
    <w:rsid w:val="00452D23"/>
    <w:rsid w:val="00453063"/>
    <w:rsid w:val="00453BCA"/>
    <w:rsid w:val="004545B3"/>
    <w:rsid w:val="00455123"/>
    <w:rsid w:val="004553BE"/>
    <w:rsid w:val="004555E6"/>
    <w:rsid w:val="00455899"/>
    <w:rsid w:val="00455EEF"/>
    <w:rsid w:val="0045630C"/>
    <w:rsid w:val="00456915"/>
    <w:rsid w:val="00456A8A"/>
    <w:rsid w:val="00457530"/>
    <w:rsid w:val="00457A22"/>
    <w:rsid w:val="00457E65"/>
    <w:rsid w:val="00457F6E"/>
    <w:rsid w:val="00460B24"/>
    <w:rsid w:val="00460E12"/>
    <w:rsid w:val="00460ECE"/>
    <w:rsid w:val="00460F6D"/>
    <w:rsid w:val="00461E9E"/>
    <w:rsid w:val="00461EDB"/>
    <w:rsid w:val="00462105"/>
    <w:rsid w:val="004622DC"/>
    <w:rsid w:val="00462780"/>
    <w:rsid w:val="004632B4"/>
    <w:rsid w:val="0046359F"/>
    <w:rsid w:val="00463626"/>
    <w:rsid w:val="00463DF6"/>
    <w:rsid w:val="00464B39"/>
    <w:rsid w:val="00464F42"/>
    <w:rsid w:val="00465136"/>
    <w:rsid w:val="0046520A"/>
    <w:rsid w:val="00465638"/>
    <w:rsid w:val="0046629F"/>
    <w:rsid w:val="00467159"/>
    <w:rsid w:val="0046731E"/>
    <w:rsid w:val="0046754E"/>
    <w:rsid w:val="00467652"/>
    <w:rsid w:val="004678E4"/>
    <w:rsid w:val="0046795F"/>
    <w:rsid w:val="00467F95"/>
    <w:rsid w:val="00470A2D"/>
    <w:rsid w:val="00470ADF"/>
    <w:rsid w:val="0047134A"/>
    <w:rsid w:val="004721DE"/>
    <w:rsid w:val="00472873"/>
    <w:rsid w:val="00473309"/>
    <w:rsid w:val="004738F1"/>
    <w:rsid w:val="0047398A"/>
    <w:rsid w:val="00473B85"/>
    <w:rsid w:val="00473BEE"/>
    <w:rsid w:val="00473E2C"/>
    <w:rsid w:val="00474143"/>
    <w:rsid w:val="00474248"/>
    <w:rsid w:val="004749FB"/>
    <w:rsid w:val="00474E8D"/>
    <w:rsid w:val="00475963"/>
    <w:rsid w:val="00476F2C"/>
    <w:rsid w:val="0047702F"/>
    <w:rsid w:val="00477138"/>
    <w:rsid w:val="00477FC0"/>
    <w:rsid w:val="0048068E"/>
    <w:rsid w:val="0048081A"/>
    <w:rsid w:val="00480909"/>
    <w:rsid w:val="004814F6"/>
    <w:rsid w:val="0048159E"/>
    <w:rsid w:val="00481E6E"/>
    <w:rsid w:val="0048236A"/>
    <w:rsid w:val="004824F5"/>
    <w:rsid w:val="00482B0F"/>
    <w:rsid w:val="00482CE3"/>
    <w:rsid w:val="00482D7E"/>
    <w:rsid w:val="00483530"/>
    <w:rsid w:val="00483CA0"/>
    <w:rsid w:val="00483D36"/>
    <w:rsid w:val="0048452D"/>
    <w:rsid w:val="004846E1"/>
    <w:rsid w:val="004847ED"/>
    <w:rsid w:val="00485668"/>
    <w:rsid w:val="004856A4"/>
    <w:rsid w:val="00485A3B"/>
    <w:rsid w:val="00485FDA"/>
    <w:rsid w:val="00486075"/>
    <w:rsid w:val="0048651A"/>
    <w:rsid w:val="00486A3B"/>
    <w:rsid w:val="00486AF1"/>
    <w:rsid w:val="00486CC2"/>
    <w:rsid w:val="00486DBC"/>
    <w:rsid w:val="00486FC5"/>
    <w:rsid w:val="0048738D"/>
    <w:rsid w:val="00487450"/>
    <w:rsid w:val="00487806"/>
    <w:rsid w:val="004879D4"/>
    <w:rsid w:val="00490089"/>
    <w:rsid w:val="0049018E"/>
    <w:rsid w:val="0049069D"/>
    <w:rsid w:val="00490720"/>
    <w:rsid w:val="00490DC9"/>
    <w:rsid w:val="0049126D"/>
    <w:rsid w:val="0049193D"/>
    <w:rsid w:val="00491B65"/>
    <w:rsid w:val="00491CD7"/>
    <w:rsid w:val="00491E5D"/>
    <w:rsid w:val="0049212D"/>
    <w:rsid w:val="00492680"/>
    <w:rsid w:val="00492873"/>
    <w:rsid w:val="00492B9B"/>
    <w:rsid w:val="00492F4F"/>
    <w:rsid w:val="0049306D"/>
    <w:rsid w:val="00493466"/>
    <w:rsid w:val="00493AB1"/>
    <w:rsid w:val="00493BF0"/>
    <w:rsid w:val="00493CB7"/>
    <w:rsid w:val="00493EFA"/>
    <w:rsid w:val="00494ABB"/>
    <w:rsid w:val="00495E25"/>
    <w:rsid w:val="00495EA3"/>
    <w:rsid w:val="004960EA"/>
    <w:rsid w:val="0049622B"/>
    <w:rsid w:val="00496343"/>
    <w:rsid w:val="0049662A"/>
    <w:rsid w:val="004966A9"/>
    <w:rsid w:val="00496FA0"/>
    <w:rsid w:val="00497064"/>
    <w:rsid w:val="004974B8"/>
    <w:rsid w:val="00497799"/>
    <w:rsid w:val="00497B69"/>
    <w:rsid w:val="004A0233"/>
    <w:rsid w:val="004A3B0E"/>
    <w:rsid w:val="004A3DFB"/>
    <w:rsid w:val="004A48C8"/>
    <w:rsid w:val="004A4C28"/>
    <w:rsid w:val="004A4D42"/>
    <w:rsid w:val="004A55BE"/>
    <w:rsid w:val="004A5686"/>
    <w:rsid w:val="004A598E"/>
    <w:rsid w:val="004A702C"/>
    <w:rsid w:val="004A73F5"/>
    <w:rsid w:val="004A7AEE"/>
    <w:rsid w:val="004A7AFC"/>
    <w:rsid w:val="004B0841"/>
    <w:rsid w:val="004B1CC5"/>
    <w:rsid w:val="004B22D7"/>
    <w:rsid w:val="004B22E1"/>
    <w:rsid w:val="004B38F3"/>
    <w:rsid w:val="004B39B8"/>
    <w:rsid w:val="004B3CC9"/>
    <w:rsid w:val="004B3CFA"/>
    <w:rsid w:val="004B451F"/>
    <w:rsid w:val="004B45B5"/>
    <w:rsid w:val="004B4C40"/>
    <w:rsid w:val="004B4FD8"/>
    <w:rsid w:val="004B53C4"/>
    <w:rsid w:val="004B5C2D"/>
    <w:rsid w:val="004B5E79"/>
    <w:rsid w:val="004B5F19"/>
    <w:rsid w:val="004B6B2D"/>
    <w:rsid w:val="004B6D8F"/>
    <w:rsid w:val="004B6EDD"/>
    <w:rsid w:val="004B7638"/>
    <w:rsid w:val="004B7A03"/>
    <w:rsid w:val="004B7DEA"/>
    <w:rsid w:val="004C045F"/>
    <w:rsid w:val="004C086D"/>
    <w:rsid w:val="004C0E29"/>
    <w:rsid w:val="004C2796"/>
    <w:rsid w:val="004C2BAB"/>
    <w:rsid w:val="004C3549"/>
    <w:rsid w:val="004C3A9F"/>
    <w:rsid w:val="004C41EB"/>
    <w:rsid w:val="004C4DF9"/>
    <w:rsid w:val="004C4E7A"/>
    <w:rsid w:val="004C52B3"/>
    <w:rsid w:val="004C58AA"/>
    <w:rsid w:val="004C5FB7"/>
    <w:rsid w:val="004C6099"/>
    <w:rsid w:val="004C64E7"/>
    <w:rsid w:val="004C6A34"/>
    <w:rsid w:val="004C6F79"/>
    <w:rsid w:val="004C6F9E"/>
    <w:rsid w:val="004C72E1"/>
    <w:rsid w:val="004C7617"/>
    <w:rsid w:val="004C77A6"/>
    <w:rsid w:val="004D164F"/>
    <w:rsid w:val="004D20B5"/>
    <w:rsid w:val="004D20DE"/>
    <w:rsid w:val="004D316C"/>
    <w:rsid w:val="004D33D7"/>
    <w:rsid w:val="004D3951"/>
    <w:rsid w:val="004D3AF9"/>
    <w:rsid w:val="004D4128"/>
    <w:rsid w:val="004D4C1F"/>
    <w:rsid w:val="004D4E5D"/>
    <w:rsid w:val="004D525F"/>
    <w:rsid w:val="004D526B"/>
    <w:rsid w:val="004D53BF"/>
    <w:rsid w:val="004D53D5"/>
    <w:rsid w:val="004D5561"/>
    <w:rsid w:val="004D56CD"/>
    <w:rsid w:val="004D5E58"/>
    <w:rsid w:val="004D5EA7"/>
    <w:rsid w:val="004D6433"/>
    <w:rsid w:val="004D6444"/>
    <w:rsid w:val="004D6DCA"/>
    <w:rsid w:val="004D732D"/>
    <w:rsid w:val="004D7CAD"/>
    <w:rsid w:val="004E03DE"/>
    <w:rsid w:val="004E09A7"/>
    <w:rsid w:val="004E1E3E"/>
    <w:rsid w:val="004E1FF9"/>
    <w:rsid w:val="004E2C1F"/>
    <w:rsid w:val="004E32A8"/>
    <w:rsid w:val="004E349A"/>
    <w:rsid w:val="004E3AC3"/>
    <w:rsid w:val="004E3B7F"/>
    <w:rsid w:val="004E3FFF"/>
    <w:rsid w:val="004E40CA"/>
    <w:rsid w:val="004E468B"/>
    <w:rsid w:val="004E4A0A"/>
    <w:rsid w:val="004E4DD1"/>
    <w:rsid w:val="004E538C"/>
    <w:rsid w:val="004E5D70"/>
    <w:rsid w:val="004E64CF"/>
    <w:rsid w:val="004E6600"/>
    <w:rsid w:val="004E6EEF"/>
    <w:rsid w:val="004E6F58"/>
    <w:rsid w:val="004E787F"/>
    <w:rsid w:val="004E7A50"/>
    <w:rsid w:val="004F098C"/>
    <w:rsid w:val="004F0A3C"/>
    <w:rsid w:val="004F0A9F"/>
    <w:rsid w:val="004F0C3E"/>
    <w:rsid w:val="004F0C9A"/>
    <w:rsid w:val="004F0CDF"/>
    <w:rsid w:val="004F0D5F"/>
    <w:rsid w:val="004F0E97"/>
    <w:rsid w:val="004F0EA3"/>
    <w:rsid w:val="004F0FC8"/>
    <w:rsid w:val="004F13FE"/>
    <w:rsid w:val="004F1AA1"/>
    <w:rsid w:val="004F1BED"/>
    <w:rsid w:val="004F37F2"/>
    <w:rsid w:val="004F385C"/>
    <w:rsid w:val="004F3896"/>
    <w:rsid w:val="004F3FC8"/>
    <w:rsid w:val="004F4555"/>
    <w:rsid w:val="004F4E9A"/>
    <w:rsid w:val="004F4F66"/>
    <w:rsid w:val="004F53EB"/>
    <w:rsid w:val="004F54B9"/>
    <w:rsid w:val="004F5BDD"/>
    <w:rsid w:val="004F60BE"/>
    <w:rsid w:val="004F6313"/>
    <w:rsid w:val="004F666C"/>
    <w:rsid w:val="004F66C9"/>
    <w:rsid w:val="004F79CA"/>
    <w:rsid w:val="004F79F3"/>
    <w:rsid w:val="004F7EFD"/>
    <w:rsid w:val="00500015"/>
    <w:rsid w:val="00500C41"/>
    <w:rsid w:val="00500D41"/>
    <w:rsid w:val="005015D2"/>
    <w:rsid w:val="005015E9"/>
    <w:rsid w:val="00501D67"/>
    <w:rsid w:val="0050205B"/>
    <w:rsid w:val="0050239D"/>
    <w:rsid w:val="005026C2"/>
    <w:rsid w:val="00502A51"/>
    <w:rsid w:val="00502A73"/>
    <w:rsid w:val="005031EC"/>
    <w:rsid w:val="0050349C"/>
    <w:rsid w:val="005035C5"/>
    <w:rsid w:val="00503C79"/>
    <w:rsid w:val="00503CD4"/>
    <w:rsid w:val="00503EA6"/>
    <w:rsid w:val="00504588"/>
    <w:rsid w:val="0050468F"/>
    <w:rsid w:val="00504D5C"/>
    <w:rsid w:val="00504FCD"/>
    <w:rsid w:val="00505BD2"/>
    <w:rsid w:val="00506289"/>
    <w:rsid w:val="00506335"/>
    <w:rsid w:val="0050642E"/>
    <w:rsid w:val="0050697E"/>
    <w:rsid w:val="00506CAD"/>
    <w:rsid w:val="00506E65"/>
    <w:rsid w:val="00510CCB"/>
    <w:rsid w:val="00510EA7"/>
    <w:rsid w:val="00510FB5"/>
    <w:rsid w:val="00511309"/>
    <w:rsid w:val="00512208"/>
    <w:rsid w:val="00512668"/>
    <w:rsid w:val="005126F3"/>
    <w:rsid w:val="00512C85"/>
    <w:rsid w:val="00512E1E"/>
    <w:rsid w:val="0051368F"/>
    <w:rsid w:val="00513B60"/>
    <w:rsid w:val="00514226"/>
    <w:rsid w:val="005149EF"/>
    <w:rsid w:val="0051530E"/>
    <w:rsid w:val="0051580B"/>
    <w:rsid w:val="00515FCB"/>
    <w:rsid w:val="00516771"/>
    <w:rsid w:val="005167D4"/>
    <w:rsid w:val="00516B09"/>
    <w:rsid w:val="005179AF"/>
    <w:rsid w:val="00517AC8"/>
    <w:rsid w:val="005205E2"/>
    <w:rsid w:val="005207FF"/>
    <w:rsid w:val="005209CF"/>
    <w:rsid w:val="00520AE1"/>
    <w:rsid w:val="00520C10"/>
    <w:rsid w:val="00520D0A"/>
    <w:rsid w:val="005211B1"/>
    <w:rsid w:val="00521222"/>
    <w:rsid w:val="0052153C"/>
    <w:rsid w:val="00521ED8"/>
    <w:rsid w:val="0052299F"/>
    <w:rsid w:val="00522C9C"/>
    <w:rsid w:val="00523420"/>
    <w:rsid w:val="00523463"/>
    <w:rsid w:val="005236C4"/>
    <w:rsid w:val="00523F7E"/>
    <w:rsid w:val="0052406A"/>
    <w:rsid w:val="005243BC"/>
    <w:rsid w:val="0052459E"/>
    <w:rsid w:val="00524980"/>
    <w:rsid w:val="00524A2F"/>
    <w:rsid w:val="00524A7D"/>
    <w:rsid w:val="00524BE8"/>
    <w:rsid w:val="00525997"/>
    <w:rsid w:val="00525FF2"/>
    <w:rsid w:val="005260EB"/>
    <w:rsid w:val="005265B0"/>
    <w:rsid w:val="00526881"/>
    <w:rsid w:val="0052697B"/>
    <w:rsid w:val="005274DE"/>
    <w:rsid w:val="005275FC"/>
    <w:rsid w:val="005278B5"/>
    <w:rsid w:val="005305F6"/>
    <w:rsid w:val="00530AD3"/>
    <w:rsid w:val="00531508"/>
    <w:rsid w:val="0053173D"/>
    <w:rsid w:val="005319E5"/>
    <w:rsid w:val="00531A38"/>
    <w:rsid w:val="00531FB5"/>
    <w:rsid w:val="00532D2D"/>
    <w:rsid w:val="00533620"/>
    <w:rsid w:val="005339CD"/>
    <w:rsid w:val="00533B34"/>
    <w:rsid w:val="00534AF9"/>
    <w:rsid w:val="00534C0A"/>
    <w:rsid w:val="00534E32"/>
    <w:rsid w:val="00535041"/>
    <w:rsid w:val="0053524D"/>
    <w:rsid w:val="0053531C"/>
    <w:rsid w:val="00535323"/>
    <w:rsid w:val="005354F6"/>
    <w:rsid w:val="00535870"/>
    <w:rsid w:val="00535B79"/>
    <w:rsid w:val="00535C23"/>
    <w:rsid w:val="00535FC7"/>
    <w:rsid w:val="00536358"/>
    <w:rsid w:val="00536568"/>
    <w:rsid w:val="00536A74"/>
    <w:rsid w:val="0053732B"/>
    <w:rsid w:val="00537BB1"/>
    <w:rsid w:val="0054020C"/>
    <w:rsid w:val="0054102E"/>
    <w:rsid w:val="005411B4"/>
    <w:rsid w:val="00543720"/>
    <w:rsid w:val="00544185"/>
    <w:rsid w:val="005447F4"/>
    <w:rsid w:val="00544EAE"/>
    <w:rsid w:val="0054522C"/>
    <w:rsid w:val="00545D1D"/>
    <w:rsid w:val="00545D95"/>
    <w:rsid w:val="005461B9"/>
    <w:rsid w:val="00546778"/>
    <w:rsid w:val="005469BD"/>
    <w:rsid w:val="00546D62"/>
    <w:rsid w:val="005473CB"/>
    <w:rsid w:val="005475D6"/>
    <w:rsid w:val="005478A5"/>
    <w:rsid w:val="00547CCD"/>
    <w:rsid w:val="00547DB6"/>
    <w:rsid w:val="00550095"/>
    <w:rsid w:val="0055067D"/>
    <w:rsid w:val="005508A5"/>
    <w:rsid w:val="0055091C"/>
    <w:rsid w:val="00550F69"/>
    <w:rsid w:val="005510A9"/>
    <w:rsid w:val="00551CA5"/>
    <w:rsid w:val="0055258C"/>
    <w:rsid w:val="00553836"/>
    <w:rsid w:val="00554272"/>
    <w:rsid w:val="00554286"/>
    <w:rsid w:val="00554BFA"/>
    <w:rsid w:val="00554D2C"/>
    <w:rsid w:val="0055526C"/>
    <w:rsid w:val="005556D8"/>
    <w:rsid w:val="00555B3A"/>
    <w:rsid w:val="00556122"/>
    <w:rsid w:val="0055633A"/>
    <w:rsid w:val="00556539"/>
    <w:rsid w:val="00556FED"/>
    <w:rsid w:val="0055734A"/>
    <w:rsid w:val="00557DED"/>
    <w:rsid w:val="00557FA1"/>
    <w:rsid w:val="005609F4"/>
    <w:rsid w:val="00560AC5"/>
    <w:rsid w:val="0056106E"/>
    <w:rsid w:val="005629A6"/>
    <w:rsid w:val="00563D4D"/>
    <w:rsid w:val="00563DE7"/>
    <w:rsid w:val="0056413A"/>
    <w:rsid w:val="00565539"/>
    <w:rsid w:val="00565809"/>
    <w:rsid w:val="00565BA2"/>
    <w:rsid w:val="00565EE8"/>
    <w:rsid w:val="00566177"/>
    <w:rsid w:val="00566237"/>
    <w:rsid w:val="00566598"/>
    <w:rsid w:val="00566A00"/>
    <w:rsid w:val="00566AA6"/>
    <w:rsid w:val="00566AC0"/>
    <w:rsid w:val="00566CD3"/>
    <w:rsid w:val="00566CE3"/>
    <w:rsid w:val="00566D36"/>
    <w:rsid w:val="00566FD9"/>
    <w:rsid w:val="00567949"/>
    <w:rsid w:val="005700F8"/>
    <w:rsid w:val="00570DEA"/>
    <w:rsid w:val="00571254"/>
    <w:rsid w:val="00571C7F"/>
    <w:rsid w:val="00571D4F"/>
    <w:rsid w:val="00573573"/>
    <w:rsid w:val="00573AE8"/>
    <w:rsid w:val="00573BA8"/>
    <w:rsid w:val="00573DBD"/>
    <w:rsid w:val="00573E93"/>
    <w:rsid w:val="00574131"/>
    <w:rsid w:val="005744DD"/>
    <w:rsid w:val="005747E7"/>
    <w:rsid w:val="005751BD"/>
    <w:rsid w:val="005757B9"/>
    <w:rsid w:val="005757D0"/>
    <w:rsid w:val="00575C51"/>
    <w:rsid w:val="00575F25"/>
    <w:rsid w:val="00576632"/>
    <w:rsid w:val="00576878"/>
    <w:rsid w:val="00576AA2"/>
    <w:rsid w:val="005771D3"/>
    <w:rsid w:val="005775B5"/>
    <w:rsid w:val="00577723"/>
    <w:rsid w:val="005777AA"/>
    <w:rsid w:val="005778AE"/>
    <w:rsid w:val="00577A28"/>
    <w:rsid w:val="00577A60"/>
    <w:rsid w:val="00577F4B"/>
    <w:rsid w:val="00580028"/>
    <w:rsid w:val="00580044"/>
    <w:rsid w:val="005803BC"/>
    <w:rsid w:val="005803D2"/>
    <w:rsid w:val="0058101A"/>
    <w:rsid w:val="00581584"/>
    <w:rsid w:val="0058195C"/>
    <w:rsid w:val="00582C62"/>
    <w:rsid w:val="0058341E"/>
    <w:rsid w:val="00583F6E"/>
    <w:rsid w:val="0058440A"/>
    <w:rsid w:val="00584C0B"/>
    <w:rsid w:val="005850E8"/>
    <w:rsid w:val="00585A13"/>
    <w:rsid w:val="00585BAB"/>
    <w:rsid w:val="005861DD"/>
    <w:rsid w:val="005869CD"/>
    <w:rsid w:val="00586BA4"/>
    <w:rsid w:val="00586F62"/>
    <w:rsid w:val="00587D0A"/>
    <w:rsid w:val="00590D96"/>
    <w:rsid w:val="00590F36"/>
    <w:rsid w:val="00591130"/>
    <w:rsid w:val="00591226"/>
    <w:rsid w:val="0059143E"/>
    <w:rsid w:val="00591553"/>
    <w:rsid w:val="00592A9B"/>
    <w:rsid w:val="00592E97"/>
    <w:rsid w:val="00593431"/>
    <w:rsid w:val="00594141"/>
    <w:rsid w:val="00594F69"/>
    <w:rsid w:val="005950AD"/>
    <w:rsid w:val="00595718"/>
    <w:rsid w:val="00595CC2"/>
    <w:rsid w:val="0059664B"/>
    <w:rsid w:val="0059685E"/>
    <w:rsid w:val="00596C73"/>
    <w:rsid w:val="00596DE8"/>
    <w:rsid w:val="00597B6A"/>
    <w:rsid w:val="005A052F"/>
    <w:rsid w:val="005A0736"/>
    <w:rsid w:val="005A2372"/>
    <w:rsid w:val="005A495A"/>
    <w:rsid w:val="005A4C74"/>
    <w:rsid w:val="005A4CCB"/>
    <w:rsid w:val="005A4DB2"/>
    <w:rsid w:val="005A4E52"/>
    <w:rsid w:val="005A4ECE"/>
    <w:rsid w:val="005A5273"/>
    <w:rsid w:val="005A6FDF"/>
    <w:rsid w:val="005A7736"/>
    <w:rsid w:val="005A7F2B"/>
    <w:rsid w:val="005B0225"/>
    <w:rsid w:val="005B05DD"/>
    <w:rsid w:val="005B05FE"/>
    <w:rsid w:val="005B094F"/>
    <w:rsid w:val="005B0BD7"/>
    <w:rsid w:val="005B136E"/>
    <w:rsid w:val="005B152D"/>
    <w:rsid w:val="005B1C1C"/>
    <w:rsid w:val="005B1DD4"/>
    <w:rsid w:val="005B2A83"/>
    <w:rsid w:val="005B367E"/>
    <w:rsid w:val="005B3D48"/>
    <w:rsid w:val="005B4027"/>
    <w:rsid w:val="005B4294"/>
    <w:rsid w:val="005B46B2"/>
    <w:rsid w:val="005B4D1F"/>
    <w:rsid w:val="005B4DD8"/>
    <w:rsid w:val="005B5333"/>
    <w:rsid w:val="005B56B6"/>
    <w:rsid w:val="005B5990"/>
    <w:rsid w:val="005B6D57"/>
    <w:rsid w:val="005B7049"/>
    <w:rsid w:val="005B758E"/>
    <w:rsid w:val="005B7F73"/>
    <w:rsid w:val="005C0117"/>
    <w:rsid w:val="005C04C4"/>
    <w:rsid w:val="005C0CA2"/>
    <w:rsid w:val="005C0EBF"/>
    <w:rsid w:val="005C0F08"/>
    <w:rsid w:val="005C1AA2"/>
    <w:rsid w:val="005C3343"/>
    <w:rsid w:val="005C5132"/>
    <w:rsid w:val="005C5B47"/>
    <w:rsid w:val="005C5C67"/>
    <w:rsid w:val="005C5F39"/>
    <w:rsid w:val="005C67A4"/>
    <w:rsid w:val="005C6877"/>
    <w:rsid w:val="005C73F0"/>
    <w:rsid w:val="005C7480"/>
    <w:rsid w:val="005D02B4"/>
    <w:rsid w:val="005D095C"/>
    <w:rsid w:val="005D135B"/>
    <w:rsid w:val="005D1E93"/>
    <w:rsid w:val="005D20C1"/>
    <w:rsid w:val="005D2492"/>
    <w:rsid w:val="005D409F"/>
    <w:rsid w:val="005D42C8"/>
    <w:rsid w:val="005D49E9"/>
    <w:rsid w:val="005D5418"/>
    <w:rsid w:val="005D5C96"/>
    <w:rsid w:val="005D5E33"/>
    <w:rsid w:val="005D6316"/>
    <w:rsid w:val="005D6A31"/>
    <w:rsid w:val="005D7121"/>
    <w:rsid w:val="005D72EA"/>
    <w:rsid w:val="005D7611"/>
    <w:rsid w:val="005D7828"/>
    <w:rsid w:val="005D7D96"/>
    <w:rsid w:val="005D7F07"/>
    <w:rsid w:val="005E0331"/>
    <w:rsid w:val="005E0338"/>
    <w:rsid w:val="005E04C1"/>
    <w:rsid w:val="005E0D49"/>
    <w:rsid w:val="005E1494"/>
    <w:rsid w:val="005E16FA"/>
    <w:rsid w:val="005E1F71"/>
    <w:rsid w:val="005E2072"/>
    <w:rsid w:val="005E2C75"/>
    <w:rsid w:val="005E321A"/>
    <w:rsid w:val="005E340E"/>
    <w:rsid w:val="005E39C8"/>
    <w:rsid w:val="005E3A4B"/>
    <w:rsid w:val="005E3FF0"/>
    <w:rsid w:val="005E4A56"/>
    <w:rsid w:val="005E5437"/>
    <w:rsid w:val="005E615A"/>
    <w:rsid w:val="005F0063"/>
    <w:rsid w:val="005F00EB"/>
    <w:rsid w:val="005F078C"/>
    <w:rsid w:val="005F0E02"/>
    <w:rsid w:val="005F1792"/>
    <w:rsid w:val="005F1EE1"/>
    <w:rsid w:val="005F28F9"/>
    <w:rsid w:val="005F32DF"/>
    <w:rsid w:val="005F385F"/>
    <w:rsid w:val="005F4F90"/>
    <w:rsid w:val="005F5394"/>
    <w:rsid w:val="005F54EC"/>
    <w:rsid w:val="005F5B1B"/>
    <w:rsid w:val="005F631E"/>
    <w:rsid w:val="005F69C3"/>
    <w:rsid w:val="005F6C58"/>
    <w:rsid w:val="005F7206"/>
    <w:rsid w:val="005F73BC"/>
    <w:rsid w:val="005F741D"/>
    <w:rsid w:val="005F7592"/>
    <w:rsid w:val="006006B5"/>
    <w:rsid w:val="00600946"/>
    <w:rsid w:val="00600BE5"/>
    <w:rsid w:val="0060145E"/>
    <w:rsid w:val="00601CA1"/>
    <w:rsid w:val="00602828"/>
    <w:rsid w:val="00602B36"/>
    <w:rsid w:val="006030EA"/>
    <w:rsid w:val="00603191"/>
    <w:rsid w:val="006035F2"/>
    <w:rsid w:val="00603696"/>
    <w:rsid w:val="006042F1"/>
    <w:rsid w:val="00604943"/>
    <w:rsid w:val="00605778"/>
    <w:rsid w:val="0060587F"/>
    <w:rsid w:val="00606A18"/>
    <w:rsid w:val="00606F58"/>
    <w:rsid w:val="006072B5"/>
    <w:rsid w:val="00607693"/>
    <w:rsid w:val="00607B13"/>
    <w:rsid w:val="00610097"/>
    <w:rsid w:val="0061030F"/>
    <w:rsid w:val="006104E8"/>
    <w:rsid w:val="006108DE"/>
    <w:rsid w:val="00610967"/>
    <w:rsid w:val="00610BF5"/>
    <w:rsid w:val="00611B93"/>
    <w:rsid w:val="00611EBC"/>
    <w:rsid w:val="00612039"/>
    <w:rsid w:val="006120C1"/>
    <w:rsid w:val="0061259B"/>
    <w:rsid w:val="00612BEC"/>
    <w:rsid w:val="00613695"/>
    <w:rsid w:val="0061430C"/>
    <w:rsid w:val="006147C7"/>
    <w:rsid w:val="00615E83"/>
    <w:rsid w:val="00615E9B"/>
    <w:rsid w:val="00615FF8"/>
    <w:rsid w:val="006160D9"/>
    <w:rsid w:val="00616233"/>
    <w:rsid w:val="00616716"/>
    <w:rsid w:val="00616849"/>
    <w:rsid w:val="00616D18"/>
    <w:rsid w:val="00616D4C"/>
    <w:rsid w:val="00616E04"/>
    <w:rsid w:val="006172D0"/>
    <w:rsid w:val="0061742E"/>
    <w:rsid w:val="00617BA2"/>
    <w:rsid w:val="00617C3C"/>
    <w:rsid w:val="00617E8D"/>
    <w:rsid w:val="006200BD"/>
    <w:rsid w:val="0062035D"/>
    <w:rsid w:val="00620DD7"/>
    <w:rsid w:val="00621403"/>
    <w:rsid w:val="0062190D"/>
    <w:rsid w:val="00621D5E"/>
    <w:rsid w:val="0062285A"/>
    <w:rsid w:val="006228EE"/>
    <w:rsid w:val="00622DE6"/>
    <w:rsid w:val="00623246"/>
    <w:rsid w:val="00623ED5"/>
    <w:rsid w:val="00624942"/>
    <w:rsid w:val="00625ECE"/>
    <w:rsid w:val="00625EE1"/>
    <w:rsid w:val="00626487"/>
    <w:rsid w:val="00626A50"/>
    <w:rsid w:val="00626E5B"/>
    <w:rsid w:val="00627C8C"/>
    <w:rsid w:val="00627CC6"/>
    <w:rsid w:val="006302AB"/>
    <w:rsid w:val="00630399"/>
    <w:rsid w:val="006306B3"/>
    <w:rsid w:val="00631058"/>
    <w:rsid w:val="006313CC"/>
    <w:rsid w:val="00632B0B"/>
    <w:rsid w:val="00632E2B"/>
    <w:rsid w:val="0063303E"/>
    <w:rsid w:val="00633199"/>
    <w:rsid w:val="00633355"/>
    <w:rsid w:val="00633563"/>
    <w:rsid w:val="0063370D"/>
    <w:rsid w:val="00633865"/>
    <w:rsid w:val="0063390C"/>
    <w:rsid w:val="006345C8"/>
    <w:rsid w:val="0063460F"/>
    <w:rsid w:val="00634E79"/>
    <w:rsid w:val="006351A7"/>
    <w:rsid w:val="00635241"/>
    <w:rsid w:val="00635569"/>
    <w:rsid w:val="00635608"/>
    <w:rsid w:val="006356EE"/>
    <w:rsid w:val="00636229"/>
    <w:rsid w:val="0063625C"/>
    <w:rsid w:val="0063640E"/>
    <w:rsid w:val="00636C68"/>
    <w:rsid w:val="00637317"/>
    <w:rsid w:val="00637B2C"/>
    <w:rsid w:val="00637DFF"/>
    <w:rsid w:val="00640318"/>
    <w:rsid w:val="006403B1"/>
    <w:rsid w:val="006405F2"/>
    <w:rsid w:val="00641584"/>
    <w:rsid w:val="00641EAA"/>
    <w:rsid w:val="00641EC0"/>
    <w:rsid w:val="00642223"/>
    <w:rsid w:val="006424E4"/>
    <w:rsid w:val="0064284E"/>
    <w:rsid w:val="00642B17"/>
    <w:rsid w:val="00642B39"/>
    <w:rsid w:val="00642D2E"/>
    <w:rsid w:val="00643493"/>
    <w:rsid w:val="00643531"/>
    <w:rsid w:val="00643585"/>
    <w:rsid w:val="00643A12"/>
    <w:rsid w:val="00643CAA"/>
    <w:rsid w:val="0064421F"/>
    <w:rsid w:val="006444E4"/>
    <w:rsid w:val="00644AD1"/>
    <w:rsid w:val="00645BF4"/>
    <w:rsid w:val="00645C25"/>
    <w:rsid w:val="00645DEB"/>
    <w:rsid w:val="006471C1"/>
    <w:rsid w:val="006474B2"/>
    <w:rsid w:val="006478A5"/>
    <w:rsid w:val="00650485"/>
    <w:rsid w:val="00650C22"/>
    <w:rsid w:val="006519F7"/>
    <w:rsid w:val="00651DA8"/>
    <w:rsid w:val="00651EEE"/>
    <w:rsid w:val="006522C4"/>
    <w:rsid w:val="00652465"/>
    <w:rsid w:val="006524CD"/>
    <w:rsid w:val="00652868"/>
    <w:rsid w:val="00652869"/>
    <w:rsid w:val="00652FDD"/>
    <w:rsid w:val="00652FFB"/>
    <w:rsid w:val="00653427"/>
    <w:rsid w:val="0065388F"/>
    <w:rsid w:val="00654AC1"/>
    <w:rsid w:val="0065595E"/>
    <w:rsid w:val="00655E6E"/>
    <w:rsid w:val="00655FF0"/>
    <w:rsid w:val="00656128"/>
    <w:rsid w:val="00656904"/>
    <w:rsid w:val="00656D27"/>
    <w:rsid w:val="00656E6C"/>
    <w:rsid w:val="00657632"/>
    <w:rsid w:val="0065764B"/>
    <w:rsid w:val="00661615"/>
    <w:rsid w:val="006616D8"/>
    <w:rsid w:val="00661F0C"/>
    <w:rsid w:val="00662288"/>
    <w:rsid w:val="006622BE"/>
    <w:rsid w:val="00662638"/>
    <w:rsid w:val="00663347"/>
    <w:rsid w:val="006636F4"/>
    <w:rsid w:val="00663D31"/>
    <w:rsid w:val="00664551"/>
    <w:rsid w:val="006661C0"/>
    <w:rsid w:val="006672C2"/>
    <w:rsid w:val="00670DD3"/>
    <w:rsid w:val="006715A2"/>
    <w:rsid w:val="0067197E"/>
    <w:rsid w:val="006719A7"/>
    <w:rsid w:val="006725AF"/>
    <w:rsid w:val="006727F6"/>
    <w:rsid w:val="006729FD"/>
    <w:rsid w:val="00672C4B"/>
    <w:rsid w:val="00672F96"/>
    <w:rsid w:val="006733F1"/>
    <w:rsid w:val="0067344B"/>
    <w:rsid w:val="00673C41"/>
    <w:rsid w:val="00673E52"/>
    <w:rsid w:val="0067477A"/>
    <w:rsid w:val="00674B5F"/>
    <w:rsid w:val="00675191"/>
    <w:rsid w:val="00675636"/>
    <w:rsid w:val="00675977"/>
    <w:rsid w:val="006760CC"/>
    <w:rsid w:val="00676BAB"/>
    <w:rsid w:val="006801C9"/>
    <w:rsid w:val="0068077B"/>
    <w:rsid w:val="006809B1"/>
    <w:rsid w:val="006809B4"/>
    <w:rsid w:val="006813C8"/>
    <w:rsid w:val="0068264F"/>
    <w:rsid w:val="00682EDD"/>
    <w:rsid w:val="006832A3"/>
    <w:rsid w:val="006837D0"/>
    <w:rsid w:val="006839E9"/>
    <w:rsid w:val="00683C8B"/>
    <w:rsid w:val="00684F0F"/>
    <w:rsid w:val="00685D64"/>
    <w:rsid w:val="006865C9"/>
    <w:rsid w:val="00686D3A"/>
    <w:rsid w:val="00687420"/>
    <w:rsid w:val="00687D21"/>
    <w:rsid w:val="006900BD"/>
    <w:rsid w:val="006902E3"/>
    <w:rsid w:val="00690CF9"/>
    <w:rsid w:val="0069111C"/>
    <w:rsid w:val="00692168"/>
    <w:rsid w:val="00692228"/>
    <w:rsid w:val="0069286C"/>
    <w:rsid w:val="00692CE0"/>
    <w:rsid w:val="006932AF"/>
    <w:rsid w:val="00693601"/>
    <w:rsid w:val="00693766"/>
    <w:rsid w:val="00693960"/>
    <w:rsid w:val="00694095"/>
    <w:rsid w:val="00694B2C"/>
    <w:rsid w:val="00694DB1"/>
    <w:rsid w:val="006958EA"/>
    <w:rsid w:val="00696FEE"/>
    <w:rsid w:val="006970D2"/>
    <w:rsid w:val="006970E6"/>
    <w:rsid w:val="00697245"/>
    <w:rsid w:val="006973DF"/>
    <w:rsid w:val="006A0465"/>
    <w:rsid w:val="006A0999"/>
    <w:rsid w:val="006A16B6"/>
    <w:rsid w:val="006A18BD"/>
    <w:rsid w:val="006A1E83"/>
    <w:rsid w:val="006A26D7"/>
    <w:rsid w:val="006A2748"/>
    <w:rsid w:val="006A3F13"/>
    <w:rsid w:val="006A3F42"/>
    <w:rsid w:val="006A416E"/>
    <w:rsid w:val="006A468A"/>
    <w:rsid w:val="006A4B7B"/>
    <w:rsid w:val="006A52B6"/>
    <w:rsid w:val="006A5751"/>
    <w:rsid w:val="006A5955"/>
    <w:rsid w:val="006A5A32"/>
    <w:rsid w:val="006A6FB1"/>
    <w:rsid w:val="006A74C0"/>
    <w:rsid w:val="006A7744"/>
    <w:rsid w:val="006A7F9B"/>
    <w:rsid w:val="006B0ECE"/>
    <w:rsid w:val="006B1E6F"/>
    <w:rsid w:val="006B2BEF"/>
    <w:rsid w:val="006B3088"/>
    <w:rsid w:val="006B3597"/>
    <w:rsid w:val="006B4CFD"/>
    <w:rsid w:val="006B4F59"/>
    <w:rsid w:val="006B564D"/>
    <w:rsid w:val="006B56B7"/>
    <w:rsid w:val="006B5E48"/>
    <w:rsid w:val="006B60D5"/>
    <w:rsid w:val="006B6867"/>
    <w:rsid w:val="006B6B01"/>
    <w:rsid w:val="006B7078"/>
    <w:rsid w:val="006B7502"/>
    <w:rsid w:val="006B75ED"/>
    <w:rsid w:val="006C007D"/>
    <w:rsid w:val="006C0A8E"/>
    <w:rsid w:val="006C0C35"/>
    <w:rsid w:val="006C107F"/>
    <w:rsid w:val="006C2F65"/>
    <w:rsid w:val="006C36A5"/>
    <w:rsid w:val="006C37A3"/>
    <w:rsid w:val="006C4006"/>
    <w:rsid w:val="006C412F"/>
    <w:rsid w:val="006C4FB4"/>
    <w:rsid w:val="006C53AA"/>
    <w:rsid w:val="006C54AC"/>
    <w:rsid w:val="006C5C3D"/>
    <w:rsid w:val="006C69E4"/>
    <w:rsid w:val="006C6A30"/>
    <w:rsid w:val="006C7576"/>
    <w:rsid w:val="006C794B"/>
    <w:rsid w:val="006D01F6"/>
    <w:rsid w:val="006D0E60"/>
    <w:rsid w:val="006D105D"/>
    <w:rsid w:val="006D1760"/>
    <w:rsid w:val="006D30C1"/>
    <w:rsid w:val="006D3292"/>
    <w:rsid w:val="006D32C0"/>
    <w:rsid w:val="006D39F3"/>
    <w:rsid w:val="006D3AB2"/>
    <w:rsid w:val="006D46FE"/>
    <w:rsid w:val="006D4804"/>
    <w:rsid w:val="006D48B3"/>
    <w:rsid w:val="006D544F"/>
    <w:rsid w:val="006D591E"/>
    <w:rsid w:val="006D5BD1"/>
    <w:rsid w:val="006D5C84"/>
    <w:rsid w:val="006D6152"/>
    <w:rsid w:val="006D6766"/>
    <w:rsid w:val="006D69B4"/>
    <w:rsid w:val="006D7808"/>
    <w:rsid w:val="006E08CE"/>
    <w:rsid w:val="006E0C0B"/>
    <w:rsid w:val="006E111C"/>
    <w:rsid w:val="006E1B56"/>
    <w:rsid w:val="006E1B90"/>
    <w:rsid w:val="006E2B8A"/>
    <w:rsid w:val="006E3792"/>
    <w:rsid w:val="006E3B1C"/>
    <w:rsid w:val="006E4210"/>
    <w:rsid w:val="006E43CC"/>
    <w:rsid w:val="006E4807"/>
    <w:rsid w:val="006E4E25"/>
    <w:rsid w:val="006E60F9"/>
    <w:rsid w:val="006E6CD8"/>
    <w:rsid w:val="006E7177"/>
    <w:rsid w:val="006E7983"/>
    <w:rsid w:val="006E7EE2"/>
    <w:rsid w:val="006E7FAB"/>
    <w:rsid w:val="006F0070"/>
    <w:rsid w:val="006F0CAF"/>
    <w:rsid w:val="006F0CCE"/>
    <w:rsid w:val="006F0D87"/>
    <w:rsid w:val="006F1137"/>
    <w:rsid w:val="006F1878"/>
    <w:rsid w:val="006F1881"/>
    <w:rsid w:val="006F1AD9"/>
    <w:rsid w:val="006F1D55"/>
    <w:rsid w:val="006F1FAD"/>
    <w:rsid w:val="006F26E9"/>
    <w:rsid w:val="006F335D"/>
    <w:rsid w:val="006F3E98"/>
    <w:rsid w:val="006F4286"/>
    <w:rsid w:val="006F49F0"/>
    <w:rsid w:val="006F4BB6"/>
    <w:rsid w:val="006F52F1"/>
    <w:rsid w:val="006F5303"/>
    <w:rsid w:val="006F5CF9"/>
    <w:rsid w:val="006F67E3"/>
    <w:rsid w:val="006F6B77"/>
    <w:rsid w:val="006F700A"/>
    <w:rsid w:val="006F7B7E"/>
    <w:rsid w:val="006F7E1B"/>
    <w:rsid w:val="00700626"/>
    <w:rsid w:val="00700BA8"/>
    <w:rsid w:val="00700DB3"/>
    <w:rsid w:val="00700E15"/>
    <w:rsid w:val="007015A8"/>
    <w:rsid w:val="00701DFA"/>
    <w:rsid w:val="0070237E"/>
    <w:rsid w:val="0070318B"/>
    <w:rsid w:val="007031C5"/>
    <w:rsid w:val="00703A54"/>
    <w:rsid w:val="00703A6D"/>
    <w:rsid w:val="00703E44"/>
    <w:rsid w:val="007042CD"/>
    <w:rsid w:val="007049F3"/>
    <w:rsid w:val="00704C2A"/>
    <w:rsid w:val="007051DB"/>
    <w:rsid w:val="007057B9"/>
    <w:rsid w:val="0070586B"/>
    <w:rsid w:val="007059F5"/>
    <w:rsid w:val="00705D3E"/>
    <w:rsid w:val="00707127"/>
    <w:rsid w:val="00707ED6"/>
    <w:rsid w:val="00707F40"/>
    <w:rsid w:val="007101A2"/>
    <w:rsid w:val="007101F9"/>
    <w:rsid w:val="007105F6"/>
    <w:rsid w:val="007106F9"/>
    <w:rsid w:val="00710724"/>
    <w:rsid w:val="0071087B"/>
    <w:rsid w:val="00711386"/>
    <w:rsid w:val="0071143A"/>
    <w:rsid w:val="00711D97"/>
    <w:rsid w:val="00711FE0"/>
    <w:rsid w:val="0071231A"/>
    <w:rsid w:val="007126E5"/>
    <w:rsid w:val="00712B88"/>
    <w:rsid w:val="00712E4A"/>
    <w:rsid w:val="00713007"/>
    <w:rsid w:val="00713078"/>
    <w:rsid w:val="007133B5"/>
    <w:rsid w:val="00713B12"/>
    <w:rsid w:val="00714080"/>
    <w:rsid w:val="00714121"/>
    <w:rsid w:val="007143DD"/>
    <w:rsid w:val="00714952"/>
    <w:rsid w:val="00714983"/>
    <w:rsid w:val="00715470"/>
    <w:rsid w:val="00716043"/>
    <w:rsid w:val="00716056"/>
    <w:rsid w:val="00716343"/>
    <w:rsid w:val="00716549"/>
    <w:rsid w:val="007168B3"/>
    <w:rsid w:val="00716A5A"/>
    <w:rsid w:val="00716AC7"/>
    <w:rsid w:val="00717416"/>
    <w:rsid w:val="00717580"/>
    <w:rsid w:val="00717626"/>
    <w:rsid w:val="00717EF1"/>
    <w:rsid w:val="00721396"/>
    <w:rsid w:val="00721B09"/>
    <w:rsid w:val="00722039"/>
    <w:rsid w:val="007226FE"/>
    <w:rsid w:val="007236D6"/>
    <w:rsid w:val="00724241"/>
    <w:rsid w:val="00724AE2"/>
    <w:rsid w:val="00724BBD"/>
    <w:rsid w:val="00725011"/>
    <w:rsid w:val="007254B8"/>
    <w:rsid w:val="0072584A"/>
    <w:rsid w:val="00726327"/>
    <w:rsid w:val="00726FB9"/>
    <w:rsid w:val="007274FA"/>
    <w:rsid w:val="00727A77"/>
    <w:rsid w:val="0073029C"/>
    <w:rsid w:val="00730C00"/>
    <w:rsid w:val="00730EFD"/>
    <w:rsid w:val="007315BF"/>
    <w:rsid w:val="007315DA"/>
    <w:rsid w:val="007319D7"/>
    <w:rsid w:val="007328E8"/>
    <w:rsid w:val="00732A97"/>
    <w:rsid w:val="00732C33"/>
    <w:rsid w:val="0073385A"/>
    <w:rsid w:val="00733DB0"/>
    <w:rsid w:val="00734A9B"/>
    <w:rsid w:val="007353F1"/>
    <w:rsid w:val="00735D57"/>
    <w:rsid w:val="00735F32"/>
    <w:rsid w:val="00736BD5"/>
    <w:rsid w:val="00737286"/>
    <w:rsid w:val="007375D4"/>
    <w:rsid w:val="00737774"/>
    <w:rsid w:val="00737C32"/>
    <w:rsid w:val="00737D2F"/>
    <w:rsid w:val="00740694"/>
    <w:rsid w:val="00740B87"/>
    <w:rsid w:val="0074113A"/>
    <w:rsid w:val="00741576"/>
    <w:rsid w:val="007417E2"/>
    <w:rsid w:val="00741B9F"/>
    <w:rsid w:val="00742362"/>
    <w:rsid w:val="007426EB"/>
    <w:rsid w:val="00743197"/>
    <w:rsid w:val="007432C4"/>
    <w:rsid w:val="0074360D"/>
    <w:rsid w:val="0074428D"/>
    <w:rsid w:val="007446FC"/>
    <w:rsid w:val="007447B2"/>
    <w:rsid w:val="00744AD7"/>
    <w:rsid w:val="00744EFB"/>
    <w:rsid w:val="00744F05"/>
    <w:rsid w:val="00744F5F"/>
    <w:rsid w:val="00744F66"/>
    <w:rsid w:val="00745081"/>
    <w:rsid w:val="007452E5"/>
    <w:rsid w:val="00745E5B"/>
    <w:rsid w:val="00747830"/>
    <w:rsid w:val="00747875"/>
    <w:rsid w:val="00747BDB"/>
    <w:rsid w:val="0075004E"/>
    <w:rsid w:val="007501F2"/>
    <w:rsid w:val="00750212"/>
    <w:rsid w:val="0075082E"/>
    <w:rsid w:val="00750BE5"/>
    <w:rsid w:val="007513DF"/>
    <w:rsid w:val="007515A4"/>
    <w:rsid w:val="007516FF"/>
    <w:rsid w:val="0075189C"/>
    <w:rsid w:val="0075280B"/>
    <w:rsid w:val="00753A33"/>
    <w:rsid w:val="00753CCE"/>
    <w:rsid w:val="00753F94"/>
    <w:rsid w:val="007540D3"/>
    <w:rsid w:val="007545D0"/>
    <w:rsid w:val="00754762"/>
    <w:rsid w:val="00754ACE"/>
    <w:rsid w:val="00754CAC"/>
    <w:rsid w:val="00754F70"/>
    <w:rsid w:val="0075516D"/>
    <w:rsid w:val="00755244"/>
    <w:rsid w:val="00755EB4"/>
    <w:rsid w:val="0075622C"/>
    <w:rsid w:val="00756689"/>
    <w:rsid w:val="00756747"/>
    <w:rsid w:val="00756813"/>
    <w:rsid w:val="00757E48"/>
    <w:rsid w:val="007602AF"/>
    <w:rsid w:val="007604D5"/>
    <w:rsid w:val="00760DC5"/>
    <w:rsid w:val="00761953"/>
    <w:rsid w:val="007631D9"/>
    <w:rsid w:val="007637D2"/>
    <w:rsid w:val="00763DD5"/>
    <w:rsid w:val="007641B8"/>
    <w:rsid w:val="00764A60"/>
    <w:rsid w:val="00764A6B"/>
    <w:rsid w:val="00764A7A"/>
    <w:rsid w:val="00764CF5"/>
    <w:rsid w:val="00764E82"/>
    <w:rsid w:val="00764E99"/>
    <w:rsid w:val="007656BE"/>
    <w:rsid w:val="00765C9F"/>
    <w:rsid w:val="00765EA9"/>
    <w:rsid w:val="00765EF1"/>
    <w:rsid w:val="00766FA7"/>
    <w:rsid w:val="00767055"/>
    <w:rsid w:val="00767BC6"/>
    <w:rsid w:val="00770232"/>
    <w:rsid w:val="00770278"/>
    <w:rsid w:val="00770D22"/>
    <w:rsid w:val="00770D82"/>
    <w:rsid w:val="00771C6A"/>
    <w:rsid w:val="00772991"/>
    <w:rsid w:val="00773837"/>
    <w:rsid w:val="00773CA3"/>
    <w:rsid w:val="00773EC7"/>
    <w:rsid w:val="007741A8"/>
    <w:rsid w:val="00774449"/>
    <w:rsid w:val="00774AE2"/>
    <w:rsid w:val="00774F02"/>
    <w:rsid w:val="00774FF2"/>
    <w:rsid w:val="00775C79"/>
    <w:rsid w:val="007760BC"/>
    <w:rsid w:val="00776BE4"/>
    <w:rsid w:val="007770A6"/>
    <w:rsid w:val="007772AC"/>
    <w:rsid w:val="00777E71"/>
    <w:rsid w:val="0078038E"/>
    <w:rsid w:val="007804CA"/>
    <w:rsid w:val="007807D3"/>
    <w:rsid w:val="007809F4"/>
    <w:rsid w:val="00780C34"/>
    <w:rsid w:val="00780D7E"/>
    <w:rsid w:val="00781497"/>
    <w:rsid w:val="00781B6A"/>
    <w:rsid w:val="00781BE1"/>
    <w:rsid w:val="0078318A"/>
    <w:rsid w:val="00783531"/>
    <w:rsid w:val="007843BC"/>
    <w:rsid w:val="00784493"/>
    <w:rsid w:val="00784BBE"/>
    <w:rsid w:val="00784F04"/>
    <w:rsid w:val="007851EB"/>
    <w:rsid w:val="00785C1E"/>
    <w:rsid w:val="007861E9"/>
    <w:rsid w:val="007862EA"/>
    <w:rsid w:val="00786556"/>
    <w:rsid w:val="00786B0C"/>
    <w:rsid w:val="0078732D"/>
    <w:rsid w:val="00790184"/>
    <w:rsid w:val="00790DAD"/>
    <w:rsid w:val="00791A40"/>
    <w:rsid w:val="00791BEF"/>
    <w:rsid w:val="00791CFC"/>
    <w:rsid w:val="007923D1"/>
    <w:rsid w:val="0079281B"/>
    <w:rsid w:val="0079288E"/>
    <w:rsid w:val="007929AE"/>
    <w:rsid w:val="00792C02"/>
    <w:rsid w:val="0079385A"/>
    <w:rsid w:val="00793B3F"/>
    <w:rsid w:val="00793DD5"/>
    <w:rsid w:val="007940E5"/>
    <w:rsid w:val="007946D6"/>
    <w:rsid w:val="00794995"/>
    <w:rsid w:val="00795112"/>
    <w:rsid w:val="00795B07"/>
    <w:rsid w:val="00795CBB"/>
    <w:rsid w:val="00796003"/>
    <w:rsid w:val="00796573"/>
    <w:rsid w:val="00796846"/>
    <w:rsid w:val="00796920"/>
    <w:rsid w:val="007969E8"/>
    <w:rsid w:val="00797262"/>
    <w:rsid w:val="0079764F"/>
    <w:rsid w:val="007A0579"/>
    <w:rsid w:val="007A05D7"/>
    <w:rsid w:val="007A0CF1"/>
    <w:rsid w:val="007A1C07"/>
    <w:rsid w:val="007A21DA"/>
    <w:rsid w:val="007A2284"/>
    <w:rsid w:val="007A24B9"/>
    <w:rsid w:val="007A2629"/>
    <w:rsid w:val="007A2D11"/>
    <w:rsid w:val="007A3C7C"/>
    <w:rsid w:val="007A3DC1"/>
    <w:rsid w:val="007A41ED"/>
    <w:rsid w:val="007A4281"/>
    <w:rsid w:val="007A5036"/>
    <w:rsid w:val="007A55B6"/>
    <w:rsid w:val="007A5692"/>
    <w:rsid w:val="007A5FB4"/>
    <w:rsid w:val="007A60D7"/>
    <w:rsid w:val="007A61D3"/>
    <w:rsid w:val="007A6364"/>
    <w:rsid w:val="007A683B"/>
    <w:rsid w:val="007A6870"/>
    <w:rsid w:val="007A6889"/>
    <w:rsid w:val="007A7272"/>
    <w:rsid w:val="007B034A"/>
    <w:rsid w:val="007B05E7"/>
    <w:rsid w:val="007B067E"/>
    <w:rsid w:val="007B1BB8"/>
    <w:rsid w:val="007B20D4"/>
    <w:rsid w:val="007B23C4"/>
    <w:rsid w:val="007B2416"/>
    <w:rsid w:val="007B24FB"/>
    <w:rsid w:val="007B2CFD"/>
    <w:rsid w:val="007B3F80"/>
    <w:rsid w:val="007B4211"/>
    <w:rsid w:val="007B4939"/>
    <w:rsid w:val="007B4CA4"/>
    <w:rsid w:val="007B54D3"/>
    <w:rsid w:val="007B56AF"/>
    <w:rsid w:val="007B5751"/>
    <w:rsid w:val="007B590C"/>
    <w:rsid w:val="007B5EF5"/>
    <w:rsid w:val="007B5FC1"/>
    <w:rsid w:val="007B6063"/>
    <w:rsid w:val="007B66E8"/>
    <w:rsid w:val="007C0051"/>
    <w:rsid w:val="007C0C42"/>
    <w:rsid w:val="007C1092"/>
    <w:rsid w:val="007C11AE"/>
    <w:rsid w:val="007C1596"/>
    <w:rsid w:val="007C1842"/>
    <w:rsid w:val="007C1F29"/>
    <w:rsid w:val="007C2194"/>
    <w:rsid w:val="007C2245"/>
    <w:rsid w:val="007C2509"/>
    <w:rsid w:val="007C256F"/>
    <w:rsid w:val="007C2A67"/>
    <w:rsid w:val="007C2E8E"/>
    <w:rsid w:val="007C3B74"/>
    <w:rsid w:val="007C4369"/>
    <w:rsid w:val="007C4D1C"/>
    <w:rsid w:val="007C501B"/>
    <w:rsid w:val="007C504A"/>
    <w:rsid w:val="007C56B0"/>
    <w:rsid w:val="007C5CD4"/>
    <w:rsid w:val="007C6512"/>
    <w:rsid w:val="007C6D83"/>
    <w:rsid w:val="007C751E"/>
    <w:rsid w:val="007C7797"/>
    <w:rsid w:val="007C7D3D"/>
    <w:rsid w:val="007C7E9B"/>
    <w:rsid w:val="007D01A9"/>
    <w:rsid w:val="007D21FE"/>
    <w:rsid w:val="007D2360"/>
    <w:rsid w:val="007D267D"/>
    <w:rsid w:val="007D26E2"/>
    <w:rsid w:val="007D2B7D"/>
    <w:rsid w:val="007D2CC3"/>
    <w:rsid w:val="007D308F"/>
    <w:rsid w:val="007D43DE"/>
    <w:rsid w:val="007D4567"/>
    <w:rsid w:val="007D48DF"/>
    <w:rsid w:val="007D51D9"/>
    <w:rsid w:val="007D57DC"/>
    <w:rsid w:val="007D62CA"/>
    <w:rsid w:val="007D6A5C"/>
    <w:rsid w:val="007D6A83"/>
    <w:rsid w:val="007D6CA5"/>
    <w:rsid w:val="007D7555"/>
    <w:rsid w:val="007D78B8"/>
    <w:rsid w:val="007E01DB"/>
    <w:rsid w:val="007E06C3"/>
    <w:rsid w:val="007E0DD8"/>
    <w:rsid w:val="007E0F13"/>
    <w:rsid w:val="007E1B67"/>
    <w:rsid w:val="007E1C10"/>
    <w:rsid w:val="007E29BA"/>
    <w:rsid w:val="007E3DFC"/>
    <w:rsid w:val="007E4F68"/>
    <w:rsid w:val="007E52E5"/>
    <w:rsid w:val="007E5670"/>
    <w:rsid w:val="007E59AD"/>
    <w:rsid w:val="007E5B9E"/>
    <w:rsid w:val="007E65AD"/>
    <w:rsid w:val="007E6695"/>
    <w:rsid w:val="007E6B7A"/>
    <w:rsid w:val="007E7D27"/>
    <w:rsid w:val="007F0115"/>
    <w:rsid w:val="007F04B2"/>
    <w:rsid w:val="007F0932"/>
    <w:rsid w:val="007F0A26"/>
    <w:rsid w:val="007F102A"/>
    <w:rsid w:val="007F11C0"/>
    <w:rsid w:val="007F21F3"/>
    <w:rsid w:val="007F22F1"/>
    <w:rsid w:val="007F230D"/>
    <w:rsid w:val="007F233D"/>
    <w:rsid w:val="007F336D"/>
    <w:rsid w:val="007F3438"/>
    <w:rsid w:val="007F34D3"/>
    <w:rsid w:val="007F37C9"/>
    <w:rsid w:val="007F3D43"/>
    <w:rsid w:val="007F4E17"/>
    <w:rsid w:val="007F50B2"/>
    <w:rsid w:val="007F56E8"/>
    <w:rsid w:val="007F6174"/>
    <w:rsid w:val="007F6566"/>
    <w:rsid w:val="007F6761"/>
    <w:rsid w:val="007F6CF1"/>
    <w:rsid w:val="007F7061"/>
    <w:rsid w:val="007F7653"/>
    <w:rsid w:val="007F7C41"/>
    <w:rsid w:val="00800113"/>
    <w:rsid w:val="00800277"/>
    <w:rsid w:val="008003EA"/>
    <w:rsid w:val="00800D38"/>
    <w:rsid w:val="00800FE6"/>
    <w:rsid w:val="008017CA"/>
    <w:rsid w:val="008019A6"/>
    <w:rsid w:val="00801EDF"/>
    <w:rsid w:val="00802408"/>
    <w:rsid w:val="00802944"/>
    <w:rsid w:val="00802C25"/>
    <w:rsid w:val="008031E2"/>
    <w:rsid w:val="00803716"/>
    <w:rsid w:val="00803DF7"/>
    <w:rsid w:val="00804402"/>
    <w:rsid w:val="00804C84"/>
    <w:rsid w:val="008060B4"/>
    <w:rsid w:val="008064BE"/>
    <w:rsid w:val="00806A5C"/>
    <w:rsid w:val="00806F32"/>
    <w:rsid w:val="00807360"/>
    <w:rsid w:val="00807678"/>
    <w:rsid w:val="008078CE"/>
    <w:rsid w:val="00807DAF"/>
    <w:rsid w:val="00810F6A"/>
    <w:rsid w:val="00811960"/>
    <w:rsid w:val="00811D42"/>
    <w:rsid w:val="00812405"/>
    <w:rsid w:val="00812AE7"/>
    <w:rsid w:val="008134B9"/>
    <w:rsid w:val="008145AA"/>
    <w:rsid w:val="008147A5"/>
    <w:rsid w:val="00814CFB"/>
    <w:rsid w:val="00814F27"/>
    <w:rsid w:val="008153BB"/>
    <w:rsid w:val="00815632"/>
    <w:rsid w:val="0081575D"/>
    <w:rsid w:val="00815C4C"/>
    <w:rsid w:val="00816C38"/>
    <w:rsid w:val="008170A7"/>
    <w:rsid w:val="008170C7"/>
    <w:rsid w:val="0082022E"/>
    <w:rsid w:val="00820389"/>
    <w:rsid w:val="008203FA"/>
    <w:rsid w:val="00820B1D"/>
    <w:rsid w:val="00820B4D"/>
    <w:rsid w:val="00820C33"/>
    <w:rsid w:val="00821692"/>
    <w:rsid w:val="0082205B"/>
    <w:rsid w:val="008223FF"/>
    <w:rsid w:val="008227D2"/>
    <w:rsid w:val="00822916"/>
    <w:rsid w:val="00822A37"/>
    <w:rsid w:val="00823308"/>
    <w:rsid w:val="00823E55"/>
    <w:rsid w:val="00824538"/>
    <w:rsid w:val="00824594"/>
    <w:rsid w:val="00824D3E"/>
    <w:rsid w:val="00824F69"/>
    <w:rsid w:val="008254F6"/>
    <w:rsid w:val="00825B3F"/>
    <w:rsid w:val="00825DAC"/>
    <w:rsid w:val="008262A1"/>
    <w:rsid w:val="00826418"/>
    <w:rsid w:val="00826A46"/>
    <w:rsid w:val="00826C83"/>
    <w:rsid w:val="00826D3F"/>
    <w:rsid w:val="00826DAE"/>
    <w:rsid w:val="00827225"/>
    <w:rsid w:val="0082769F"/>
    <w:rsid w:val="00827AC4"/>
    <w:rsid w:val="008300DD"/>
    <w:rsid w:val="008301A4"/>
    <w:rsid w:val="0083079B"/>
    <w:rsid w:val="00831872"/>
    <w:rsid w:val="008324C4"/>
    <w:rsid w:val="008327E9"/>
    <w:rsid w:val="00832CE2"/>
    <w:rsid w:val="0083356F"/>
    <w:rsid w:val="00833DA0"/>
    <w:rsid w:val="00833DF5"/>
    <w:rsid w:val="008344D1"/>
    <w:rsid w:val="008346D9"/>
    <w:rsid w:val="008347E2"/>
    <w:rsid w:val="008349C3"/>
    <w:rsid w:val="00835173"/>
    <w:rsid w:val="00835B24"/>
    <w:rsid w:val="0083658D"/>
    <w:rsid w:val="00837204"/>
    <w:rsid w:val="00837E32"/>
    <w:rsid w:val="008403A9"/>
    <w:rsid w:val="008408C5"/>
    <w:rsid w:val="00840CEB"/>
    <w:rsid w:val="008414F0"/>
    <w:rsid w:val="0084164F"/>
    <w:rsid w:val="00841DA0"/>
    <w:rsid w:val="00841DCE"/>
    <w:rsid w:val="00842219"/>
    <w:rsid w:val="0084290F"/>
    <w:rsid w:val="008431FC"/>
    <w:rsid w:val="00843527"/>
    <w:rsid w:val="008435CD"/>
    <w:rsid w:val="008438DC"/>
    <w:rsid w:val="00843FDB"/>
    <w:rsid w:val="00844899"/>
    <w:rsid w:val="00844D40"/>
    <w:rsid w:val="00844E7A"/>
    <w:rsid w:val="00844EA1"/>
    <w:rsid w:val="0084515C"/>
    <w:rsid w:val="008454B1"/>
    <w:rsid w:val="00845D08"/>
    <w:rsid w:val="00845FDD"/>
    <w:rsid w:val="00846414"/>
    <w:rsid w:val="0084643D"/>
    <w:rsid w:val="008465E6"/>
    <w:rsid w:val="008467C5"/>
    <w:rsid w:val="00846F7D"/>
    <w:rsid w:val="008471C5"/>
    <w:rsid w:val="0084742D"/>
    <w:rsid w:val="0084761D"/>
    <w:rsid w:val="008500F5"/>
    <w:rsid w:val="0085035E"/>
    <w:rsid w:val="00850DE7"/>
    <w:rsid w:val="00851743"/>
    <w:rsid w:val="0085186A"/>
    <w:rsid w:val="00851875"/>
    <w:rsid w:val="00851E31"/>
    <w:rsid w:val="008523C1"/>
    <w:rsid w:val="00852C46"/>
    <w:rsid w:val="00852D39"/>
    <w:rsid w:val="00852E0D"/>
    <w:rsid w:val="00853610"/>
    <w:rsid w:val="00853B29"/>
    <w:rsid w:val="00853B54"/>
    <w:rsid w:val="00853ECC"/>
    <w:rsid w:val="00854213"/>
    <w:rsid w:val="00854BE8"/>
    <w:rsid w:val="00854C25"/>
    <w:rsid w:val="00854CF1"/>
    <w:rsid w:val="0085541C"/>
    <w:rsid w:val="008557C1"/>
    <w:rsid w:val="008569C2"/>
    <w:rsid w:val="00856A2C"/>
    <w:rsid w:val="00857107"/>
    <w:rsid w:val="008605BF"/>
    <w:rsid w:val="00861228"/>
    <w:rsid w:val="008613CD"/>
    <w:rsid w:val="008614BD"/>
    <w:rsid w:val="008615B0"/>
    <w:rsid w:val="0086190D"/>
    <w:rsid w:val="00861B75"/>
    <w:rsid w:val="008627B5"/>
    <w:rsid w:val="00862AA6"/>
    <w:rsid w:val="00862D6D"/>
    <w:rsid w:val="00863758"/>
    <w:rsid w:val="00863F8D"/>
    <w:rsid w:val="0086406A"/>
    <w:rsid w:val="008640E1"/>
    <w:rsid w:val="008644BC"/>
    <w:rsid w:val="008645EC"/>
    <w:rsid w:val="008647CA"/>
    <w:rsid w:val="008647D2"/>
    <w:rsid w:val="00865E27"/>
    <w:rsid w:val="0086618B"/>
    <w:rsid w:val="0086625A"/>
    <w:rsid w:val="0086653E"/>
    <w:rsid w:val="00867238"/>
    <w:rsid w:val="0086787B"/>
    <w:rsid w:val="0086796F"/>
    <w:rsid w:val="00867BAD"/>
    <w:rsid w:val="00867C2C"/>
    <w:rsid w:val="00867D6B"/>
    <w:rsid w:val="00867E64"/>
    <w:rsid w:val="00870086"/>
    <w:rsid w:val="008701A0"/>
    <w:rsid w:val="008707C5"/>
    <w:rsid w:val="00870FF3"/>
    <w:rsid w:val="008722C2"/>
    <w:rsid w:val="008727AA"/>
    <w:rsid w:val="00872907"/>
    <w:rsid w:val="00873E04"/>
    <w:rsid w:val="008742F8"/>
    <w:rsid w:val="00874A0A"/>
    <w:rsid w:val="00874D11"/>
    <w:rsid w:val="00874D8D"/>
    <w:rsid w:val="00874F70"/>
    <w:rsid w:val="00875385"/>
    <w:rsid w:val="0087578B"/>
    <w:rsid w:val="008760EB"/>
    <w:rsid w:val="00876B78"/>
    <w:rsid w:val="00876DEE"/>
    <w:rsid w:val="00877029"/>
    <w:rsid w:val="008770BB"/>
    <w:rsid w:val="00877B4A"/>
    <w:rsid w:val="00877FC2"/>
    <w:rsid w:val="008803AA"/>
    <w:rsid w:val="00880416"/>
    <w:rsid w:val="0088173C"/>
    <w:rsid w:val="00881FC7"/>
    <w:rsid w:val="0088220F"/>
    <w:rsid w:val="00883294"/>
    <w:rsid w:val="00884099"/>
    <w:rsid w:val="008842EC"/>
    <w:rsid w:val="008843DF"/>
    <w:rsid w:val="0088479B"/>
    <w:rsid w:val="0088499B"/>
    <w:rsid w:val="008849D3"/>
    <w:rsid w:val="00884F70"/>
    <w:rsid w:val="0088508B"/>
    <w:rsid w:val="00885122"/>
    <w:rsid w:val="00885D45"/>
    <w:rsid w:val="00886885"/>
    <w:rsid w:val="0088777A"/>
    <w:rsid w:val="00887B91"/>
    <w:rsid w:val="00887FCD"/>
    <w:rsid w:val="00890323"/>
    <w:rsid w:val="0089038A"/>
    <w:rsid w:val="008909E4"/>
    <w:rsid w:val="00890B42"/>
    <w:rsid w:val="00890E53"/>
    <w:rsid w:val="00890E6E"/>
    <w:rsid w:val="0089100B"/>
    <w:rsid w:val="00891A28"/>
    <w:rsid w:val="008920E5"/>
    <w:rsid w:val="008922DC"/>
    <w:rsid w:val="00892752"/>
    <w:rsid w:val="00892E1B"/>
    <w:rsid w:val="008933EB"/>
    <w:rsid w:val="008937BE"/>
    <w:rsid w:val="00893825"/>
    <w:rsid w:val="00893EA8"/>
    <w:rsid w:val="008942A8"/>
    <w:rsid w:val="008944A1"/>
    <w:rsid w:val="00895130"/>
    <w:rsid w:val="008952C9"/>
    <w:rsid w:val="008953AE"/>
    <w:rsid w:val="0089567D"/>
    <w:rsid w:val="00896F49"/>
    <w:rsid w:val="00897B0D"/>
    <w:rsid w:val="008A089D"/>
    <w:rsid w:val="008A0B93"/>
    <w:rsid w:val="008A106E"/>
    <w:rsid w:val="008A15C7"/>
    <w:rsid w:val="008A166D"/>
    <w:rsid w:val="008A29AD"/>
    <w:rsid w:val="008A3170"/>
    <w:rsid w:val="008A40EE"/>
    <w:rsid w:val="008A5311"/>
    <w:rsid w:val="008A55CF"/>
    <w:rsid w:val="008A5D7A"/>
    <w:rsid w:val="008A5FE7"/>
    <w:rsid w:val="008A6136"/>
    <w:rsid w:val="008A659C"/>
    <w:rsid w:val="008A6736"/>
    <w:rsid w:val="008A7AE8"/>
    <w:rsid w:val="008A7F28"/>
    <w:rsid w:val="008B010F"/>
    <w:rsid w:val="008B03C3"/>
    <w:rsid w:val="008B07FA"/>
    <w:rsid w:val="008B1148"/>
    <w:rsid w:val="008B12F5"/>
    <w:rsid w:val="008B19D7"/>
    <w:rsid w:val="008B1BB1"/>
    <w:rsid w:val="008B23EF"/>
    <w:rsid w:val="008B2465"/>
    <w:rsid w:val="008B2513"/>
    <w:rsid w:val="008B2586"/>
    <w:rsid w:val="008B28D9"/>
    <w:rsid w:val="008B2D5D"/>
    <w:rsid w:val="008B3063"/>
    <w:rsid w:val="008B3193"/>
    <w:rsid w:val="008B3956"/>
    <w:rsid w:val="008B3D41"/>
    <w:rsid w:val="008B41B1"/>
    <w:rsid w:val="008B43F1"/>
    <w:rsid w:val="008B47A6"/>
    <w:rsid w:val="008B4F3A"/>
    <w:rsid w:val="008B5EB5"/>
    <w:rsid w:val="008B5EBD"/>
    <w:rsid w:val="008B61C6"/>
    <w:rsid w:val="008B64C2"/>
    <w:rsid w:val="008B7BBE"/>
    <w:rsid w:val="008C0259"/>
    <w:rsid w:val="008C0B0D"/>
    <w:rsid w:val="008C0C94"/>
    <w:rsid w:val="008C1440"/>
    <w:rsid w:val="008C1A9C"/>
    <w:rsid w:val="008C33AE"/>
    <w:rsid w:val="008C37E0"/>
    <w:rsid w:val="008C3935"/>
    <w:rsid w:val="008C39F1"/>
    <w:rsid w:val="008C3D26"/>
    <w:rsid w:val="008C423F"/>
    <w:rsid w:val="008C44CA"/>
    <w:rsid w:val="008C44E2"/>
    <w:rsid w:val="008C46C6"/>
    <w:rsid w:val="008C4892"/>
    <w:rsid w:val="008C60C0"/>
    <w:rsid w:val="008C6635"/>
    <w:rsid w:val="008C701C"/>
    <w:rsid w:val="008C70AF"/>
    <w:rsid w:val="008C75EB"/>
    <w:rsid w:val="008C76E3"/>
    <w:rsid w:val="008C7978"/>
    <w:rsid w:val="008D086B"/>
    <w:rsid w:val="008D12D8"/>
    <w:rsid w:val="008D17AB"/>
    <w:rsid w:val="008D1A9A"/>
    <w:rsid w:val="008D1C3D"/>
    <w:rsid w:val="008D2156"/>
    <w:rsid w:val="008D2F20"/>
    <w:rsid w:val="008D3603"/>
    <w:rsid w:val="008D392A"/>
    <w:rsid w:val="008D3CB0"/>
    <w:rsid w:val="008D4390"/>
    <w:rsid w:val="008D4758"/>
    <w:rsid w:val="008D4B25"/>
    <w:rsid w:val="008D59BA"/>
    <w:rsid w:val="008D6135"/>
    <w:rsid w:val="008D6B95"/>
    <w:rsid w:val="008D6D2C"/>
    <w:rsid w:val="008D6FB9"/>
    <w:rsid w:val="008D70DC"/>
    <w:rsid w:val="008D720C"/>
    <w:rsid w:val="008D75F8"/>
    <w:rsid w:val="008D77E5"/>
    <w:rsid w:val="008D7C2B"/>
    <w:rsid w:val="008D7C7A"/>
    <w:rsid w:val="008E023E"/>
    <w:rsid w:val="008E1953"/>
    <w:rsid w:val="008E1E53"/>
    <w:rsid w:val="008E1E55"/>
    <w:rsid w:val="008E1FFD"/>
    <w:rsid w:val="008E1FFF"/>
    <w:rsid w:val="008E2109"/>
    <w:rsid w:val="008E3078"/>
    <w:rsid w:val="008E309F"/>
    <w:rsid w:val="008E34AE"/>
    <w:rsid w:val="008E3B35"/>
    <w:rsid w:val="008E4792"/>
    <w:rsid w:val="008E5104"/>
    <w:rsid w:val="008E5BC9"/>
    <w:rsid w:val="008E5E13"/>
    <w:rsid w:val="008E6071"/>
    <w:rsid w:val="008E63D3"/>
    <w:rsid w:val="008E67B6"/>
    <w:rsid w:val="008E7323"/>
    <w:rsid w:val="008E7A87"/>
    <w:rsid w:val="008F007C"/>
    <w:rsid w:val="008F0218"/>
    <w:rsid w:val="008F0F95"/>
    <w:rsid w:val="008F1382"/>
    <w:rsid w:val="008F141A"/>
    <w:rsid w:val="008F144E"/>
    <w:rsid w:val="008F1A6E"/>
    <w:rsid w:val="008F1DAE"/>
    <w:rsid w:val="008F1E92"/>
    <w:rsid w:val="008F22E3"/>
    <w:rsid w:val="008F30ED"/>
    <w:rsid w:val="008F3B68"/>
    <w:rsid w:val="008F40BF"/>
    <w:rsid w:val="008F433A"/>
    <w:rsid w:val="008F485A"/>
    <w:rsid w:val="008F50C1"/>
    <w:rsid w:val="008F5286"/>
    <w:rsid w:val="008F5994"/>
    <w:rsid w:val="008F6A51"/>
    <w:rsid w:val="008F724A"/>
    <w:rsid w:val="008F736C"/>
    <w:rsid w:val="008F741C"/>
    <w:rsid w:val="008F78EF"/>
    <w:rsid w:val="008F7AB7"/>
    <w:rsid w:val="009003C4"/>
    <w:rsid w:val="00900532"/>
    <w:rsid w:val="009005E7"/>
    <w:rsid w:val="00900E46"/>
    <w:rsid w:val="009012B0"/>
    <w:rsid w:val="00901986"/>
    <w:rsid w:val="00901EC6"/>
    <w:rsid w:val="009026B5"/>
    <w:rsid w:val="00903685"/>
    <w:rsid w:val="00903ACC"/>
    <w:rsid w:val="00903D52"/>
    <w:rsid w:val="0090429E"/>
    <w:rsid w:val="0090556A"/>
    <w:rsid w:val="0090593C"/>
    <w:rsid w:val="00905CBA"/>
    <w:rsid w:val="00905E81"/>
    <w:rsid w:val="00906328"/>
    <w:rsid w:val="00906987"/>
    <w:rsid w:val="009071C7"/>
    <w:rsid w:val="00907304"/>
    <w:rsid w:val="009076A3"/>
    <w:rsid w:val="0090784B"/>
    <w:rsid w:val="00907867"/>
    <w:rsid w:val="009106E5"/>
    <w:rsid w:val="00911B72"/>
    <w:rsid w:val="009120EC"/>
    <w:rsid w:val="00912534"/>
    <w:rsid w:val="009125DE"/>
    <w:rsid w:val="00912CFE"/>
    <w:rsid w:val="00912D16"/>
    <w:rsid w:val="0091302A"/>
    <w:rsid w:val="009133C9"/>
    <w:rsid w:val="0091344B"/>
    <w:rsid w:val="009146DC"/>
    <w:rsid w:val="00914837"/>
    <w:rsid w:val="0091497A"/>
    <w:rsid w:val="00914E67"/>
    <w:rsid w:val="009151E0"/>
    <w:rsid w:val="00915218"/>
    <w:rsid w:val="0091581F"/>
    <w:rsid w:val="00915B16"/>
    <w:rsid w:val="00915CF8"/>
    <w:rsid w:val="00916295"/>
    <w:rsid w:val="00916AD6"/>
    <w:rsid w:val="00917BAE"/>
    <w:rsid w:val="00917C03"/>
    <w:rsid w:val="00917E50"/>
    <w:rsid w:val="00917E56"/>
    <w:rsid w:val="00922437"/>
    <w:rsid w:val="009230F3"/>
    <w:rsid w:val="0092336B"/>
    <w:rsid w:val="00924247"/>
    <w:rsid w:val="009242C0"/>
    <w:rsid w:val="009247CD"/>
    <w:rsid w:val="00924C37"/>
    <w:rsid w:val="00924E47"/>
    <w:rsid w:val="00925690"/>
    <w:rsid w:val="00925C57"/>
    <w:rsid w:val="009261D2"/>
    <w:rsid w:val="0092625A"/>
    <w:rsid w:val="009263AD"/>
    <w:rsid w:val="0092717F"/>
    <w:rsid w:val="0092784B"/>
    <w:rsid w:val="00927890"/>
    <w:rsid w:val="009278E1"/>
    <w:rsid w:val="0093025D"/>
    <w:rsid w:val="00930795"/>
    <w:rsid w:val="0093107E"/>
    <w:rsid w:val="009310B2"/>
    <w:rsid w:val="00931208"/>
    <w:rsid w:val="009318D8"/>
    <w:rsid w:val="00931987"/>
    <w:rsid w:val="009322A3"/>
    <w:rsid w:val="0093266F"/>
    <w:rsid w:val="00932DA7"/>
    <w:rsid w:val="00933447"/>
    <w:rsid w:val="00933851"/>
    <w:rsid w:val="00933FC2"/>
    <w:rsid w:val="0093410B"/>
    <w:rsid w:val="00934EBD"/>
    <w:rsid w:val="00935094"/>
    <w:rsid w:val="00935C01"/>
    <w:rsid w:val="009360CC"/>
    <w:rsid w:val="009364A8"/>
    <w:rsid w:val="00936EBA"/>
    <w:rsid w:val="00937726"/>
    <w:rsid w:val="00937D36"/>
    <w:rsid w:val="00940291"/>
    <w:rsid w:val="0094094D"/>
    <w:rsid w:val="00940E70"/>
    <w:rsid w:val="009413AA"/>
    <w:rsid w:val="0094197D"/>
    <w:rsid w:val="0094235C"/>
    <w:rsid w:val="009428B2"/>
    <w:rsid w:val="00942C4B"/>
    <w:rsid w:val="00943216"/>
    <w:rsid w:val="00943478"/>
    <w:rsid w:val="00944738"/>
    <w:rsid w:val="00945066"/>
    <w:rsid w:val="009452E4"/>
    <w:rsid w:val="009455CB"/>
    <w:rsid w:val="009456DE"/>
    <w:rsid w:val="00946046"/>
    <w:rsid w:val="00946753"/>
    <w:rsid w:val="00946864"/>
    <w:rsid w:val="00947036"/>
    <w:rsid w:val="0094709F"/>
    <w:rsid w:val="00947956"/>
    <w:rsid w:val="009501FC"/>
    <w:rsid w:val="00950975"/>
    <w:rsid w:val="00950E78"/>
    <w:rsid w:val="00951642"/>
    <w:rsid w:val="009516D9"/>
    <w:rsid w:val="00951EC4"/>
    <w:rsid w:val="009520AE"/>
    <w:rsid w:val="009523AB"/>
    <w:rsid w:val="00952539"/>
    <w:rsid w:val="00952C38"/>
    <w:rsid w:val="009539BE"/>
    <w:rsid w:val="00953ABA"/>
    <w:rsid w:val="009540F8"/>
    <w:rsid w:val="00954156"/>
    <w:rsid w:val="00954E36"/>
    <w:rsid w:val="00955478"/>
    <w:rsid w:val="00956689"/>
    <w:rsid w:val="009569FC"/>
    <w:rsid w:val="00956C3A"/>
    <w:rsid w:val="009608EF"/>
    <w:rsid w:val="00961977"/>
    <w:rsid w:val="00961BC8"/>
    <w:rsid w:val="0096202B"/>
    <w:rsid w:val="00962408"/>
    <w:rsid w:val="00962CA6"/>
    <w:rsid w:val="00963340"/>
    <w:rsid w:val="00964422"/>
    <w:rsid w:val="00964885"/>
    <w:rsid w:val="009648FB"/>
    <w:rsid w:val="00964AA9"/>
    <w:rsid w:val="00964B47"/>
    <w:rsid w:val="009654E3"/>
    <w:rsid w:val="009662DC"/>
    <w:rsid w:val="0096635B"/>
    <w:rsid w:val="009665C1"/>
    <w:rsid w:val="0096695C"/>
    <w:rsid w:val="00966EF0"/>
    <w:rsid w:val="009671B6"/>
    <w:rsid w:val="00967A2F"/>
    <w:rsid w:val="00967F6A"/>
    <w:rsid w:val="0097019B"/>
    <w:rsid w:val="00970229"/>
    <w:rsid w:val="0097050F"/>
    <w:rsid w:val="0097077F"/>
    <w:rsid w:val="009717B3"/>
    <w:rsid w:val="009726DF"/>
    <w:rsid w:val="009727C1"/>
    <w:rsid w:val="00972FCC"/>
    <w:rsid w:val="009730F0"/>
    <w:rsid w:val="00973153"/>
    <w:rsid w:val="009732A9"/>
    <w:rsid w:val="00973A4F"/>
    <w:rsid w:val="00973ED9"/>
    <w:rsid w:val="00973F44"/>
    <w:rsid w:val="00974164"/>
    <w:rsid w:val="009752E9"/>
    <w:rsid w:val="00975EA1"/>
    <w:rsid w:val="00976389"/>
    <w:rsid w:val="00976675"/>
    <w:rsid w:val="009772A7"/>
    <w:rsid w:val="00977BAD"/>
    <w:rsid w:val="00977F9A"/>
    <w:rsid w:val="009801B7"/>
    <w:rsid w:val="00981963"/>
    <w:rsid w:val="00982120"/>
    <w:rsid w:val="009824AC"/>
    <w:rsid w:val="009829E9"/>
    <w:rsid w:val="00982B4A"/>
    <w:rsid w:val="00983AA6"/>
    <w:rsid w:val="00983ABC"/>
    <w:rsid w:val="009842CA"/>
    <w:rsid w:val="009844B6"/>
    <w:rsid w:val="00984559"/>
    <w:rsid w:val="00984596"/>
    <w:rsid w:val="0098489C"/>
    <w:rsid w:val="00984B6F"/>
    <w:rsid w:val="0098523B"/>
    <w:rsid w:val="009852D1"/>
    <w:rsid w:val="00985931"/>
    <w:rsid w:val="00985C11"/>
    <w:rsid w:val="0098703F"/>
    <w:rsid w:val="009870BF"/>
    <w:rsid w:val="009870C9"/>
    <w:rsid w:val="00987113"/>
    <w:rsid w:val="0098730A"/>
    <w:rsid w:val="0098751D"/>
    <w:rsid w:val="00987696"/>
    <w:rsid w:val="00987AFF"/>
    <w:rsid w:val="00990142"/>
    <w:rsid w:val="00990895"/>
    <w:rsid w:val="00990BFE"/>
    <w:rsid w:val="0099108F"/>
    <w:rsid w:val="0099147E"/>
    <w:rsid w:val="00991B71"/>
    <w:rsid w:val="00991BF8"/>
    <w:rsid w:val="0099236E"/>
    <w:rsid w:val="0099243D"/>
    <w:rsid w:val="00992DE5"/>
    <w:rsid w:val="00993066"/>
    <w:rsid w:val="0099335C"/>
    <w:rsid w:val="00993CBD"/>
    <w:rsid w:val="00993E38"/>
    <w:rsid w:val="0099436B"/>
    <w:rsid w:val="00994A5D"/>
    <w:rsid w:val="00994AFA"/>
    <w:rsid w:val="009954DC"/>
    <w:rsid w:val="0099663F"/>
    <w:rsid w:val="00996CD3"/>
    <w:rsid w:val="00997F54"/>
    <w:rsid w:val="009A0289"/>
    <w:rsid w:val="009A06AF"/>
    <w:rsid w:val="009A13F7"/>
    <w:rsid w:val="009A1685"/>
    <w:rsid w:val="009A168E"/>
    <w:rsid w:val="009A187F"/>
    <w:rsid w:val="009A299A"/>
    <w:rsid w:val="009A2E59"/>
    <w:rsid w:val="009A3694"/>
    <w:rsid w:val="009A3706"/>
    <w:rsid w:val="009A3C34"/>
    <w:rsid w:val="009A3C5E"/>
    <w:rsid w:val="009A4647"/>
    <w:rsid w:val="009A486A"/>
    <w:rsid w:val="009A4CEF"/>
    <w:rsid w:val="009A53C4"/>
    <w:rsid w:val="009A56D2"/>
    <w:rsid w:val="009A5969"/>
    <w:rsid w:val="009A68C0"/>
    <w:rsid w:val="009A6C0E"/>
    <w:rsid w:val="009A72E1"/>
    <w:rsid w:val="009A733D"/>
    <w:rsid w:val="009A791A"/>
    <w:rsid w:val="009A7BC4"/>
    <w:rsid w:val="009A7F8E"/>
    <w:rsid w:val="009B00CB"/>
    <w:rsid w:val="009B0A8C"/>
    <w:rsid w:val="009B1FAD"/>
    <w:rsid w:val="009B2CEF"/>
    <w:rsid w:val="009B32B1"/>
    <w:rsid w:val="009B3E7C"/>
    <w:rsid w:val="009B3F4E"/>
    <w:rsid w:val="009B40DE"/>
    <w:rsid w:val="009B4F12"/>
    <w:rsid w:val="009B5675"/>
    <w:rsid w:val="009B5FF7"/>
    <w:rsid w:val="009B6055"/>
    <w:rsid w:val="009B61D4"/>
    <w:rsid w:val="009B62C2"/>
    <w:rsid w:val="009B6327"/>
    <w:rsid w:val="009B69B2"/>
    <w:rsid w:val="009B73C9"/>
    <w:rsid w:val="009B743C"/>
    <w:rsid w:val="009B7AA1"/>
    <w:rsid w:val="009C2BB2"/>
    <w:rsid w:val="009C2C8D"/>
    <w:rsid w:val="009C326A"/>
    <w:rsid w:val="009C3E46"/>
    <w:rsid w:val="009C4A51"/>
    <w:rsid w:val="009C53F8"/>
    <w:rsid w:val="009C6758"/>
    <w:rsid w:val="009C67FA"/>
    <w:rsid w:val="009C6B27"/>
    <w:rsid w:val="009C6BC5"/>
    <w:rsid w:val="009C74C2"/>
    <w:rsid w:val="009D02D4"/>
    <w:rsid w:val="009D039A"/>
    <w:rsid w:val="009D09A0"/>
    <w:rsid w:val="009D1290"/>
    <w:rsid w:val="009D14D7"/>
    <w:rsid w:val="009D16AD"/>
    <w:rsid w:val="009D1FE3"/>
    <w:rsid w:val="009D21BF"/>
    <w:rsid w:val="009D2209"/>
    <w:rsid w:val="009D2B89"/>
    <w:rsid w:val="009D316A"/>
    <w:rsid w:val="009D3554"/>
    <w:rsid w:val="009D3808"/>
    <w:rsid w:val="009D3810"/>
    <w:rsid w:val="009D471B"/>
    <w:rsid w:val="009D4A93"/>
    <w:rsid w:val="009D4B97"/>
    <w:rsid w:val="009D5E3E"/>
    <w:rsid w:val="009D6AB0"/>
    <w:rsid w:val="009D720F"/>
    <w:rsid w:val="009D7607"/>
    <w:rsid w:val="009D7EAD"/>
    <w:rsid w:val="009E0278"/>
    <w:rsid w:val="009E0E4F"/>
    <w:rsid w:val="009E10F0"/>
    <w:rsid w:val="009E1170"/>
    <w:rsid w:val="009E143C"/>
    <w:rsid w:val="009E1BCB"/>
    <w:rsid w:val="009E2315"/>
    <w:rsid w:val="009E2BE2"/>
    <w:rsid w:val="009E2DA6"/>
    <w:rsid w:val="009E2F6B"/>
    <w:rsid w:val="009E3801"/>
    <w:rsid w:val="009E3E33"/>
    <w:rsid w:val="009E3F8D"/>
    <w:rsid w:val="009E4DAE"/>
    <w:rsid w:val="009E5358"/>
    <w:rsid w:val="009E57C2"/>
    <w:rsid w:val="009E5F9A"/>
    <w:rsid w:val="009E6690"/>
    <w:rsid w:val="009E7BC3"/>
    <w:rsid w:val="009F01F5"/>
    <w:rsid w:val="009F0AF2"/>
    <w:rsid w:val="009F1067"/>
    <w:rsid w:val="009F18C9"/>
    <w:rsid w:val="009F1B88"/>
    <w:rsid w:val="009F1EEA"/>
    <w:rsid w:val="009F23A5"/>
    <w:rsid w:val="009F266E"/>
    <w:rsid w:val="009F27D0"/>
    <w:rsid w:val="009F285B"/>
    <w:rsid w:val="009F294B"/>
    <w:rsid w:val="009F2F55"/>
    <w:rsid w:val="009F3109"/>
    <w:rsid w:val="009F367E"/>
    <w:rsid w:val="009F3F51"/>
    <w:rsid w:val="009F3FB7"/>
    <w:rsid w:val="009F4324"/>
    <w:rsid w:val="009F4609"/>
    <w:rsid w:val="009F4D84"/>
    <w:rsid w:val="009F52C8"/>
    <w:rsid w:val="009F53B7"/>
    <w:rsid w:val="009F68B6"/>
    <w:rsid w:val="009F69E7"/>
    <w:rsid w:val="009F6CBB"/>
    <w:rsid w:val="009F703E"/>
    <w:rsid w:val="009F7EDF"/>
    <w:rsid w:val="00A007C7"/>
    <w:rsid w:val="00A009B4"/>
    <w:rsid w:val="00A00C2A"/>
    <w:rsid w:val="00A0102B"/>
    <w:rsid w:val="00A01466"/>
    <w:rsid w:val="00A02C0A"/>
    <w:rsid w:val="00A02EBD"/>
    <w:rsid w:val="00A03264"/>
    <w:rsid w:val="00A03293"/>
    <w:rsid w:val="00A039A3"/>
    <w:rsid w:val="00A039E4"/>
    <w:rsid w:val="00A05517"/>
    <w:rsid w:val="00A0569B"/>
    <w:rsid w:val="00A05849"/>
    <w:rsid w:val="00A06D2C"/>
    <w:rsid w:val="00A06D69"/>
    <w:rsid w:val="00A0758B"/>
    <w:rsid w:val="00A07742"/>
    <w:rsid w:val="00A077AE"/>
    <w:rsid w:val="00A07CCB"/>
    <w:rsid w:val="00A102A7"/>
    <w:rsid w:val="00A10E98"/>
    <w:rsid w:val="00A111D2"/>
    <w:rsid w:val="00A11225"/>
    <w:rsid w:val="00A12080"/>
    <w:rsid w:val="00A121B3"/>
    <w:rsid w:val="00A12818"/>
    <w:rsid w:val="00A12DD8"/>
    <w:rsid w:val="00A12E97"/>
    <w:rsid w:val="00A13516"/>
    <w:rsid w:val="00A1381E"/>
    <w:rsid w:val="00A13EBB"/>
    <w:rsid w:val="00A141AE"/>
    <w:rsid w:val="00A142EF"/>
    <w:rsid w:val="00A14D40"/>
    <w:rsid w:val="00A152C1"/>
    <w:rsid w:val="00A15F13"/>
    <w:rsid w:val="00A172DD"/>
    <w:rsid w:val="00A2037E"/>
    <w:rsid w:val="00A20BFF"/>
    <w:rsid w:val="00A20D0F"/>
    <w:rsid w:val="00A20DF2"/>
    <w:rsid w:val="00A21DEC"/>
    <w:rsid w:val="00A21FD8"/>
    <w:rsid w:val="00A220DB"/>
    <w:rsid w:val="00A2240C"/>
    <w:rsid w:val="00A2276F"/>
    <w:rsid w:val="00A22772"/>
    <w:rsid w:val="00A22B83"/>
    <w:rsid w:val="00A22D6F"/>
    <w:rsid w:val="00A22F64"/>
    <w:rsid w:val="00A2362A"/>
    <w:rsid w:val="00A23E2B"/>
    <w:rsid w:val="00A2478B"/>
    <w:rsid w:val="00A258C2"/>
    <w:rsid w:val="00A25D01"/>
    <w:rsid w:val="00A25EFB"/>
    <w:rsid w:val="00A275E2"/>
    <w:rsid w:val="00A27830"/>
    <w:rsid w:val="00A27F93"/>
    <w:rsid w:val="00A30A2E"/>
    <w:rsid w:val="00A30E36"/>
    <w:rsid w:val="00A30EF0"/>
    <w:rsid w:val="00A310E0"/>
    <w:rsid w:val="00A31591"/>
    <w:rsid w:val="00A31B1C"/>
    <w:rsid w:val="00A320A0"/>
    <w:rsid w:val="00A32CF3"/>
    <w:rsid w:val="00A32D35"/>
    <w:rsid w:val="00A33036"/>
    <w:rsid w:val="00A33347"/>
    <w:rsid w:val="00A33A59"/>
    <w:rsid w:val="00A3451A"/>
    <w:rsid w:val="00A3477E"/>
    <w:rsid w:val="00A348BF"/>
    <w:rsid w:val="00A34B08"/>
    <w:rsid w:val="00A35291"/>
    <w:rsid w:val="00A35C5E"/>
    <w:rsid w:val="00A35CE1"/>
    <w:rsid w:val="00A3796F"/>
    <w:rsid w:val="00A37C53"/>
    <w:rsid w:val="00A40185"/>
    <w:rsid w:val="00A40F70"/>
    <w:rsid w:val="00A41932"/>
    <w:rsid w:val="00A424FF"/>
    <w:rsid w:val="00A42624"/>
    <w:rsid w:val="00A427A4"/>
    <w:rsid w:val="00A427A8"/>
    <w:rsid w:val="00A43D27"/>
    <w:rsid w:val="00A44030"/>
    <w:rsid w:val="00A449A0"/>
    <w:rsid w:val="00A44F0E"/>
    <w:rsid w:val="00A455B3"/>
    <w:rsid w:val="00A45D4B"/>
    <w:rsid w:val="00A46B17"/>
    <w:rsid w:val="00A471DB"/>
    <w:rsid w:val="00A4725B"/>
    <w:rsid w:val="00A47752"/>
    <w:rsid w:val="00A47BED"/>
    <w:rsid w:val="00A509AA"/>
    <w:rsid w:val="00A51934"/>
    <w:rsid w:val="00A51D6B"/>
    <w:rsid w:val="00A51E41"/>
    <w:rsid w:val="00A52CAF"/>
    <w:rsid w:val="00A53A48"/>
    <w:rsid w:val="00A53AA0"/>
    <w:rsid w:val="00A53FCB"/>
    <w:rsid w:val="00A54092"/>
    <w:rsid w:val="00A5437D"/>
    <w:rsid w:val="00A54BAE"/>
    <w:rsid w:val="00A554EF"/>
    <w:rsid w:val="00A555A6"/>
    <w:rsid w:val="00A55705"/>
    <w:rsid w:val="00A55791"/>
    <w:rsid w:val="00A55928"/>
    <w:rsid w:val="00A55CE7"/>
    <w:rsid w:val="00A55FFC"/>
    <w:rsid w:val="00A564DE"/>
    <w:rsid w:val="00A56A17"/>
    <w:rsid w:val="00A56DCE"/>
    <w:rsid w:val="00A57418"/>
    <w:rsid w:val="00A57719"/>
    <w:rsid w:val="00A57AE9"/>
    <w:rsid w:val="00A57C56"/>
    <w:rsid w:val="00A600EC"/>
    <w:rsid w:val="00A602BF"/>
    <w:rsid w:val="00A6054D"/>
    <w:rsid w:val="00A6077B"/>
    <w:rsid w:val="00A60E4F"/>
    <w:rsid w:val="00A6107D"/>
    <w:rsid w:val="00A610DC"/>
    <w:rsid w:val="00A61DA2"/>
    <w:rsid w:val="00A6259D"/>
    <w:rsid w:val="00A62A27"/>
    <w:rsid w:val="00A62A7E"/>
    <w:rsid w:val="00A62B36"/>
    <w:rsid w:val="00A62C06"/>
    <w:rsid w:val="00A62FDA"/>
    <w:rsid w:val="00A63107"/>
    <w:rsid w:val="00A637FA"/>
    <w:rsid w:val="00A63D97"/>
    <w:rsid w:val="00A63FA6"/>
    <w:rsid w:val="00A6444F"/>
    <w:rsid w:val="00A65841"/>
    <w:rsid w:val="00A65C1B"/>
    <w:rsid w:val="00A66CFA"/>
    <w:rsid w:val="00A66D86"/>
    <w:rsid w:val="00A675BB"/>
    <w:rsid w:val="00A67AF6"/>
    <w:rsid w:val="00A701F1"/>
    <w:rsid w:val="00A704EE"/>
    <w:rsid w:val="00A70D61"/>
    <w:rsid w:val="00A71C9C"/>
    <w:rsid w:val="00A71C9E"/>
    <w:rsid w:val="00A72102"/>
    <w:rsid w:val="00A722B1"/>
    <w:rsid w:val="00A72628"/>
    <w:rsid w:val="00A73AA9"/>
    <w:rsid w:val="00A73B11"/>
    <w:rsid w:val="00A74264"/>
    <w:rsid w:val="00A745CF"/>
    <w:rsid w:val="00A75555"/>
    <w:rsid w:val="00A76140"/>
    <w:rsid w:val="00A76890"/>
    <w:rsid w:val="00A76D07"/>
    <w:rsid w:val="00A77386"/>
    <w:rsid w:val="00A7796A"/>
    <w:rsid w:val="00A779A1"/>
    <w:rsid w:val="00A77A3E"/>
    <w:rsid w:val="00A8007E"/>
    <w:rsid w:val="00A80120"/>
    <w:rsid w:val="00A8036C"/>
    <w:rsid w:val="00A80C7B"/>
    <w:rsid w:val="00A817A2"/>
    <w:rsid w:val="00A81AA5"/>
    <w:rsid w:val="00A81BB3"/>
    <w:rsid w:val="00A828DD"/>
    <w:rsid w:val="00A82967"/>
    <w:rsid w:val="00A82EC7"/>
    <w:rsid w:val="00A83711"/>
    <w:rsid w:val="00A8389C"/>
    <w:rsid w:val="00A84041"/>
    <w:rsid w:val="00A853BE"/>
    <w:rsid w:val="00A86074"/>
    <w:rsid w:val="00A86541"/>
    <w:rsid w:val="00A86CC5"/>
    <w:rsid w:val="00A875B4"/>
    <w:rsid w:val="00A87E2C"/>
    <w:rsid w:val="00A87FF5"/>
    <w:rsid w:val="00A903F4"/>
    <w:rsid w:val="00A90A7A"/>
    <w:rsid w:val="00A90AC8"/>
    <w:rsid w:val="00A911F6"/>
    <w:rsid w:val="00A91793"/>
    <w:rsid w:val="00A91C43"/>
    <w:rsid w:val="00A91F95"/>
    <w:rsid w:val="00A92173"/>
    <w:rsid w:val="00A92180"/>
    <w:rsid w:val="00A92383"/>
    <w:rsid w:val="00A9260D"/>
    <w:rsid w:val="00A929FD"/>
    <w:rsid w:val="00A93385"/>
    <w:rsid w:val="00A933DA"/>
    <w:rsid w:val="00A93E81"/>
    <w:rsid w:val="00A945DB"/>
    <w:rsid w:val="00A94892"/>
    <w:rsid w:val="00A94AD7"/>
    <w:rsid w:val="00A94B22"/>
    <w:rsid w:val="00A953E7"/>
    <w:rsid w:val="00A953F8"/>
    <w:rsid w:val="00A95958"/>
    <w:rsid w:val="00A9596B"/>
    <w:rsid w:val="00A95E51"/>
    <w:rsid w:val="00A96004"/>
    <w:rsid w:val="00A97371"/>
    <w:rsid w:val="00A97FF3"/>
    <w:rsid w:val="00AA01BD"/>
    <w:rsid w:val="00AA0DDF"/>
    <w:rsid w:val="00AA194B"/>
    <w:rsid w:val="00AA2B3C"/>
    <w:rsid w:val="00AA304D"/>
    <w:rsid w:val="00AA316A"/>
    <w:rsid w:val="00AA31D7"/>
    <w:rsid w:val="00AA3E1E"/>
    <w:rsid w:val="00AA423C"/>
    <w:rsid w:val="00AA48EA"/>
    <w:rsid w:val="00AA4B75"/>
    <w:rsid w:val="00AA4E1F"/>
    <w:rsid w:val="00AA58A3"/>
    <w:rsid w:val="00AA5C4B"/>
    <w:rsid w:val="00AA608C"/>
    <w:rsid w:val="00AA637B"/>
    <w:rsid w:val="00AA6855"/>
    <w:rsid w:val="00AA68D4"/>
    <w:rsid w:val="00AA694B"/>
    <w:rsid w:val="00AA7635"/>
    <w:rsid w:val="00AA77B5"/>
    <w:rsid w:val="00AB0489"/>
    <w:rsid w:val="00AB056D"/>
    <w:rsid w:val="00AB0675"/>
    <w:rsid w:val="00AB0BFA"/>
    <w:rsid w:val="00AB1445"/>
    <w:rsid w:val="00AB14E9"/>
    <w:rsid w:val="00AB17BA"/>
    <w:rsid w:val="00AB17D6"/>
    <w:rsid w:val="00AB1C33"/>
    <w:rsid w:val="00AB29D9"/>
    <w:rsid w:val="00AB2D3A"/>
    <w:rsid w:val="00AB2D7F"/>
    <w:rsid w:val="00AB313A"/>
    <w:rsid w:val="00AB3673"/>
    <w:rsid w:val="00AB3964"/>
    <w:rsid w:val="00AB4090"/>
    <w:rsid w:val="00AB46FA"/>
    <w:rsid w:val="00AB5030"/>
    <w:rsid w:val="00AB5116"/>
    <w:rsid w:val="00AB55CE"/>
    <w:rsid w:val="00AB5695"/>
    <w:rsid w:val="00AB56B6"/>
    <w:rsid w:val="00AB57E8"/>
    <w:rsid w:val="00AB5850"/>
    <w:rsid w:val="00AB5F56"/>
    <w:rsid w:val="00AB6E18"/>
    <w:rsid w:val="00AB7231"/>
    <w:rsid w:val="00AB7E21"/>
    <w:rsid w:val="00AC114D"/>
    <w:rsid w:val="00AC15A7"/>
    <w:rsid w:val="00AC1810"/>
    <w:rsid w:val="00AC1900"/>
    <w:rsid w:val="00AC2DB1"/>
    <w:rsid w:val="00AC37F8"/>
    <w:rsid w:val="00AC3C98"/>
    <w:rsid w:val="00AC3CD1"/>
    <w:rsid w:val="00AC4477"/>
    <w:rsid w:val="00AC4D1A"/>
    <w:rsid w:val="00AC4D56"/>
    <w:rsid w:val="00AC53DF"/>
    <w:rsid w:val="00AC561A"/>
    <w:rsid w:val="00AC5914"/>
    <w:rsid w:val="00AC607E"/>
    <w:rsid w:val="00AC6124"/>
    <w:rsid w:val="00AC66F4"/>
    <w:rsid w:val="00AC71F8"/>
    <w:rsid w:val="00AC7262"/>
    <w:rsid w:val="00AC7CBC"/>
    <w:rsid w:val="00AD1349"/>
    <w:rsid w:val="00AD171B"/>
    <w:rsid w:val="00AD1F74"/>
    <w:rsid w:val="00AD1F97"/>
    <w:rsid w:val="00AD22A2"/>
    <w:rsid w:val="00AD2FE0"/>
    <w:rsid w:val="00AD3129"/>
    <w:rsid w:val="00AD33FE"/>
    <w:rsid w:val="00AD344D"/>
    <w:rsid w:val="00AD34E7"/>
    <w:rsid w:val="00AD3876"/>
    <w:rsid w:val="00AD399F"/>
    <w:rsid w:val="00AD3C8A"/>
    <w:rsid w:val="00AD4CDA"/>
    <w:rsid w:val="00AD4D2D"/>
    <w:rsid w:val="00AD5043"/>
    <w:rsid w:val="00AD5D96"/>
    <w:rsid w:val="00AD71A9"/>
    <w:rsid w:val="00AD7596"/>
    <w:rsid w:val="00AD7786"/>
    <w:rsid w:val="00AE02B0"/>
    <w:rsid w:val="00AE036A"/>
    <w:rsid w:val="00AE06D5"/>
    <w:rsid w:val="00AE0D7B"/>
    <w:rsid w:val="00AE0E31"/>
    <w:rsid w:val="00AE0F5B"/>
    <w:rsid w:val="00AE110C"/>
    <w:rsid w:val="00AE112E"/>
    <w:rsid w:val="00AE19FE"/>
    <w:rsid w:val="00AE2034"/>
    <w:rsid w:val="00AE27EF"/>
    <w:rsid w:val="00AE2816"/>
    <w:rsid w:val="00AE287A"/>
    <w:rsid w:val="00AE2E32"/>
    <w:rsid w:val="00AE3FA6"/>
    <w:rsid w:val="00AE4016"/>
    <w:rsid w:val="00AE487F"/>
    <w:rsid w:val="00AE4D73"/>
    <w:rsid w:val="00AE5C2A"/>
    <w:rsid w:val="00AE6776"/>
    <w:rsid w:val="00AE67BE"/>
    <w:rsid w:val="00AE6E33"/>
    <w:rsid w:val="00AE6FB5"/>
    <w:rsid w:val="00AE71E3"/>
    <w:rsid w:val="00AE7965"/>
    <w:rsid w:val="00AE7B3B"/>
    <w:rsid w:val="00AF0C7C"/>
    <w:rsid w:val="00AF1BD5"/>
    <w:rsid w:val="00AF2188"/>
    <w:rsid w:val="00AF2BF1"/>
    <w:rsid w:val="00AF2FA5"/>
    <w:rsid w:val="00AF3510"/>
    <w:rsid w:val="00AF59A3"/>
    <w:rsid w:val="00AF5B11"/>
    <w:rsid w:val="00B00581"/>
    <w:rsid w:val="00B0070C"/>
    <w:rsid w:val="00B008E6"/>
    <w:rsid w:val="00B0148F"/>
    <w:rsid w:val="00B014F5"/>
    <w:rsid w:val="00B020E5"/>
    <w:rsid w:val="00B02143"/>
    <w:rsid w:val="00B024D0"/>
    <w:rsid w:val="00B02562"/>
    <w:rsid w:val="00B0304E"/>
    <w:rsid w:val="00B03612"/>
    <w:rsid w:val="00B03645"/>
    <w:rsid w:val="00B03FD1"/>
    <w:rsid w:val="00B04300"/>
    <w:rsid w:val="00B04361"/>
    <w:rsid w:val="00B045C9"/>
    <w:rsid w:val="00B0508D"/>
    <w:rsid w:val="00B056E5"/>
    <w:rsid w:val="00B06369"/>
    <w:rsid w:val="00B0703E"/>
    <w:rsid w:val="00B071FA"/>
    <w:rsid w:val="00B073F5"/>
    <w:rsid w:val="00B07E9E"/>
    <w:rsid w:val="00B07EB9"/>
    <w:rsid w:val="00B11240"/>
    <w:rsid w:val="00B114EE"/>
    <w:rsid w:val="00B115A3"/>
    <w:rsid w:val="00B11AEF"/>
    <w:rsid w:val="00B1209E"/>
    <w:rsid w:val="00B1215B"/>
    <w:rsid w:val="00B137C6"/>
    <w:rsid w:val="00B1395A"/>
    <w:rsid w:val="00B13DC6"/>
    <w:rsid w:val="00B14047"/>
    <w:rsid w:val="00B14173"/>
    <w:rsid w:val="00B143CC"/>
    <w:rsid w:val="00B1476E"/>
    <w:rsid w:val="00B149E2"/>
    <w:rsid w:val="00B14FF1"/>
    <w:rsid w:val="00B150C7"/>
    <w:rsid w:val="00B15403"/>
    <w:rsid w:val="00B15691"/>
    <w:rsid w:val="00B15CC1"/>
    <w:rsid w:val="00B15EC6"/>
    <w:rsid w:val="00B163A5"/>
    <w:rsid w:val="00B163D1"/>
    <w:rsid w:val="00B16806"/>
    <w:rsid w:val="00B16861"/>
    <w:rsid w:val="00B170A3"/>
    <w:rsid w:val="00B175B8"/>
    <w:rsid w:val="00B177A3"/>
    <w:rsid w:val="00B200F6"/>
    <w:rsid w:val="00B21206"/>
    <w:rsid w:val="00B22038"/>
    <w:rsid w:val="00B221A9"/>
    <w:rsid w:val="00B22CCA"/>
    <w:rsid w:val="00B22FEF"/>
    <w:rsid w:val="00B232BA"/>
    <w:rsid w:val="00B24174"/>
    <w:rsid w:val="00B24C0D"/>
    <w:rsid w:val="00B255EA"/>
    <w:rsid w:val="00B260DD"/>
    <w:rsid w:val="00B26A3B"/>
    <w:rsid w:val="00B2708C"/>
    <w:rsid w:val="00B27571"/>
    <w:rsid w:val="00B27722"/>
    <w:rsid w:val="00B30366"/>
    <w:rsid w:val="00B3082A"/>
    <w:rsid w:val="00B30D5C"/>
    <w:rsid w:val="00B313D2"/>
    <w:rsid w:val="00B31CCD"/>
    <w:rsid w:val="00B3340F"/>
    <w:rsid w:val="00B33848"/>
    <w:rsid w:val="00B33B60"/>
    <w:rsid w:val="00B33BF4"/>
    <w:rsid w:val="00B340CA"/>
    <w:rsid w:val="00B340F2"/>
    <w:rsid w:val="00B34661"/>
    <w:rsid w:val="00B3562E"/>
    <w:rsid w:val="00B36740"/>
    <w:rsid w:val="00B37227"/>
    <w:rsid w:val="00B3726C"/>
    <w:rsid w:val="00B37DFA"/>
    <w:rsid w:val="00B4088B"/>
    <w:rsid w:val="00B41249"/>
    <w:rsid w:val="00B413E1"/>
    <w:rsid w:val="00B41BD7"/>
    <w:rsid w:val="00B41CC6"/>
    <w:rsid w:val="00B41EF2"/>
    <w:rsid w:val="00B423E9"/>
    <w:rsid w:val="00B42617"/>
    <w:rsid w:val="00B42845"/>
    <w:rsid w:val="00B42F06"/>
    <w:rsid w:val="00B431E5"/>
    <w:rsid w:val="00B43223"/>
    <w:rsid w:val="00B437EF"/>
    <w:rsid w:val="00B43B37"/>
    <w:rsid w:val="00B44307"/>
    <w:rsid w:val="00B4436E"/>
    <w:rsid w:val="00B44468"/>
    <w:rsid w:val="00B44AFD"/>
    <w:rsid w:val="00B44BBC"/>
    <w:rsid w:val="00B45A86"/>
    <w:rsid w:val="00B462C8"/>
    <w:rsid w:val="00B4692C"/>
    <w:rsid w:val="00B46A1F"/>
    <w:rsid w:val="00B474EA"/>
    <w:rsid w:val="00B476CE"/>
    <w:rsid w:val="00B5049B"/>
    <w:rsid w:val="00B5083F"/>
    <w:rsid w:val="00B50D57"/>
    <w:rsid w:val="00B5101D"/>
    <w:rsid w:val="00B513CC"/>
    <w:rsid w:val="00B51CDF"/>
    <w:rsid w:val="00B523F5"/>
    <w:rsid w:val="00B52604"/>
    <w:rsid w:val="00B52816"/>
    <w:rsid w:val="00B5285A"/>
    <w:rsid w:val="00B52930"/>
    <w:rsid w:val="00B5365F"/>
    <w:rsid w:val="00B537EE"/>
    <w:rsid w:val="00B5383A"/>
    <w:rsid w:val="00B53882"/>
    <w:rsid w:val="00B5418E"/>
    <w:rsid w:val="00B54E74"/>
    <w:rsid w:val="00B5503B"/>
    <w:rsid w:val="00B55351"/>
    <w:rsid w:val="00B553EE"/>
    <w:rsid w:val="00B55454"/>
    <w:rsid w:val="00B559C1"/>
    <w:rsid w:val="00B5624A"/>
    <w:rsid w:val="00B569AD"/>
    <w:rsid w:val="00B56B96"/>
    <w:rsid w:val="00B56BF4"/>
    <w:rsid w:val="00B56E02"/>
    <w:rsid w:val="00B56E67"/>
    <w:rsid w:val="00B57B2E"/>
    <w:rsid w:val="00B60328"/>
    <w:rsid w:val="00B60FF2"/>
    <w:rsid w:val="00B616FE"/>
    <w:rsid w:val="00B62646"/>
    <w:rsid w:val="00B62A2A"/>
    <w:rsid w:val="00B63002"/>
    <w:rsid w:val="00B632A5"/>
    <w:rsid w:val="00B64AB2"/>
    <w:rsid w:val="00B65C40"/>
    <w:rsid w:val="00B6644A"/>
    <w:rsid w:val="00B66470"/>
    <w:rsid w:val="00B66476"/>
    <w:rsid w:val="00B666AD"/>
    <w:rsid w:val="00B668BF"/>
    <w:rsid w:val="00B66943"/>
    <w:rsid w:val="00B67240"/>
    <w:rsid w:val="00B67692"/>
    <w:rsid w:val="00B67CAD"/>
    <w:rsid w:val="00B67CDC"/>
    <w:rsid w:val="00B67DB6"/>
    <w:rsid w:val="00B70369"/>
    <w:rsid w:val="00B704B5"/>
    <w:rsid w:val="00B72D51"/>
    <w:rsid w:val="00B72E18"/>
    <w:rsid w:val="00B73004"/>
    <w:rsid w:val="00B7331D"/>
    <w:rsid w:val="00B73477"/>
    <w:rsid w:val="00B7386A"/>
    <w:rsid w:val="00B74198"/>
    <w:rsid w:val="00B749E2"/>
    <w:rsid w:val="00B74A91"/>
    <w:rsid w:val="00B74ADA"/>
    <w:rsid w:val="00B74B9B"/>
    <w:rsid w:val="00B74F09"/>
    <w:rsid w:val="00B75471"/>
    <w:rsid w:val="00B75501"/>
    <w:rsid w:val="00B75574"/>
    <w:rsid w:val="00B761D0"/>
    <w:rsid w:val="00B76277"/>
    <w:rsid w:val="00B7666F"/>
    <w:rsid w:val="00B7695F"/>
    <w:rsid w:val="00B76F9B"/>
    <w:rsid w:val="00B77D16"/>
    <w:rsid w:val="00B77D66"/>
    <w:rsid w:val="00B77E96"/>
    <w:rsid w:val="00B77F24"/>
    <w:rsid w:val="00B77F49"/>
    <w:rsid w:val="00B806F0"/>
    <w:rsid w:val="00B80D68"/>
    <w:rsid w:val="00B80F14"/>
    <w:rsid w:val="00B8119B"/>
    <w:rsid w:val="00B81865"/>
    <w:rsid w:val="00B81B74"/>
    <w:rsid w:val="00B824BB"/>
    <w:rsid w:val="00B8261C"/>
    <w:rsid w:val="00B8282C"/>
    <w:rsid w:val="00B82CF6"/>
    <w:rsid w:val="00B830CA"/>
    <w:rsid w:val="00B83470"/>
    <w:rsid w:val="00B8359F"/>
    <w:rsid w:val="00B83886"/>
    <w:rsid w:val="00B83920"/>
    <w:rsid w:val="00B84448"/>
    <w:rsid w:val="00B845E5"/>
    <w:rsid w:val="00B846ED"/>
    <w:rsid w:val="00B84C8D"/>
    <w:rsid w:val="00B8548B"/>
    <w:rsid w:val="00B854A5"/>
    <w:rsid w:val="00B85CCC"/>
    <w:rsid w:val="00B867EB"/>
    <w:rsid w:val="00B869F0"/>
    <w:rsid w:val="00B87C40"/>
    <w:rsid w:val="00B87C81"/>
    <w:rsid w:val="00B87CFA"/>
    <w:rsid w:val="00B87EA1"/>
    <w:rsid w:val="00B90DFF"/>
    <w:rsid w:val="00B90F06"/>
    <w:rsid w:val="00B91EF2"/>
    <w:rsid w:val="00B91F44"/>
    <w:rsid w:val="00B91F95"/>
    <w:rsid w:val="00B93273"/>
    <w:rsid w:val="00B939F3"/>
    <w:rsid w:val="00B93EF1"/>
    <w:rsid w:val="00B96308"/>
    <w:rsid w:val="00B9695B"/>
    <w:rsid w:val="00B96D09"/>
    <w:rsid w:val="00B96D28"/>
    <w:rsid w:val="00B96EAF"/>
    <w:rsid w:val="00B96EB2"/>
    <w:rsid w:val="00B973CA"/>
    <w:rsid w:val="00BA011A"/>
    <w:rsid w:val="00BA01FD"/>
    <w:rsid w:val="00BA030A"/>
    <w:rsid w:val="00BA045F"/>
    <w:rsid w:val="00BA0C53"/>
    <w:rsid w:val="00BA1216"/>
    <w:rsid w:val="00BA3D18"/>
    <w:rsid w:val="00BA42E9"/>
    <w:rsid w:val="00BA44F0"/>
    <w:rsid w:val="00BA5065"/>
    <w:rsid w:val="00BA5EC7"/>
    <w:rsid w:val="00BA678D"/>
    <w:rsid w:val="00BA6881"/>
    <w:rsid w:val="00BA697A"/>
    <w:rsid w:val="00BA6A5D"/>
    <w:rsid w:val="00BA6A66"/>
    <w:rsid w:val="00BA7853"/>
    <w:rsid w:val="00BA78D2"/>
    <w:rsid w:val="00BA7916"/>
    <w:rsid w:val="00BA7DCC"/>
    <w:rsid w:val="00BB012C"/>
    <w:rsid w:val="00BB03E6"/>
    <w:rsid w:val="00BB043D"/>
    <w:rsid w:val="00BB0901"/>
    <w:rsid w:val="00BB2B98"/>
    <w:rsid w:val="00BB3264"/>
    <w:rsid w:val="00BB32A2"/>
    <w:rsid w:val="00BB3998"/>
    <w:rsid w:val="00BB3B4E"/>
    <w:rsid w:val="00BB3D16"/>
    <w:rsid w:val="00BB4185"/>
    <w:rsid w:val="00BB5225"/>
    <w:rsid w:val="00BB5ECD"/>
    <w:rsid w:val="00BB5FB3"/>
    <w:rsid w:val="00BB5FC1"/>
    <w:rsid w:val="00BB656C"/>
    <w:rsid w:val="00BB67C3"/>
    <w:rsid w:val="00BB73AD"/>
    <w:rsid w:val="00BB7CF7"/>
    <w:rsid w:val="00BC019A"/>
    <w:rsid w:val="00BC024E"/>
    <w:rsid w:val="00BC079F"/>
    <w:rsid w:val="00BC0813"/>
    <w:rsid w:val="00BC1802"/>
    <w:rsid w:val="00BC1C0A"/>
    <w:rsid w:val="00BC1E2F"/>
    <w:rsid w:val="00BC2CFD"/>
    <w:rsid w:val="00BC37DD"/>
    <w:rsid w:val="00BC4840"/>
    <w:rsid w:val="00BC497B"/>
    <w:rsid w:val="00BC4C4C"/>
    <w:rsid w:val="00BC5463"/>
    <w:rsid w:val="00BC54BA"/>
    <w:rsid w:val="00BC6147"/>
    <w:rsid w:val="00BD003E"/>
    <w:rsid w:val="00BD015D"/>
    <w:rsid w:val="00BD022C"/>
    <w:rsid w:val="00BD11EA"/>
    <w:rsid w:val="00BD14FA"/>
    <w:rsid w:val="00BD16C2"/>
    <w:rsid w:val="00BD1ADB"/>
    <w:rsid w:val="00BD2E46"/>
    <w:rsid w:val="00BD44A9"/>
    <w:rsid w:val="00BD4DB5"/>
    <w:rsid w:val="00BD4E61"/>
    <w:rsid w:val="00BD520A"/>
    <w:rsid w:val="00BD53B4"/>
    <w:rsid w:val="00BD54B2"/>
    <w:rsid w:val="00BD6229"/>
    <w:rsid w:val="00BD63BC"/>
    <w:rsid w:val="00BD6AA1"/>
    <w:rsid w:val="00BD6C28"/>
    <w:rsid w:val="00BD6FAD"/>
    <w:rsid w:val="00BD7138"/>
    <w:rsid w:val="00BD73D0"/>
    <w:rsid w:val="00BD7E0A"/>
    <w:rsid w:val="00BE013B"/>
    <w:rsid w:val="00BE0584"/>
    <w:rsid w:val="00BE101E"/>
    <w:rsid w:val="00BE11DE"/>
    <w:rsid w:val="00BE161D"/>
    <w:rsid w:val="00BE263C"/>
    <w:rsid w:val="00BE2A6C"/>
    <w:rsid w:val="00BE2B1C"/>
    <w:rsid w:val="00BE347A"/>
    <w:rsid w:val="00BE40D1"/>
    <w:rsid w:val="00BE5808"/>
    <w:rsid w:val="00BE5E39"/>
    <w:rsid w:val="00BE69C0"/>
    <w:rsid w:val="00BE745B"/>
    <w:rsid w:val="00BE78FD"/>
    <w:rsid w:val="00BF0B03"/>
    <w:rsid w:val="00BF0DB7"/>
    <w:rsid w:val="00BF0FD0"/>
    <w:rsid w:val="00BF1800"/>
    <w:rsid w:val="00BF25BE"/>
    <w:rsid w:val="00BF264B"/>
    <w:rsid w:val="00BF358B"/>
    <w:rsid w:val="00BF3A10"/>
    <w:rsid w:val="00BF405C"/>
    <w:rsid w:val="00BF4781"/>
    <w:rsid w:val="00BF49E5"/>
    <w:rsid w:val="00BF4B1B"/>
    <w:rsid w:val="00BF4E59"/>
    <w:rsid w:val="00BF5155"/>
    <w:rsid w:val="00BF51AD"/>
    <w:rsid w:val="00BF51C9"/>
    <w:rsid w:val="00BF52B6"/>
    <w:rsid w:val="00BF610C"/>
    <w:rsid w:val="00BF6739"/>
    <w:rsid w:val="00BF6874"/>
    <w:rsid w:val="00BF6C13"/>
    <w:rsid w:val="00BF6CD1"/>
    <w:rsid w:val="00BF6FDC"/>
    <w:rsid w:val="00BF70BC"/>
    <w:rsid w:val="00BF7345"/>
    <w:rsid w:val="00BF79C4"/>
    <w:rsid w:val="00BF7A0B"/>
    <w:rsid w:val="00BF7F5C"/>
    <w:rsid w:val="00C0013A"/>
    <w:rsid w:val="00C00FB2"/>
    <w:rsid w:val="00C011E4"/>
    <w:rsid w:val="00C017A8"/>
    <w:rsid w:val="00C0241B"/>
    <w:rsid w:val="00C0245B"/>
    <w:rsid w:val="00C02556"/>
    <w:rsid w:val="00C02637"/>
    <w:rsid w:val="00C02CC2"/>
    <w:rsid w:val="00C033C4"/>
    <w:rsid w:val="00C03A8F"/>
    <w:rsid w:val="00C03C3B"/>
    <w:rsid w:val="00C052DD"/>
    <w:rsid w:val="00C0535D"/>
    <w:rsid w:val="00C05526"/>
    <w:rsid w:val="00C056B3"/>
    <w:rsid w:val="00C05735"/>
    <w:rsid w:val="00C05D45"/>
    <w:rsid w:val="00C063AC"/>
    <w:rsid w:val="00C0694F"/>
    <w:rsid w:val="00C07083"/>
    <w:rsid w:val="00C07714"/>
    <w:rsid w:val="00C07A55"/>
    <w:rsid w:val="00C07A6B"/>
    <w:rsid w:val="00C104EB"/>
    <w:rsid w:val="00C109D9"/>
    <w:rsid w:val="00C10BB6"/>
    <w:rsid w:val="00C115FA"/>
    <w:rsid w:val="00C11BDB"/>
    <w:rsid w:val="00C11ED8"/>
    <w:rsid w:val="00C12477"/>
    <w:rsid w:val="00C12A0F"/>
    <w:rsid w:val="00C13348"/>
    <w:rsid w:val="00C13BC3"/>
    <w:rsid w:val="00C13C86"/>
    <w:rsid w:val="00C1400D"/>
    <w:rsid w:val="00C14DB2"/>
    <w:rsid w:val="00C14F24"/>
    <w:rsid w:val="00C15A35"/>
    <w:rsid w:val="00C15D8A"/>
    <w:rsid w:val="00C2077E"/>
    <w:rsid w:val="00C20929"/>
    <w:rsid w:val="00C20A02"/>
    <w:rsid w:val="00C20CBD"/>
    <w:rsid w:val="00C212C4"/>
    <w:rsid w:val="00C2150B"/>
    <w:rsid w:val="00C21B29"/>
    <w:rsid w:val="00C221A5"/>
    <w:rsid w:val="00C22F57"/>
    <w:rsid w:val="00C2349E"/>
    <w:rsid w:val="00C237DE"/>
    <w:rsid w:val="00C23EC2"/>
    <w:rsid w:val="00C24407"/>
    <w:rsid w:val="00C24474"/>
    <w:rsid w:val="00C245A1"/>
    <w:rsid w:val="00C24B0E"/>
    <w:rsid w:val="00C25648"/>
    <w:rsid w:val="00C256DE"/>
    <w:rsid w:val="00C2589C"/>
    <w:rsid w:val="00C25A3B"/>
    <w:rsid w:val="00C25DA6"/>
    <w:rsid w:val="00C26022"/>
    <w:rsid w:val="00C26C8E"/>
    <w:rsid w:val="00C27042"/>
    <w:rsid w:val="00C27465"/>
    <w:rsid w:val="00C27663"/>
    <w:rsid w:val="00C278B6"/>
    <w:rsid w:val="00C3023F"/>
    <w:rsid w:val="00C3070D"/>
    <w:rsid w:val="00C30BCE"/>
    <w:rsid w:val="00C30C15"/>
    <w:rsid w:val="00C3161F"/>
    <w:rsid w:val="00C31C98"/>
    <w:rsid w:val="00C31D43"/>
    <w:rsid w:val="00C32749"/>
    <w:rsid w:val="00C3310A"/>
    <w:rsid w:val="00C33CD6"/>
    <w:rsid w:val="00C33EDF"/>
    <w:rsid w:val="00C34683"/>
    <w:rsid w:val="00C34EE0"/>
    <w:rsid w:val="00C35A69"/>
    <w:rsid w:val="00C35AF5"/>
    <w:rsid w:val="00C35E2A"/>
    <w:rsid w:val="00C362E1"/>
    <w:rsid w:val="00C36741"/>
    <w:rsid w:val="00C3677A"/>
    <w:rsid w:val="00C373B6"/>
    <w:rsid w:val="00C37DBF"/>
    <w:rsid w:val="00C40247"/>
    <w:rsid w:val="00C405F2"/>
    <w:rsid w:val="00C40720"/>
    <w:rsid w:val="00C41128"/>
    <w:rsid w:val="00C414D2"/>
    <w:rsid w:val="00C41809"/>
    <w:rsid w:val="00C41AD8"/>
    <w:rsid w:val="00C41C7A"/>
    <w:rsid w:val="00C42082"/>
    <w:rsid w:val="00C42157"/>
    <w:rsid w:val="00C434AA"/>
    <w:rsid w:val="00C43DDD"/>
    <w:rsid w:val="00C442DB"/>
    <w:rsid w:val="00C445F9"/>
    <w:rsid w:val="00C448D2"/>
    <w:rsid w:val="00C45E61"/>
    <w:rsid w:val="00C45F63"/>
    <w:rsid w:val="00C46BD8"/>
    <w:rsid w:val="00C46C74"/>
    <w:rsid w:val="00C46EAB"/>
    <w:rsid w:val="00C470D6"/>
    <w:rsid w:val="00C474D9"/>
    <w:rsid w:val="00C478DD"/>
    <w:rsid w:val="00C4793D"/>
    <w:rsid w:val="00C50025"/>
    <w:rsid w:val="00C50EF7"/>
    <w:rsid w:val="00C51233"/>
    <w:rsid w:val="00C5156D"/>
    <w:rsid w:val="00C51796"/>
    <w:rsid w:val="00C52073"/>
    <w:rsid w:val="00C521E9"/>
    <w:rsid w:val="00C5247B"/>
    <w:rsid w:val="00C5291B"/>
    <w:rsid w:val="00C532E3"/>
    <w:rsid w:val="00C53B4D"/>
    <w:rsid w:val="00C54745"/>
    <w:rsid w:val="00C54B53"/>
    <w:rsid w:val="00C556AC"/>
    <w:rsid w:val="00C557F1"/>
    <w:rsid w:val="00C5602D"/>
    <w:rsid w:val="00C56192"/>
    <w:rsid w:val="00C56341"/>
    <w:rsid w:val="00C5642C"/>
    <w:rsid w:val="00C5675B"/>
    <w:rsid w:val="00C570EF"/>
    <w:rsid w:val="00C57134"/>
    <w:rsid w:val="00C57ED0"/>
    <w:rsid w:val="00C60795"/>
    <w:rsid w:val="00C60AE8"/>
    <w:rsid w:val="00C6106E"/>
    <w:rsid w:val="00C61145"/>
    <w:rsid w:val="00C611F6"/>
    <w:rsid w:val="00C619B5"/>
    <w:rsid w:val="00C6213D"/>
    <w:rsid w:val="00C626A9"/>
    <w:rsid w:val="00C627A4"/>
    <w:rsid w:val="00C627B5"/>
    <w:rsid w:val="00C62836"/>
    <w:rsid w:val="00C64329"/>
    <w:rsid w:val="00C64330"/>
    <w:rsid w:val="00C6441C"/>
    <w:rsid w:val="00C6468A"/>
    <w:rsid w:val="00C6555D"/>
    <w:rsid w:val="00C6558F"/>
    <w:rsid w:val="00C65C76"/>
    <w:rsid w:val="00C65CB5"/>
    <w:rsid w:val="00C65DAD"/>
    <w:rsid w:val="00C6613D"/>
    <w:rsid w:val="00C66150"/>
    <w:rsid w:val="00C66470"/>
    <w:rsid w:val="00C668B1"/>
    <w:rsid w:val="00C668DA"/>
    <w:rsid w:val="00C67136"/>
    <w:rsid w:val="00C67367"/>
    <w:rsid w:val="00C67384"/>
    <w:rsid w:val="00C70004"/>
    <w:rsid w:val="00C71574"/>
    <w:rsid w:val="00C717A6"/>
    <w:rsid w:val="00C71881"/>
    <w:rsid w:val="00C71940"/>
    <w:rsid w:val="00C71A3B"/>
    <w:rsid w:val="00C737FE"/>
    <w:rsid w:val="00C73866"/>
    <w:rsid w:val="00C74896"/>
    <w:rsid w:val="00C750AD"/>
    <w:rsid w:val="00C75992"/>
    <w:rsid w:val="00C75CEC"/>
    <w:rsid w:val="00C75EB4"/>
    <w:rsid w:val="00C77089"/>
    <w:rsid w:val="00C770CB"/>
    <w:rsid w:val="00C7791C"/>
    <w:rsid w:val="00C77A29"/>
    <w:rsid w:val="00C77E01"/>
    <w:rsid w:val="00C80280"/>
    <w:rsid w:val="00C80A6A"/>
    <w:rsid w:val="00C80B51"/>
    <w:rsid w:val="00C80BEC"/>
    <w:rsid w:val="00C80F4F"/>
    <w:rsid w:val="00C81040"/>
    <w:rsid w:val="00C8107C"/>
    <w:rsid w:val="00C8171D"/>
    <w:rsid w:val="00C818F5"/>
    <w:rsid w:val="00C81A43"/>
    <w:rsid w:val="00C81ABB"/>
    <w:rsid w:val="00C81E2E"/>
    <w:rsid w:val="00C82EB5"/>
    <w:rsid w:val="00C8302F"/>
    <w:rsid w:val="00C835F5"/>
    <w:rsid w:val="00C83DF9"/>
    <w:rsid w:val="00C84538"/>
    <w:rsid w:val="00C84906"/>
    <w:rsid w:val="00C85F07"/>
    <w:rsid w:val="00C868C7"/>
    <w:rsid w:val="00C86996"/>
    <w:rsid w:val="00C8706A"/>
    <w:rsid w:val="00C901F2"/>
    <w:rsid w:val="00C90901"/>
    <w:rsid w:val="00C90C02"/>
    <w:rsid w:val="00C90CAF"/>
    <w:rsid w:val="00C91044"/>
    <w:rsid w:val="00C91052"/>
    <w:rsid w:val="00C91902"/>
    <w:rsid w:val="00C926C6"/>
    <w:rsid w:val="00C92889"/>
    <w:rsid w:val="00C92DAC"/>
    <w:rsid w:val="00C92E92"/>
    <w:rsid w:val="00C9390C"/>
    <w:rsid w:val="00C949DF"/>
    <w:rsid w:val="00C951CE"/>
    <w:rsid w:val="00C9562C"/>
    <w:rsid w:val="00C95DF6"/>
    <w:rsid w:val="00C96442"/>
    <w:rsid w:val="00C96E63"/>
    <w:rsid w:val="00C97562"/>
    <w:rsid w:val="00C97B71"/>
    <w:rsid w:val="00C97E48"/>
    <w:rsid w:val="00CA047F"/>
    <w:rsid w:val="00CA075F"/>
    <w:rsid w:val="00CA0A01"/>
    <w:rsid w:val="00CA0D1D"/>
    <w:rsid w:val="00CA147B"/>
    <w:rsid w:val="00CA3448"/>
    <w:rsid w:val="00CA4AA4"/>
    <w:rsid w:val="00CA4CFE"/>
    <w:rsid w:val="00CA4E06"/>
    <w:rsid w:val="00CA4EBA"/>
    <w:rsid w:val="00CA5F19"/>
    <w:rsid w:val="00CA608C"/>
    <w:rsid w:val="00CA6844"/>
    <w:rsid w:val="00CA6F40"/>
    <w:rsid w:val="00CA6FF5"/>
    <w:rsid w:val="00CA7227"/>
    <w:rsid w:val="00CB1E8E"/>
    <w:rsid w:val="00CB2748"/>
    <w:rsid w:val="00CB27E7"/>
    <w:rsid w:val="00CB3360"/>
    <w:rsid w:val="00CB4183"/>
    <w:rsid w:val="00CB43C9"/>
    <w:rsid w:val="00CB47ED"/>
    <w:rsid w:val="00CB512C"/>
    <w:rsid w:val="00CB546F"/>
    <w:rsid w:val="00CB6396"/>
    <w:rsid w:val="00CB6904"/>
    <w:rsid w:val="00CB6BD5"/>
    <w:rsid w:val="00CB7448"/>
    <w:rsid w:val="00CB7463"/>
    <w:rsid w:val="00CB76DD"/>
    <w:rsid w:val="00CB7807"/>
    <w:rsid w:val="00CC0641"/>
    <w:rsid w:val="00CC0B77"/>
    <w:rsid w:val="00CC0E1C"/>
    <w:rsid w:val="00CC15AF"/>
    <w:rsid w:val="00CC1EA5"/>
    <w:rsid w:val="00CC325B"/>
    <w:rsid w:val="00CC35CD"/>
    <w:rsid w:val="00CC5D97"/>
    <w:rsid w:val="00CC62E8"/>
    <w:rsid w:val="00CC6794"/>
    <w:rsid w:val="00CC67A5"/>
    <w:rsid w:val="00CC6811"/>
    <w:rsid w:val="00CC6C61"/>
    <w:rsid w:val="00CC70F9"/>
    <w:rsid w:val="00CC719A"/>
    <w:rsid w:val="00CC7911"/>
    <w:rsid w:val="00CC7BA6"/>
    <w:rsid w:val="00CD1439"/>
    <w:rsid w:val="00CD1E7A"/>
    <w:rsid w:val="00CD2621"/>
    <w:rsid w:val="00CD263E"/>
    <w:rsid w:val="00CD2B41"/>
    <w:rsid w:val="00CD2DB9"/>
    <w:rsid w:val="00CD2E33"/>
    <w:rsid w:val="00CD3D3A"/>
    <w:rsid w:val="00CD3D74"/>
    <w:rsid w:val="00CD4A44"/>
    <w:rsid w:val="00CD52C6"/>
    <w:rsid w:val="00CD59D4"/>
    <w:rsid w:val="00CD5D35"/>
    <w:rsid w:val="00CD6634"/>
    <w:rsid w:val="00CD6778"/>
    <w:rsid w:val="00CD6C50"/>
    <w:rsid w:val="00CD71B5"/>
    <w:rsid w:val="00CD7676"/>
    <w:rsid w:val="00CE04B6"/>
    <w:rsid w:val="00CE114A"/>
    <w:rsid w:val="00CE1387"/>
    <w:rsid w:val="00CE13A1"/>
    <w:rsid w:val="00CE1A5F"/>
    <w:rsid w:val="00CE2C04"/>
    <w:rsid w:val="00CE2CF3"/>
    <w:rsid w:val="00CE2E61"/>
    <w:rsid w:val="00CE3420"/>
    <w:rsid w:val="00CE351D"/>
    <w:rsid w:val="00CE3523"/>
    <w:rsid w:val="00CE3876"/>
    <w:rsid w:val="00CE438A"/>
    <w:rsid w:val="00CE4491"/>
    <w:rsid w:val="00CE48B8"/>
    <w:rsid w:val="00CE4D98"/>
    <w:rsid w:val="00CE5942"/>
    <w:rsid w:val="00CE6268"/>
    <w:rsid w:val="00CE6272"/>
    <w:rsid w:val="00CE68EC"/>
    <w:rsid w:val="00CE6981"/>
    <w:rsid w:val="00CE6B86"/>
    <w:rsid w:val="00CE6C66"/>
    <w:rsid w:val="00CE6CC7"/>
    <w:rsid w:val="00CE7FF4"/>
    <w:rsid w:val="00CF1B44"/>
    <w:rsid w:val="00CF25A4"/>
    <w:rsid w:val="00CF2B68"/>
    <w:rsid w:val="00CF3932"/>
    <w:rsid w:val="00CF505B"/>
    <w:rsid w:val="00CF5AD6"/>
    <w:rsid w:val="00CF5B7B"/>
    <w:rsid w:val="00CF75D6"/>
    <w:rsid w:val="00CF7AE8"/>
    <w:rsid w:val="00D007A8"/>
    <w:rsid w:val="00D00862"/>
    <w:rsid w:val="00D0096F"/>
    <w:rsid w:val="00D00D33"/>
    <w:rsid w:val="00D00F64"/>
    <w:rsid w:val="00D013AD"/>
    <w:rsid w:val="00D0150F"/>
    <w:rsid w:val="00D016DE"/>
    <w:rsid w:val="00D01CA1"/>
    <w:rsid w:val="00D01E6C"/>
    <w:rsid w:val="00D0232D"/>
    <w:rsid w:val="00D03FDF"/>
    <w:rsid w:val="00D0433D"/>
    <w:rsid w:val="00D04438"/>
    <w:rsid w:val="00D047CE"/>
    <w:rsid w:val="00D04F30"/>
    <w:rsid w:val="00D05A75"/>
    <w:rsid w:val="00D05BA1"/>
    <w:rsid w:val="00D05BA7"/>
    <w:rsid w:val="00D05F0A"/>
    <w:rsid w:val="00D05FB7"/>
    <w:rsid w:val="00D06A82"/>
    <w:rsid w:val="00D06C2E"/>
    <w:rsid w:val="00D06E28"/>
    <w:rsid w:val="00D070A0"/>
    <w:rsid w:val="00D077F7"/>
    <w:rsid w:val="00D07A20"/>
    <w:rsid w:val="00D07EF2"/>
    <w:rsid w:val="00D1044C"/>
    <w:rsid w:val="00D10D51"/>
    <w:rsid w:val="00D11015"/>
    <w:rsid w:val="00D11155"/>
    <w:rsid w:val="00D118D0"/>
    <w:rsid w:val="00D11964"/>
    <w:rsid w:val="00D11E9C"/>
    <w:rsid w:val="00D127CD"/>
    <w:rsid w:val="00D1298A"/>
    <w:rsid w:val="00D1422C"/>
    <w:rsid w:val="00D143CC"/>
    <w:rsid w:val="00D14485"/>
    <w:rsid w:val="00D145CB"/>
    <w:rsid w:val="00D14849"/>
    <w:rsid w:val="00D14A8F"/>
    <w:rsid w:val="00D150E8"/>
    <w:rsid w:val="00D156FD"/>
    <w:rsid w:val="00D15DEE"/>
    <w:rsid w:val="00D16927"/>
    <w:rsid w:val="00D1716B"/>
    <w:rsid w:val="00D1718B"/>
    <w:rsid w:val="00D17758"/>
    <w:rsid w:val="00D1779A"/>
    <w:rsid w:val="00D178F0"/>
    <w:rsid w:val="00D17BC2"/>
    <w:rsid w:val="00D202F6"/>
    <w:rsid w:val="00D2092B"/>
    <w:rsid w:val="00D21331"/>
    <w:rsid w:val="00D21AF9"/>
    <w:rsid w:val="00D22E18"/>
    <w:rsid w:val="00D22E86"/>
    <w:rsid w:val="00D23913"/>
    <w:rsid w:val="00D23A08"/>
    <w:rsid w:val="00D2418C"/>
    <w:rsid w:val="00D24301"/>
    <w:rsid w:val="00D247CF"/>
    <w:rsid w:val="00D25168"/>
    <w:rsid w:val="00D2531D"/>
    <w:rsid w:val="00D2550B"/>
    <w:rsid w:val="00D25DA9"/>
    <w:rsid w:val="00D25FB2"/>
    <w:rsid w:val="00D26967"/>
    <w:rsid w:val="00D26E15"/>
    <w:rsid w:val="00D26E34"/>
    <w:rsid w:val="00D27555"/>
    <w:rsid w:val="00D27985"/>
    <w:rsid w:val="00D27A3A"/>
    <w:rsid w:val="00D27AAC"/>
    <w:rsid w:val="00D301A7"/>
    <w:rsid w:val="00D30277"/>
    <w:rsid w:val="00D30EE2"/>
    <w:rsid w:val="00D30FB8"/>
    <w:rsid w:val="00D31081"/>
    <w:rsid w:val="00D31B77"/>
    <w:rsid w:val="00D31CBF"/>
    <w:rsid w:val="00D31D24"/>
    <w:rsid w:val="00D31EA8"/>
    <w:rsid w:val="00D32051"/>
    <w:rsid w:val="00D339B7"/>
    <w:rsid w:val="00D33DFE"/>
    <w:rsid w:val="00D34426"/>
    <w:rsid w:val="00D345A1"/>
    <w:rsid w:val="00D34BC0"/>
    <w:rsid w:val="00D34CE1"/>
    <w:rsid w:val="00D353C2"/>
    <w:rsid w:val="00D35453"/>
    <w:rsid w:val="00D35879"/>
    <w:rsid w:val="00D35A72"/>
    <w:rsid w:val="00D35A8C"/>
    <w:rsid w:val="00D3656C"/>
    <w:rsid w:val="00D365B0"/>
    <w:rsid w:val="00D368DF"/>
    <w:rsid w:val="00D36C52"/>
    <w:rsid w:val="00D36F94"/>
    <w:rsid w:val="00D36FAD"/>
    <w:rsid w:val="00D40203"/>
    <w:rsid w:val="00D409CE"/>
    <w:rsid w:val="00D40B49"/>
    <w:rsid w:val="00D41F90"/>
    <w:rsid w:val="00D423A6"/>
    <w:rsid w:val="00D42CFC"/>
    <w:rsid w:val="00D42D4F"/>
    <w:rsid w:val="00D42E2D"/>
    <w:rsid w:val="00D4328F"/>
    <w:rsid w:val="00D432D3"/>
    <w:rsid w:val="00D4336D"/>
    <w:rsid w:val="00D43923"/>
    <w:rsid w:val="00D43BF1"/>
    <w:rsid w:val="00D43E58"/>
    <w:rsid w:val="00D440A5"/>
    <w:rsid w:val="00D441DD"/>
    <w:rsid w:val="00D443C2"/>
    <w:rsid w:val="00D447DA"/>
    <w:rsid w:val="00D44BAD"/>
    <w:rsid w:val="00D4520A"/>
    <w:rsid w:val="00D45D71"/>
    <w:rsid w:val="00D45EBA"/>
    <w:rsid w:val="00D46187"/>
    <w:rsid w:val="00D46506"/>
    <w:rsid w:val="00D46B23"/>
    <w:rsid w:val="00D46E90"/>
    <w:rsid w:val="00D47AD3"/>
    <w:rsid w:val="00D47FEC"/>
    <w:rsid w:val="00D50536"/>
    <w:rsid w:val="00D50786"/>
    <w:rsid w:val="00D51381"/>
    <w:rsid w:val="00D5146A"/>
    <w:rsid w:val="00D514EB"/>
    <w:rsid w:val="00D51C1B"/>
    <w:rsid w:val="00D52532"/>
    <w:rsid w:val="00D539B4"/>
    <w:rsid w:val="00D53C39"/>
    <w:rsid w:val="00D53FB1"/>
    <w:rsid w:val="00D543AF"/>
    <w:rsid w:val="00D54698"/>
    <w:rsid w:val="00D54F7E"/>
    <w:rsid w:val="00D55552"/>
    <w:rsid w:val="00D55AA6"/>
    <w:rsid w:val="00D55B05"/>
    <w:rsid w:val="00D56BB5"/>
    <w:rsid w:val="00D56E74"/>
    <w:rsid w:val="00D578BA"/>
    <w:rsid w:val="00D57B80"/>
    <w:rsid w:val="00D57DC9"/>
    <w:rsid w:val="00D601C7"/>
    <w:rsid w:val="00D604F0"/>
    <w:rsid w:val="00D60ACF"/>
    <w:rsid w:val="00D60C45"/>
    <w:rsid w:val="00D60FF8"/>
    <w:rsid w:val="00D61588"/>
    <w:rsid w:val="00D617D3"/>
    <w:rsid w:val="00D61914"/>
    <w:rsid w:val="00D61CDD"/>
    <w:rsid w:val="00D61FE6"/>
    <w:rsid w:val="00D623DF"/>
    <w:rsid w:val="00D636EF"/>
    <w:rsid w:val="00D637A3"/>
    <w:rsid w:val="00D63FEA"/>
    <w:rsid w:val="00D648F6"/>
    <w:rsid w:val="00D650DA"/>
    <w:rsid w:val="00D652DD"/>
    <w:rsid w:val="00D6550B"/>
    <w:rsid w:val="00D6619C"/>
    <w:rsid w:val="00D66E5B"/>
    <w:rsid w:val="00D6709E"/>
    <w:rsid w:val="00D67D78"/>
    <w:rsid w:val="00D713D8"/>
    <w:rsid w:val="00D7219F"/>
    <w:rsid w:val="00D7223A"/>
    <w:rsid w:val="00D729CA"/>
    <w:rsid w:val="00D733F8"/>
    <w:rsid w:val="00D734FA"/>
    <w:rsid w:val="00D736F8"/>
    <w:rsid w:val="00D739D7"/>
    <w:rsid w:val="00D747F5"/>
    <w:rsid w:val="00D749E9"/>
    <w:rsid w:val="00D759DA"/>
    <w:rsid w:val="00D75C65"/>
    <w:rsid w:val="00D75D61"/>
    <w:rsid w:val="00D7622A"/>
    <w:rsid w:val="00D76270"/>
    <w:rsid w:val="00D767A0"/>
    <w:rsid w:val="00D77E10"/>
    <w:rsid w:val="00D80654"/>
    <w:rsid w:val="00D80770"/>
    <w:rsid w:val="00D8141D"/>
    <w:rsid w:val="00D8273E"/>
    <w:rsid w:val="00D837C4"/>
    <w:rsid w:val="00D8396B"/>
    <w:rsid w:val="00D83B7C"/>
    <w:rsid w:val="00D83E71"/>
    <w:rsid w:val="00D84F74"/>
    <w:rsid w:val="00D855B5"/>
    <w:rsid w:val="00D8561A"/>
    <w:rsid w:val="00D8575C"/>
    <w:rsid w:val="00D85D80"/>
    <w:rsid w:val="00D85F48"/>
    <w:rsid w:val="00D86029"/>
    <w:rsid w:val="00D866CF"/>
    <w:rsid w:val="00D86B57"/>
    <w:rsid w:val="00D87125"/>
    <w:rsid w:val="00D874F6"/>
    <w:rsid w:val="00D876E0"/>
    <w:rsid w:val="00D8774A"/>
    <w:rsid w:val="00D87788"/>
    <w:rsid w:val="00D87871"/>
    <w:rsid w:val="00D906A4"/>
    <w:rsid w:val="00D909FB"/>
    <w:rsid w:val="00D90F6D"/>
    <w:rsid w:val="00D916F6"/>
    <w:rsid w:val="00D91C68"/>
    <w:rsid w:val="00D920EA"/>
    <w:rsid w:val="00D920EC"/>
    <w:rsid w:val="00D921C1"/>
    <w:rsid w:val="00D9246E"/>
    <w:rsid w:val="00D92A6A"/>
    <w:rsid w:val="00D92C85"/>
    <w:rsid w:val="00D9343E"/>
    <w:rsid w:val="00D93703"/>
    <w:rsid w:val="00D9463E"/>
    <w:rsid w:val="00D947EB"/>
    <w:rsid w:val="00D94846"/>
    <w:rsid w:val="00D970B0"/>
    <w:rsid w:val="00D97361"/>
    <w:rsid w:val="00D9762C"/>
    <w:rsid w:val="00D976BE"/>
    <w:rsid w:val="00D976F4"/>
    <w:rsid w:val="00D97998"/>
    <w:rsid w:val="00D97FC1"/>
    <w:rsid w:val="00DA0F76"/>
    <w:rsid w:val="00DA1232"/>
    <w:rsid w:val="00DA161B"/>
    <w:rsid w:val="00DA186F"/>
    <w:rsid w:val="00DA1BF2"/>
    <w:rsid w:val="00DA1E2E"/>
    <w:rsid w:val="00DA2861"/>
    <w:rsid w:val="00DA339F"/>
    <w:rsid w:val="00DA3853"/>
    <w:rsid w:val="00DA3923"/>
    <w:rsid w:val="00DA44E8"/>
    <w:rsid w:val="00DA47EF"/>
    <w:rsid w:val="00DA483A"/>
    <w:rsid w:val="00DA4B22"/>
    <w:rsid w:val="00DA4E00"/>
    <w:rsid w:val="00DA59B6"/>
    <w:rsid w:val="00DA6F65"/>
    <w:rsid w:val="00DA7519"/>
    <w:rsid w:val="00DA78B3"/>
    <w:rsid w:val="00DA7E57"/>
    <w:rsid w:val="00DB1832"/>
    <w:rsid w:val="00DB205D"/>
    <w:rsid w:val="00DB2699"/>
    <w:rsid w:val="00DB2A5B"/>
    <w:rsid w:val="00DB2AB3"/>
    <w:rsid w:val="00DB2F01"/>
    <w:rsid w:val="00DB3617"/>
    <w:rsid w:val="00DB3928"/>
    <w:rsid w:val="00DB396B"/>
    <w:rsid w:val="00DB3A92"/>
    <w:rsid w:val="00DB4199"/>
    <w:rsid w:val="00DB422B"/>
    <w:rsid w:val="00DB48F4"/>
    <w:rsid w:val="00DB4BBF"/>
    <w:rsid w:val="00DB5044"/>
    <w:rsid w:val="00DB5A45"/>
    <w:rsid w:val="00DB5DA9"/>
    <w:rsid w:val="00DB611F"/>
    <w:rsid w:val="00DB6128"/>
    <w:rsid w:val="00DB6342"/>
    <w:rsid w:val="00DB65E8"/>
    <w:rsid w:val="00DB6866"/>
    <w:rsid w:val="00DB71A2"/>
    <w:rsid w:val="00DB7218"/>
    <w:rsid w:val="00DB729B"/>
    <w:rsid w:val="00DB7A33"/>
    <w:rsid w:val="00DB7CC9"/>
    <w:rsid w:val="00DB7D1C"/>
    <w:rsid w:val="00DC0CC4"/>
    <w:rsid w:val="00DC1199"/>
    <w:rsid w:val="00DC18FB"/>
    <w:rsid w:val="00DC19CA"/>
    <w:rsid w:val="00DC1DD0"/>
    <w:rsid w:val="00DC2760"/>
    <w:rsid w:val="00DC3845"/>
    <w:rsid w:val="00DC4BD9"/>
    <w:rsid w:val="00DC4F30"/>
    <w:rsid w:val="00DC50D2"/>
    <w:rsid w:val="00DC5282"/>
    <w:rsid w:val="00DC71B2"/>
    <w:rsid w:val="00DD0450"/>
    <w:rsid w:val="00DD04B1"/>
    <w:rsid w:val="00DD0FB4"/>
    <w:rsid w:val="00DD1152"/>
    <w:rsid w:val="00DD1365"/>
    <w:rsid w:val="00DD13FD"/>
    <w:rsid w:val="00DD15DC"/>
    <w:rsid w:val="00DD21F3"/>
    <w:rsid w:val="00DD24B0"/>
    <w:rsid w:val="00DD27A7"/>
    <w:rsid w:val="00DD3D1E"/>
    <w:rsid w:val="00DD3E3A"/>
    <w:rsid w:val="00DD45AE"/>
    <w:rsid w:val="00DD4698"/>
    <w:rsid w:val="00DD5F98"/>
    <w:rsid w:val="00DD64F5"/>
    <w:rsid w:val="00DD6F14"/>
    <w:rsid w:val="00DD7457"/>
    <w:rsid w:val="00DD7EA2"/>
    <w:rsid w:val="00DE01FE"/>
    <w:rsid w:val="00DE0496"/>
    <w:rsid w:val="00DE0A12"/>
    <w:rsid w:val="00DE0DCB"/>
    <w:rsid w:val="00DE150F"/>
    <w:rsid w:val="00DE1A4F"/>
    <w:rsid w:val="00DE20A2"/>
    <w:rsid w:val="00DE2101"/>
    <w:rsid w:val="00DE2161"/>
    <w:rsid w:val="00DE271E"/>
    <w:rsid w:val="00DE2929"/>
    <w:rsid w:val="00DE3102"/>
    <w:rsid w:val="00DE3B3A"/>
    <w:rsid w:val="00DE3F47"/>
    <w:rsid w:val="00DE4658"/>
    <w:rsid w:val="00DE4FBE"/>
    <w:rsid w:val="00DE564E"/>
    <w:rsid w:val="00DE6666"/>
    <w:rsid w:val="00DE68CE"/>
    <w:rsid w:val="00DE6D81"/>
    <w:rsid w:val="00DE6F54"/>
    <w:rsid w:val="00DE7672"/>
    <w:rsid w:val="00DE7CD2"/>
    <w:rsid w:val="00DE7D51"/>
    <w:rsid w:val="00DE7E5B"/>
    <w:rsid w:val="00DF0399"/>
    <w:rsid w:val="00DF116B"/>
    <w:rsid w:val="00DF1661"/>
    <w:rsid w:val="00DF1B9F"/>
    <w:rsid w:val="00DF2E94"/>
    <w:rsid w:val="00DF32D3"/>
    <w:rsid w:val="00DF36D8"/>
    <w:rsid w:val="00DF3AD7"/>
    <w:rsid w:val="00DF43E6"/>
    <w:rsid w:val="00DF4799"/>
    <w:rsid w:val="00DF4858"/>
    <w:rsid w:val="00DF5344"/>
    <w:rsid w:val="00DF5FDA"/>
    <w:rsid w:val="00DF6246"/>
    <w:rsid w:val="00DF6B7E"/>
    <w:rsid w:val="00DF6EAA"/>
    <w:rsid w:val="00DF70E8"/>
    <w:rsid w:val="00DF73F4"/>
    <w:rsid w:val="00E001E3"/>
    <w:rsid w:val="00E01951"/>
    <w:rsid w:val="00E01CB6"/>
    <w:rsid w:val="00E01E5E"/>
    <w:rsid w:val="00E021FC"/>
    <w:rsid w:val="00E02ADD"/>
    <w:rsid w:val="00E02FA2"/>
    <w:rsid w:val="00E0354E"/>
    <w:rsid w:val="00E0377F"/>
    <w:rsid w:val="00E03C07"/>
    <w:rsid w:val="00E04422"/>
    <w:rsid w:val="00E04F11"/>
    <w:rsid w:val="00E0550A"/>
    <w:rsid w:val="00E05938"/>
    <w:rsid w:val="00E05952"/>
    <w:rsid w:val="00E059A0"/>
    <w:rsid w:val="00E05AD9"/>
    <w:rsid w:val="00E05BFF"/>
    <w:rsid w:val="00E06611"/>
    <w:rsid w:val="00E07195"/>
    <w:rsid w:val="00E07512"/>
    <w:rsid w:val="00E07D42"/>
    <w:rsid w:val="00E104BA"/>
    <w:rsid w:val="00E113A2"/>
    <w:rsid w:val="00E118C5"/>
    <w:rsid w:val="00E11E78"/>
    <w:rsid w:val="00E12C23"/>
    <w:rsid w:val="00E12FCE"/>
    <w:rsid w:val="00E136E5"/>
    <w:rsid w:val="00E13AD7"/>
    <w:rsid w:val="00E14355"/>
    <w:rsid w:val="00E1438E"/>
    <w:rsid w:val="00E156B1"/>
    <w:rsid w:val="00E16565"/>
    <w:rsid w:val="00E17892"/>
    <w:rsid w:val="00E20572"/>
    <w:rsid w:val="00E20920"/>
    <w:rsid w:val="00E20A07"/>
    <w:rsid w:val="00E20C0E"/>
    <w:rsid w:val="00E20ECA"/>
    <w:rsid w:val="00E210A8"/>
    <w:rsid w:val="00E221AD"/>
    <w:rsid w:val="00E22825"/>
    <w:rsid w:val="00E22AE7"/>
    <w:rsid w:val="00E2303C"/>
    <w:rsid w:val="00E23324"/>
    <w:rsid w:val="00E235F5"/>
    <w:rsid w:val="00E242D4"/>
    <w:rsid w:val="00E248BF"/>
    <w:rsid w:val="00E24E28"/>
    <w:rsid w:val="00E260B1"/>
    <w:rsid w:val="00E301FF"/>
    <w:rsid w:val="00E30457"/>
    <w:rsid w:val="00E31209"/>
    <w:rsid w:val="00E31BA0"/>
    <w:rsid w:val="00E31CDD"/>
    <w:rsid w:val="00E3207B"/>
    <w:rsid w:val="00E325B7"/>
    <w:rsid w:val="00E327A0"/>
    <w:rsid w:val="00E32FE9"/>
    <w:rsid w:val="00E33175"/>
    <w:rsid w:val="00E3326A"/>
    <w:rsid w:val="00E336D1"/>
    <w:rsid w:val="00E337DE"/>
    <w:rsid w:val="00E338C6"/>
    <w:rsid w:val="00E33CEF"/>
    <w:rsid w:val="00E33FF6"/>
    <w:rsid w:val="00E3407F"/>
    <w:rsid w:val="00E342C2"/>
    <w:rsid w:val="00E34344"/>
    <w:rsid w:val="00E34455"/>
    <w:rsid w:val="00E34982"/>
    <w:rsid w:val="00E34A24"/>
    <w:rsid w:val="00E3602D"/>
    <w:rsid w:val="00E36131"/>
    <w:rsid w:val="00E363C0"/>
    <w:rsid w:val="00E36566"/>
    <w:rsid w:val="00E37784"/>
    <w:rsid w:val="00E37B65"/>
    <w:rsid w:val="00E40214"/>
    <w:rsid w:val="00E411BC"/>
    <w:rsid w:val="00E414D1"/>
    <w:rsid w:val="00E41987"/>
    <w:rsid w:val="00E41DDE"/>
    <w:rsid w:val="00E41FCA"/>
    <w:rsid w:val="00E42303"/>
    <w:rsid w:val="00E42B9A"/>
    <w:rsid w:val="00E438A3"/>
    <w:rsid w:val="00E446B6"/>
    <w:rsid w:val="00E44894"/>
    <w:rsid w:val="00E44C82"/>
    <w:rsid w:val="00E45869"/>
    <w:rsid w:val="00E46183"/>
    <w:rsid w:val="00E4654C"/>
    <w:rsid w:val="00E46BE8"/>
    <w:rsid w:val="00E46C2B"/>
    <w:rsid w:val="00E47DF5"/>
    <w:rsid w:val="00E50169"/>
    <w:rsid w:val="00E50D13"/>
    <w:rsid w:val="00E511BF"/>
    <w:rsid w:val="00E5155C"/>
    <w:rsid w:val="00E5209A"/>
    <w:rsid w:val="00E52209"/>
    <w:rsid w:val="00E522EC"/>
    <w:rsid w:val="00E52581"/>
    <w:rsid w:val="00E52758"/>
    <w:rsid w:val="00E5298E"/>
    <w:rsid w:val="00E541F2"/>
    <w:rsid w:val="00E54B35"/>
    <w:rsid w:val="00E55EAA"/>
    <w:rsid w:val="00E560F1"/>
    <w:rsid w:val="00E5672F"/>
    <w:rsid w:val="00E5687B"/>
    <w:rsid w:val="00E579C5"/>
    <w:rsid w:val="00E60128"/>
    <w:rsid w:val="00E604E3"/>
    <w:rsid w:val="00E60561"/>
    <w:rsid w:val="00E605F2"/>
    <w:rsid w:val="00E612C8"/>
    <w:rsid w:val="00E6138B"/>
    <w:rsid w:val="00E61795"/>
    <w:rsid w:val="00E62139"/>
    <w:rsid w:val="00E630B6"/>
    <w:rsid w:val="00E633E8"/>
    <w:rsid w:val="00E639E1"/>
    <w:rsid w:val="00E64CD4"/>
    <w:rsid w:val="00E64F22"/>
    <w:rsid w:val="00E65140"/>
    <w:rsid w:val="00E651F9"/>
    <w:rsid w:val="00E65854"/>
    <w:rsid w:val="00E65949"/>
    <w:rsid w:val="00E65C36"/>
    <w:rsid w:val="00E65E72"/>
    <w:rsid w:val="00E66014"/>
    <w:rsid w:val="00E6665B"/>
    <w:rsid w:val="00E6685E"/>
    <w:rsid w:val="00E66ADB"/>
    <w:rsid w:val="00E67353"/>
    <w:rsid w:val="00E67DB4"/>
    <w:rsid w:val="00E67E2E"/>
    <w:rsid w:val="00E7065A"/>
    <w:rsid w:val="00E70856"/>
    <w:rsid w:val="00E70DCC"/>
    <w:rsid w:val="00E70F08"/>
    <w:rsid w:val="00E71358"/>
    <w:rsid w:val="00E71369"/>
    <w:rsid w:val="00E71808"/>
    <w:rsid w:val="00E71C12"/>
    <w:rsid w:val="00E728E8"/>
    <w:rsid w:val="00E72B62"/>
    <w:rsid w:val="00E73195"/>
    <w:rsid w:val="00E73EDF"/>
    <w:rsid w:val="00E74839"/>
    <w:rsid w:val="00E74D37"/>
    <w:rsid w:val="00E75E9F"/>
    <w:rsid w:val="00E766EF"/>
    <w:rsid w:val="00E76AA0"/>
    <w:rsid w:val="00E76ACF"/>
    <w:rsid w:val="00E76E13"/>
    <w:rsid w:val="00E76F88"/>
    <w:rsid w:val="00E77010"/>
    <w:rsid w:val="00E77257"/>
    <w:rsid w:val="00E77F22"/>
    <w:rsid w:val="00E80280"/>
    <w:rsid w:val="00E806E8"/>
    <w:rsid w:val="00E8083A"/>
    <w:rsid w:val="00E80B14"/>
    <w:rsid w:val="00E80C65"/>
    <w:rsid w:val="00E81194"/>
    <w:rsid w:val="00E81A1B"/>
    <w:rsid w:val="00E824F6"/>
    <w:rsid w:val="00E8286C"/>
    <w:rsid w:val="00E835CC"/>
    <w:rsid w:val="00E83688"/>
    <w:rsid w:val="00E83AFA"/>
    <w:rsid w:val="00E845D9"/>
    <w:rsid w:val="00E84923"/>
    <w:rsid w:val="00E8499F"/>
    <w:rsid w:val="00E851DA"/>
    <w:rsid w:val="00E85AA4"/>
    <w:rsid w:val="00E85B6A"/>
    <w:rsid w:val="00E86048"/>
    <w:rsid w:val="00E865A9"/>
    <w:rsid w:val="00E86E5F"/>
    <w:rsid w:val="00E870D4"/>
    <w:rsid w:val="00E873E6"/>
    <w:rsid w:val="00E875F2"/>
    <w:rsid w:val="00E877D3"/>
    <w:rsid w:val="00E90AD6"/>
    <w:rsid w:val="00E90B08"/>
    <w:rsid w:val="00E91360"/>
    <w:rsid w:val="00E922A6"/>
    <w:rsid w:val="00E926E7"/>
    <w:rsid w:val="00E92793"/>
    <w:rsid w:val="00E92F1E"/>
    <w:rsid w:val="00E9432A"/>
    <w:rsid w:val="00E944B8"/>
    <w:rsid w:val="00E94F11"/>
    <w:rsid w:val="00E95999"/>
    <w:rsid w:val="00E959A7"/>
    <w:rsid w:val="00E95C83"/>
    <w:rsid w:val="00E95DC2"/>
    <w:rsid w:val="00E9631F"/>
    <w:rsid w:val="00E97658"/>
    <w:rsid w:val="00EA0BFD"/>
    <w:rsid w:val="00EA0D5C"/>
    <w:rsid w:val="00EA1326"/>
    <w:rsid w:val="00EA18D2"/>
    <w:rsid w:val="00EA1B22"/>
    <w:rsid w:val="00EA2616"/>
    <w:rsid w:val="00EA3D81"/>
    <w:rsid w:val="00EA52FF"/>
    <w:rsid w:val="00EA5895"/>
    <w:rsid w:val="00EA5D91"/>
    <w:rsid w:val="00EA6859"/>
    <w:rsid w:val="00EA798A"/>
    <w:rsid w:val="00EB058F"/>
    <w:rsid w:val="00EB0B73"/>
    <w:rsid w:val="00EB0C8F"/>
    <w:rsid w:val="00EB0EE2"/>
    <w:rsid w:val="00EB114E"/>
    <w:rsid w:val="00EB11FE"/>
    <w:rsid w:val="00EB148F"/>
    <w:rsid w:val="00EB19F0"/>
    <w:rsid w:val="00EB1C79"/>
    <w:rsid w:val="00EB2246"/>
    <w:rsid w:val="00EB297C"/>
    <w:rsid w:val="00EB31A5"/>
    <w:rsid w:val="00EB3477"/>
    <w:rsid w:val="00EB3600"/>
    <w:rsid w:val="00EB3B73"/>
    <w:rsid w:val="00EB3F18"/>
    <w:rsid w:val="00EB41CA"/>
    <w:rsid w:val="00EB4714"/>
    <w:rsid w:val="00EB4A37"/>
    <w:rsid w:val="00EB4BC2"/>
    <w:rsid w:val="00EB6536"/>
    <w:rsid w:val="00EB6D17"/>
    <w:rsid w:val="00EB6D2E"/>
    <w:rsid w:val="00EB6F84"/>
    <w:rsid w:val="00EB744E"/>
    <w:rsid w:val="00EB7F7B"/>
    <w:rsid w:val="00EC07B4"/>
    <w:rsid w:val="00EC0A5B"/>
    <w:rsid w:val="00EC0CE3"/>
    <w:rsid w:val="00EC1F06"/>
    <w:rsid w:val="00EC235D"/>
    <w:rsid w:val="00EC279D"/>
    <w:rsid w:val="00EC2C10"/>
    <w:rsid w:val="00EC3564"/>
    <w:rsid w:val="00EC356F"/>
    <w:rsid w:val="00EC36DD"/>
    <w:rsid w:val="00EC3C7F"/>
    <w:rsid w:val="00EC4B2F"/>
    <w:rsid w:val="00EC4B53"/>
    <w:rsid w:val="00EC5345"/>
    <w:rsid w:val="00EC54AC"/>
    <w:rsid w:val="00EC5817"/>
    <w:rsid w:val="00EC5D6F"/>
    <w:rsid w:val="00EC6922"/>
    <w:rsid w:val="00EC6F2E"/>
    <w:rsid w:val="00EC7B41"/>
    <w:rsid w:val="00EC7BE0"/>
    <w:rsid w:val="00ED045D"/>
    <w:rsid w:val="00ED1AE7"/>
    <w:rsid w:val="00ED2AD4"/>
    <w:rsid w:val="00ED3C50"/>
    <w:rsid w:val="00ED3ED4"/>
    <w:rsid w:val="00ED4305"/>
    <w:rsid w:val="00ED46B3"/>
    <w:rsid w:val="00ED46B7"/>
    <w:rsid w:val="00ED4A3D"/>
    <w:rsid w:val="00ED4B22"/>
    <w:rsid w:val="00ED4D2E"/>
    <w:rsid w:val="00ED4E1E"/>
    <w:rsid w:val="00ED55D2"/>
    <w:rsid w:val="00ED56E0"/>
    <w:rsid w:val="00ED61A0"/>
    <w:rsid w:val="00ED6787"/>
    <w:rsid w:val="00ED6DE9"/>
    <w:rsid w:val="00ED71C7"/>
    <w:rsid w:val="00ED751F"/>
    <w:rsid w:val="00ED752C"/>
    <w:rsid w:val="00ED76CD"/>
    <w:rsid w:val="00ED783A"/>
    <w:rsid w:val="00ED7B20"/>
    <w:rsid w:val="00EE0478"/>
    <w:rsid w:val="00EE0D0B"/>
    <w:rsid w:val="00EE0D6E"/>
    <w:rsid w:val="00EE0E49"/>
    <w:rsid w:val="00EE0E4B"/>
    <w:rsid w:val="00EE0F8E"/>
    <w:rsid w:val="00EE13CC"/>
    <w:rsid w:val="00EE1771"/>
    <w:rsid w:val="00EE22FA"/>
    <w:rsid w:val="00EE2574"/>
    <w:rsid w:val="00EE375F"/>
    <w:rsid w:val="00EE3AB4"/>
    <w:rsid w:val="00EE4716"/>
    <w:rsid w:val="00EE4B1C"/>
    <w:rsid w:val="00EE4E16"/>
    <w:rsid w:val="00EE4E98"/>
    <w:rsid w:val="00EE59E3"/>
    <w:rsid w:val="00EE6534"/>
    <w:rsid w:val="00EE6862"/>
    <w:rsid w:val="00EE6C32"/>
    <w:rsid w:val="00EE6E54"/>
    <w:rsid w:val="00EE6E84"/>
    <w:rsid w:val="00EE74BB"/>
    <w:rsid w:val="00EE7919"/>
    <w:rsid w:val="00EE7DC7"/>
    <w:rsid w:val="00EF0AFB"/>
    <w:rsid w:val="00EF11F6"/>
    <w:rsid w:val="00EF133F"/>
    <w:rsid w:val="00EF258E"/>
    <w:rsid w:val="00EF2650"/>
    <w:rsid w:val="00EF2819"/>
    <w:rsid w:val="00EF3B9A"/>
    <w:rsid w:val="00EF402B"/>
    <w:rsid w:val="00EF46AE"/>
    <w:rsid w:val="00EF4772"/>
    <w:rsid w:val="00EF5437"/>
    <w:rsid w:val="00EF593C"/>
    <w:rsid w:val="00EF5A94"/>
    <w:rsid w:val="00EF6261"/>
    <w:rsid w:val="00EF7188"/>
    <w:rsid w:val="00EF72FD"/>
    <w:rsid w:val="00EF760B"/>
    <w:rsid w:val="00EF7851"/>
    <w:rsid w:val="00EF7AED"/>
    <w:rsid w:val="00EF7F04"/>
    <w:rsid w:val="00F004F1"/>
    <w:rsid w:val="00F02A78"/>
    <w:rsid w:val="00F02AA0"/>
    <w:rsid w:val="00F0354B"/>
    <w:rsid w:val="00F0384E"/>
    <w:rsid w:val="00F03CF9"/>
    <w:rsid w:val="00F04736"/>
    <w:rsid w:val="00F049A3"/>
    <w:rsid w:val="00F06274"/>
    <w:rsid w:val="00F06B57"/>
    <w:rsid w:val="00F0736E"/>
    <w:rsid w:val="00F07985"/>
    <w:rsid w:val="00F079F9"/>
    <w:rsid w:val="00F07FFB"/>
    <w:rsid w:val="00F1107D"/>
    <w:rsid w:val="00F112FF"/>
    <w:rsid w:val="00F11C50"/>
    <w:rsid w:val="00F1288E"/>
    <w:rsid w:val="00F12B52"/>
    <w:rsid w:val="00F12D7E"/>
    <w:rsid w:val="00F12E08"/>
    <w:rsid w:val="00F13D5D"/>
    <w:rsid w:val="00F13FA9"/>
    <w:rsid w:val="00F1430B"/>
    <w:rsid w:val="00F14A08"/>
    <w:rsid w:val="00F14CD9"/>
    <w:rsid w:val="00F14FD3"/>
    <w:rsid w:val="00F15363"/>
    <w:rsid w:val="00F155E4"/>
    <w:rsid w:val="00F15A7C"/>
    <w:rsid w:val="00F15B06"/>
    <w:rsid w:val="00F15CE4"/>
    <w:rsid w:val="00F15E56"/>
    <w:rsid w:val="00F16170"/>
    <w:rsid w:val="00F161F1"/>
    <w:rsid w:val="00F169AA"/>
    <w:rsid w:val="00F16B37"/>
    <w:rsid w:val="00F16D7C"/>
    <w:rsid w:val="00F170FD"/>
    <w:rsid w:val="00F17923"/>
    <w:rsid w:val="00F17BF2"/>
    <w:rsid w:val="00F20042"/>
    <w:rsid w:val="00F20295"/>
    <w:rsid w:val="00F20825"/>
    <w:rsid w:val="00F20E21"/>
    <w:rsid w:val="00F211A3"/>
    <w:rsid w:val="00F21685"/>
    <w:rsid w:val="00F21800"/>
    <w:rsid w:val="00F22340"/>
    <w:rsid w:val="00F223B4"/>
    <w:rsid w:val="00F2278A"/>
    <w:rsid w:val="00F22BE1"/>
    <w:rsid w:val="00F22DA3"/>
    <w:rsid w:val="00F231DB"/>
    <w:rsid w:val="00F23D54"/>
    <w:rsid w:val="00F240BA"/>
    <w:rsid w:val="00F245B3"/>
    <w:rsid w:val="00F25943"/>
    <w:rsid w:val="00F2618A"/>
    <w:rsid w:val="00F26D14"/>
    <w:rsid w:val="00F26FD8"/>
    <w:rsid w:val="00F27618"/>
    <w:rsid w:val="00F278DD"/>
    <w:rsid w:val="00F27CA4"/>
    <w:rsid w:val="00F27CB8"/>
    <w:rsid w:val="00F300AF"/>
    <w:rsid w:val="00F3022C"/>
    <w:rsid w:val="00F306E2"/>
    <w:rsid w:val="00F30C03"/>
    <w:rsid w:val="00F30CB4"/>
    <w:rsid w:val="00F3121C"/>
    <w:rsid w:val="00F31C47"/>
    <w:rsid w:val="00F31D49"/>
    <w:rsid w:val="00F32082"/>
    <w:rsid w:val="00F32363"/>
    <w:rsid w:val="00F33567"/>
    <w:rsid w:val="00F33788"/>
    <w:rsid w:val="00F33790"/>
    <w:rsid w:val="00F340FE"/>
    <w:rsid w:val="00F344A5"/>
    <w:rsid w:val="00F348AF"/>
    <w:rsid w:val="00F34DFB"/>
    <w:rsid w:val="00F350A1"/>
    <w:rsid w:val="00F35707"/>
    <w:rsid w:val="00F35C81"/>
    <w:rsid w:val="00F35DCC"/>
    <w:rsid w:val="00F36D90"/>
    <w:rsid w:val="00F40316"/>
    <w:rsid w:val="00F40AD3"/>
    <w:rsid w:val="00F41205"/>
    <w:rsid w:val="00F417A5"/>
    <w:rsid w:val="00F42644"/>
    <w:rsid w:val="00F42754"/>
    <w:rsid w:val="00F4340C"/>
    <w:rsid w:val="00F43538"/>
    <w:rsid w:val="00F43559"/>
    <w:rsid w:val="00F4380B"/>
    <w:rsid w:val="00F4389B"/>
    <w:rsid w:val="00F43A5A"/>
    <w:rsid w:val="00F43E13"/>
    <w:rsid w:val="00F43F48"/>
    <w:rsid w:val="00F4417F"/>
    <w:rsid w:val="00F44519"/>
    <w:rsid w:val="00F4535F"/>
    <w:rsid w:val="00F4557C"/>
    <w:rsid w:val="00F456B3"/>
    <w:rsid w:val="00F4571A"/>
    <w:rsid w:val="00F46184"/>
    <w:rsid w:val="00F46383"/>
    <w:rsid w:val="00F4691D"/>
    <w:rsid w:val="00F46A71"/>
    <w:rsid w:val="00F47656"/>
    <w:rsid w:val="00F47B38"/>
    <w:rsid w:val="00F50091"/>
    <w:rsid w:val="00F504A9"/>
    <w:rsid w:val="00F51955"/>
    <w:rsid w:val="00F5226C"/>
    <w:rsid w:val="00F52383"/>
    <w:rsid w:val="00F53201"/>
    <w:rsid w:val="00F53856"/>
    <w:rsid w:val="00F53D1A"/>
    <w:rsid w:val="00F5417D"/>
    <w:rsid w:val="00F54C3F"/>
    <w:rsid w:val="00F55713"/>
    <w:rsid w:val="00F55842"/>
    <w:rsid w:val="00F55854"/>
    <w:rsid w:val="00F55940"/>
    <w:rsid w:val="00F562E6"/>
    <w:rsid w:val="00F5633B"/>
    <w:rsid w:val="00F5671B"/>
    <w:rsid w:val="00F5698B"/>
    <w:rsid w:val="00F569B6"/>
    <w:rsid w:val="00F569C2"/>
    <w:rsid w:val="00F56C42"/>
    <w:rsid w:val="00F5709C"/>
    <w:rsid w:val="00F577B6"/>
    <w:rsid w:val="00F60102"/>
    <w:rsid w:val="00F60953"/>
    <w:rsid w:val="00F60964"/>
    <w:rsid w:val="00F60F52"/>
    <w:rsid w:val="00F61037"/>
    <w:rsid w:val="00F61717"/>
    <w:rsid w:val="00F61A72"/>
    <w:rsid w:val="00F61EA6"/>
    <w:rsid w:val="00F62957"/>
    <w:rsid w:val="00F62A86"/>
    <w:rsid w:val="00F62DC3"/>
    <w:rsid w:val="00F62F95"/>
    <w:rsid w:val="00F6303B"/>
    <w:rsid w:val="00F6312E"/>
    <w:rsid w:val="00F6351D"/>
    <w:rsid w:val="00F63558"/>
    <w:rsid w:val="00F639FF"/>
    <w:rsid w:val="00F63B60"/>
    <w:rsid w:val="00F63B80"/>
    <w:rsid w:val="00F63E34"/>
    <w:rsid w:val="00F63E38"/>
    <w:rsid w:val="00F650B2"/>
    <w:rsid w:val="00F65CE4"/>
    <w:rsid w:val="00F65F70"/>
    <w:rsid w:val="00F660CE"/>
    <w:rsid w:val="00F663D6"/>
    <w:rsid w:val="00F66959"/>
    <w:rsid w:val="00F66B4F"/>
    <w:rsid w:val="00F66BC5"/>
    <w:rsid w:val="00F676EA"/>
    <w:rsid w:val="00F67A59"/>
    <w:rsid w:val="00F7049B"/>
    <w:rsid w:val="00F7104F"/>
    <w:rsid w:val="00F71A1E"/>
    <w:rsid w:val="00F723F8"/>
    <w:rsid w:val="00F7384B"/>
    <w:rsid w:val="00F73BA6"/>
    <w:rsid w:val="00F73C67"/>
    <w:rsid w:val="00F73E9C"/>
    <w:rsid w:val="00F7430A"/>
    <w:rsid w:val="00F74761"/>
    <w:rsid w:val="00F753FD"/>
    <w:rsid w:val="00F75677"/>
    <w:rsid w:val="00F75917"/>
    <w:rsid w:val="00F75EEF"/>
    <w:rsid w:val="00F765B4"/>
    <w:rsid w:val="00F76A8F"/>
    <w:rsid w:val="00F76E8F"/>
    <w:rsid w:val="00F7716C"/>
    <w:rsid w:val="00F7719E"/>
    <w:rsid w:val="00F77267"/>
    <w:rsid w:val="00F777F2"/>
    <w:rsid w:val="00F8091A"/>
    <w:rsid w:val="00F8178B"/>
    <w:rsid w:val="00F81DC6"/>
    <w:rsid w:val="00F8258B"/>
    <w:rsid w:val="00F82651"/>
    <w:rsid w:val="00F829D2"/>
    <w:rsid w:val="00F82C82"/>
    <w:rsid w:val="00F836A1"/>
    <w:rsid w:val="00F836F9"/>
    <w:rsid w:val="00F83BB1"/>
    <w:rsid w:val="00F84058"/>
    <w:rsid w:val="00F849E6"/>
    <w:rsid w:val="00F850F1"/>
    <w:rsid w:val="00F8558D"/>
    <w:rsid w:val="00F8587C"/>
    <w:rsid w:val="00F85946"/>
    <w:rsid w:val="00F85D17"/>
    <w:rsid w:val="00F86255"/>
    <w:rsid w:val="00F86491"/>
    <w:rsid w:val="00F86589"/>
    <w:rsid w:val="00F86B2D"/>
    <w:rsid w:val="00F86BD4"/>
    <w:rsid w:val="00F86CB5"/>
    <w:rsid w:val="00F8701F"/>
    <w:rsid w:val="00F8721D"/>
    <w:rsid w:val="00F902F7"/>
    <w:rsid w:val="00F904C9"/>
    <w:rsid w:val="00F90947"/>
    <w:rsid w:val="00F90AAB"/>
    <w:rsid w:val="00F9181D"/>
    <w:rsid w:val="00F91D6D"/>
    <w:rsid w:val="00F91E74"/>
    <w:rsid w:val="00F921D9"/>
    <w:rsid w:val="00F92628"/>
    <w:rsid w:val="00F9298A"/>
    <w:rsid w:val="00F92DEA"/>
    <w:rsid w:val="00F931E7"/>
    <w:rsid w:val="00F933EC"/>
    <w:rsid w:val="00F9364F"/>
    <w:rsid w:val="00F937DA"/>
    <w:rsid w:val="00F94621"/>
    <w:rsid w:val="00F9462B"/>
    <w:rsid w:val="00F950E7"/>
    <w:rsid w:val="00F953FE"/>
    <w:rsid w:val="00F96868"/>
    <w:rsid w:val="00F969F9"/>
    <w:rsid w:val="00F9765B"/>
    <w:rsid w:val="00F97727"/>
    <w:rsid w:val="00FA0C76"/>
    <w:rsid w:val="00FA0F3E"/>
    <w:rsid w:val="00FA1059"/>
    <w:rsid w:val="00FA11F2"/>
    <w:rsid w:val="00FA1D81"/>
    <w:rsid w:val="00FA3130"/>
    <w:rsid w:val="00FA330E"/>
    <w:rsid w:val="00FA3A1D"/>
    <w:rsid w:val="00FA3D52"/>
    <w:rsid w:val="00FA3FC3"/>
    <w:rsid w:val="00FA4EF5"/>
    <w:rsid w:val="00FA5247"/>
    <w:rsid w:val="00FA591B"/>
    <w:rsid w:val="00FA7194"/>
    <w:rsid w:val="00FA7A7C"/>
    <w:rsid w:val="00FA7FC0"/>
    <w:rsid w:val="00FB0009"/>
    <w:rsid w:val="00FB046D"/>
    <w:rsid w:val="00FB072D"/>
    <w:rsid w:val="00FB0931"/>
    <w:rsid w:val="00FB0C46"/>
    <w:rsid w:val="00FB0F9C"/>
    <w:rsid w:val="00FB12C5"/>
    <w:rsid w:val="00FB179F"/>
    <w:rsid w:val="00FB1B23"/>
    <w:rsid w:val="00FB1C3C"/>
    <w:rsid w:val="00FB1E77"/>
    <w:rsid w:val="00FB35EC"/>
    <w:rsid w:val="00FB3965"/>
    <w:rsid w:val="00FB3C0A"/>
    <w:rsid w:val="00FB3F3E"/>
    <w:rsid w:val="00FB48BB"/>
    <w:rsid w:val="00FB48F7"/>
    <w:rsid w:val="00FB4EBC"/>
    <w:rsid w:val="00FB4EF3"/>
    <w:rsid w:val="00FB50F2"/>
    <w:rsid w:val="00FB511E"/>
    <w:rsid w:val="00FB5401"/>
    <w:rsid w:val="00FB62CB"/>
    <w:rsid w:val="00FB6ADC"/>
    <w:rsid w:val="00FB6EDD"/>
    <w:rsid w:val="00FB6FCA"/>
    <w:rsid w:val="00FB700F"/>
    <w:rsid w:val="00FB7AA8"/>
    <w:rsid w:val="00FC026C"/>
    <w:rsid w:val="00FC06D9"/>
    <w:rsid w:val="00FC0D8E"/>
    <w:rsid w:val="00FC11A8"/>
    <w:rsid w:val="00FC23BF"/>
    <w:rsid w:val="00FC24DE"/>
    <w:rsid w:val="00FC2A91"/>
    <w:rsid w:val="00FC2B2D"/>
    <w:rsid w:val="00FC2D25"/>
    <w:rsid w:val="00FC2E8E"/>
    <w:rsid w:val="00FC311F"/>
    <w:rsid w:val="00FC31A4"/>
    <w:rsid w:val="00FC3B39"/>
    <w:rsid w:val="00FC44AB"/>
    <w:rsid w:val="00FC4994"/>
    <w:rsid w:val="00FC4B8E"/>
    <w:rsid w:val="00FC4C17"/>
    <w:rsid w:val="00FC4F07"/>
    <w:rsid w:val="00FC510E"/>
    <w:rsid w:val="00FC53AE"/>
    <w:rsid w:val="00FC59FB"/>
    <w:rsid w:val="00FC60FF"/>
    <w:rsid w:val="00FC62B2"/>
    <w:rsid w:val="00FC6D7B"/>
    <w:rsid w:val="00FC7A1F"/>
    <w:rsid w:val="00FC7AE0"/>
    <w:rsid w:val="00FC7C0B"/>
    <w:rsid w:val="00FC7C55"/>
    <w:rsid w:val="00FD0835"/>
    <w:rsid w:val="00FD1A07"/>
    <w:rsid w:val="00FD3223"/>
    <w:rsid w:val="00FD3EF1"/>
    <w:rsid w:val="00FD41DE"/>
    <w:rsid w:val="00FD4883"/>
    <w:rsid w:val="00FD512F"/>
    <w:rsid w:val="00FD561B"/>
    <w:rsid w:val="00FD5A3C"/>
    <w:rsid w:val="00FD5D00"/>
    <w:rsid w:val="00FD5EAF"/>
    <w:rsid w:val="00FD69EF"/>
    <w:rsid w:val="00FD7541"/>
    <w:rsid w:val="00FD7556"/>
    <w:rsid w:val="00FD7671"/>
    <w:rsid w:val="00FD7874"/>
    <w:rsid w:val="00FD7E70"/>
    <w:rsid w:val="00FE002D"/>
    <w:rsid w:val="00FE0721"/>
    <w:rsid w:val="00FE0881"/>
    <w:rsid w:val="00FE1514"/>
    <w:rsid w:val="00FE181D"/>
    <w:rsid w:val="00FE2786"/>
    <w:rsid w:val="00FE30D7"/>
    <w:rsid w:val="00FE44BF"/>
    <w:rsid w:val="00FE4925"/>
    <w:rsid w:val="00FE6976"/>
    <w:rsid w:val="00FE79CF"/>
    <w:rsid w:val="00FE7B36"/>
    <w:rsid w:val="00FE7D8B"/>
    <w:rsid w:val="00FE7EA5"/>
    <w:rsid w:val="00FF0334"/>
    <w:rsid w:val="00FF0814"/>
    <w:rsid w:val="00FF0B32"/>
    <w:rsid w:val="00FF0B7A"/>
    <w:rsid w:val="00FF0E6D"/>
    <w:rsid w:val="00FF1858"/>
    <w:rsid w:val="00FF187B"/>
    <w:rsid w:val="00FF1ED9"/>
    <w:rsid w:val="00FF1FF1"/>
    <w:rsid w:val="00FF20EB"/>
    <w:rsid w:val="00FF213E"/>
    <w:rsid w:val="00FF2BC3"/>
    <w:rsid w:val="00FF318A"/>
    <w:rsid w:val="00FF3338"/>
    <w:rsid w:val="00FF3683"/>
    <w:rsid w:val="00FF38D5"/>
    <w:rsid w:val="00FF421F"/>
    <w:rsid w:val="00FF4784"/>
    <w:rsid w:val="00FF58EC"/>
    <w:rsid w:val="00FF5938"/>
    <w:rsid w:val="00FF61A5"/>
    <w:rsid w:val="00FF67D3"/>
    <w:rsid w:val="00FF69FC"/>
    <w:rsid w:val="00FF7009"/>
    <w:rsid w:val="00FF7162"/>
    <w:rsid w:val="00FF7345"/>
    <w:rsid w:val="00FF7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8E01D1"/>
  <w15:chartTrackingRefBased/>
  <w15:docId w15:val="{308411CD-9D3A-4148-BABE-D4849A1D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uiPriority="99"/>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uiPriority="21" w:qFormat="1"/>
    <w:lsdException w:name="Plain Table 5" w:qFormat="1"/>
    <w:lsdException w:name="Grid Table Light" w:qFormat="1"/>
    <w:lsdException w:name="Grid Table 1 Light" w:qFormat="1"/>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50F"/>
    <w:pPr>
      <w:spacing w:after="160" w:line="259" w:lineRule="auto"/>
    </w:pPr>
    <w:rPr>
      <w:rFonts w:asciiTheme="minorHAnsi" w:eastAsiaTheme="minorHAnsi" w:hAnsiTheme="minorHAnsi" w:cstheme="minorBidi"/>
      <w:sz w:val="22"/>
      <w:szCs w:val="22"/>
    </w:rPr>
  </w:style>
  <w:style w:type="paragraph" w:styleId="Ttulo1">
    <w:name w:val="heading 1"/>
    <w:aliases w:val="HOME BR"/>
    <w:basedOn w:val="Normal"/>
    <w:next w:val="Normal"/>
    <w:link w:val="Ttulo1Char"/>
    <w:qFormat/>
    <w:rsid w:val="0054102E"/>
    <w:pPr>
      <w:keepNext/>
      <w:pageBreakBefore/>
      <w:jc w:val="center"/>
      <w:outlineLvl w:val="0"/>
    </w:pPr>
    <w:rPr>
      <w:rFonts w:eastAsia="MS Mincho"/>
      <w:b/>
      <w:bCs/>
      <w:caps/>
      <w:kern w:val="32"/>
      <w:szCs w:val="32"/>
    </w:rPr>
  </w:style>
  <w:style w:type="paragraph" w:styleId="Ttulo2">
    <w:name w:val="heading 2"/>
    <w:aliases w:val="N2 Normal HOME BR"/>
    <w:basedOn w:val="Normal"/>
    <w:next w:val="Normal"/>
    <w:link w:val="Ttulo2Char"/>
    <w:uiPriority w:val="9"/>
    <w:qFormat/>
    <w:rsid w:val="0054102E"/>
    <w:pPr>
      <w:keepNext/>
      <w:keepLines/>
      <w:outlineLvl w:val="1"/>
    </w:pPr>
    <w:rPr>
      <w:rFonts w:eastAsia="MS Mincho"/>
      <w:bCs/>
      <w:iCs/>
      <w:szCs w:val="28"/>
      <w:lang w:val="x-none"/>
    </w:rPr>
  </w:style>
  <w:style w:type="paragraph" w:styleId="Ttulo3">
    <w:name w:val="heading 3"/>
    <w:aliases w:val="N2 Bold HOME BR,Agmt Head 2 Body/Title,h3,DPW Head Left Bold,ot"/>
    <w:basedOn w:val="Normal"/>
    <w:next w:val="Normal"/>
    <w:link w:val="Ttulo3Char"/>
    <w:qFormat/>
    <w:rsid w:val="0054102E"/>
    <w:pPr>
      <w:keepNext/>
      <w:keepLines/>
      <w:outlineLvl w:val="2"/>
    </w:pPr>
    <w:rPr>
      <w:rFonts w:eastAsia="MS Mincho"/>
      <w:b/>
      <w:bCs/>
      <w:szCs w:val="26"/>
    </w:rPr>
  </w:style>
  <w:style w:type="paragraph" w:styleId="Ttulo4">
    <w:name w:val="heading 4"/>
    <w:aliases w:val="N2  Bold Italic HOME BR"/>
    <w:basedOn w:val="Normal"/>
    <w:next w:val="TtuloB2"/>
    <w:link w:val="Ttulo4Char"/>
    <w:qFormat/>
    <w:rsid w:val="0054102E"/>
    <w:pPr>
      <w:keepNext/>
      <w:keepLines/>
      <w:outlineLvl w:val="3"/>
    </w:pPr>
    <w:rPr>
      <w:rFonts w:eastAsia="MS Mincho"/>
      <w:b/>
      <w:bCs/>
      <w:i/>
      <w:szCs w:val="28"/>
    </w:rPr>
  </w:style>
  <w:style w:type="paragraph" w:styleId="Ttulo5">
    <w:name w:val="heading 5"/>
    <w:aliases w:val="N2 Italic HOME BR"/>
    <w:basedOn w:val="Normal"/>
    <w:next w:val="Normal"/>
    <w:link w:val="Ttulo5Char"/>
    <w:qFormat/>
    <w:rsid w:val="0054102E"/>
    <w:pPr>
      <w:keepNext/>
      <w:keepLines/>
      <w:outlineLvl w:val="4"/>
    </w:pPr>
    <w:rPr>
      <w:rFonts w:eastAsia="MS Mincho"/>
      <w:bCs/>
      <w:i/>
      <w:iCs/>
      <w:szCs w:val="26"/>
    </w:rPr>
  </w:style>
  <w:style w:type="paragraph" w:styleId="Ttulo6">
    <w:name w:val="heading 6"/>
    <w:aliases w:val="N3 Normal HOME BR"/>
    <w:basedOn w:val="Normal"/>
    <w:next w:val="Normal"/>
    <w:link w:val="Ttulo6Char"/>
    <w:qFormat/>
    <w:rsid w:val="0054102E"/>
    <w:pPr>
      <w:keepNext/>
      <w:keepLines/>
      <w:outlineLvl w:val="5"/>
    </w:pPr>
    <w:rPr>
      <w:rFonts w:eastAsia="MS Mincho"/>
      <w:bCs/>
    </w:rPr>
  </w:style>
  <w:style w:type="paragraph" w:styleId="Ttulo7">
    <w:name w:val="heading 7"/>
    <w:aliases w:val="N3 Bold HOME BR"/>
    <w:basedOn w:val="Normal"/>
    <w:next w:val="Normal"/>
    <w:link w:val="Ttulo7Char"/>
    <w:qFormat/>
    <w:rsid w:val="0054102E"/>
    <w:pPr>
      <w:keepNext/>
      <w:keepLines/>
      <w:outlineLvl w:val="6"/>
    </w:pPr>
    <w:rPr>
      <w:rFonts w:eastAsia="MS Mincho"/>
      <w:b/>
    </w:rPr>
  </w:style>
  <w:style w:type="paragraph" w:styleId="Ttulo8">
    <w:name w:val="heading 8"/>
    <w:aliases w:val="N3 Bold Italic HOME BR"/>
    <w:basedOn w:val="Normal"/>
    <w:next w:val="Normal"/>
    <w:link w:val="Ttulo8Char"/>
    <w:qFormat/>
    <w:rsid w:val="0054102E"/>
    <w:pPr>
      <w:keepNext/>
      <w:keepLines/>
      <w:outlineLvl w:val="7"/>
    </w:pPr>
    <w:rPr>
      <w:rFonts w:eastAsia="MS Mincho"/>
      <w:b/>
      <w:i/>
      <w:iCs/>
    </w:rPr>
  </w:style>
  <w:style w:type="paragraph" w:styleId="Ttulo9">
    <w:name w:val="heading 9"/>
    <w:aliases w:val="N3 Italic HOME BR"/>
    <w:basedOn w:val="Normal"/>
    <w:next w:val="Normal"/>
    <w:link w:val="Ttulo9Char"/>
    <w:qFormat/>
    <w:rsid w:val="0054102E"/>
    <w:pPr>
      <w:keepNext/>
      <w:keepLines/>
      <w:outlineLvl w:val="8"/>
    </w:pPr>
    <w:rPr>
      <w:rFonts w:eastAsia="MS Mincho"/>
      <w:i/>
    </w:rPr>
  </w:style>
  <w:style w:type="character" w:default="1" w:styleId="Fontepargpadro">
    <w:name w:val="Default Paragraph Font"/>
    <w:uiPriority w:val="1"/>
    <w:semiHidden/>
    <w:unhideWhenUsed/>
    <w:rsid w:val="00DE150F"/>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rsid w:val="00DE150F"/>
  </w:style>
  <w:style w:type="character" w:customStyle="1" w:styleId="Ttulo1Char">
    <w:name w:val="Título 1 Char"/>
    <w:aliases w:val="HOME BR Char"/>
    <w:link w:val="Ttulo1"/>
    <w:locked/>
    <w:rsid w:val="0054102E"/>
    <w:rPr>
      <w:rFonts w:ascii="Arial" w:hAnsi="Arial" w:cs="Arial"/>
      <w:b/>
      <w:bCs/>
      <w:caps/>
      <w:kern w:val="32"/>
      <w:szCs w:val="32"/>
      <w:lang w:val="en-US" w:eastAsia="en-US"/>
    </w:rPr>
  </w:style>
  <w:style w:type="character" w:customStyle="1" w:styleId="Ttulo2Char">
    <w:name w:val="Título 2 Char"/>
    <w:aliases w:val="N2 Normal HOME BR Char"/>
    <w:link w:val="Ttulo2"/>
    <w:uiPriority w:val="9"/>
    <w:locked/>
    <w:rsid w:val="0054102E"/>
    <w:rPr>
      <w:rFonts w:ascii="Arial" w:hAnsi="Arial" w:cs="Arial"/>
      <w:bCs/>
      <w:iCs/>
      <w:szCs w:val="28"/>
      <w:lang w:eastAsia="en-US"/>
    </w:rPr>
  </w:style>
  <w:style w:type="character" w:customStyle="1" w:styleId="Ttulo3Char">
    <w:name w:val="Título 3 Char"/>
    <w:aliases w:val="N2 Bold HOME BR Char,Agmt Head 2 Body/Title Char,h3 Char,DPW Head Left Bold Char,ot Char"/>
    <w:link w:val="Ttulo3"/>
    <w:locked/>
    <w:rsid w:val="0054102E"/>
    <w:rPr>
      <w:rFonts w:ascii="Arial" w:hAnsi="Arial" w:cs="Arial"/>
      <w:b/>
      <w:bCs/>
      <w:szCs w:val="26"/>
      <w:lang w:val="en-US" w:eastAsia="en-US"/>
    </w:rPr>
  </w:style>
  <w:style w:type="character" w:customStyle="1" w:styleId="Ttulo4Char">
    <w:name w:val="Título 4 Char"/>
    <w:aliases w:val="N2  Bold Italic HOME BR Char"/>
    <w:link w:val="Ttulo4"/>
    <w:locked/>
    <w:rsid w:val="0054102E"/>
    <w:rPr>
      <w:rFonts w:ascii="Arial" w:hAnsi="Arial"/>
      <w:b/>
      <w:bCs/>
      <w:i/>
      <w:szCs w:val="28"/>
      <w:lang w:val="en-US" w:eastAsia="en-US"/>
    </w:rPr>
  </w:style>
  <w:style w:type="character" w:customStyle="1" w:styleId="Ttulo5Char">
    <w:name w:val="Título 5 Char"/>
    <w:aliases w:val="N2 Italic HOME BR Char"/>
    <w:link w:val="Ttulo5"/>
    <w:locked/>
    <w:rsid w:val="0054102E"/>
    <w:rPr>
      <w:rFonts w:ascii="Arial" w:hAnsi="Arial"/>
      <w:bCs/>
      <w:i/>
      <w:iCs/>
      <w:szCs w:val="26"/>
      <w:lang w:val="en-US" w:eastAsia="en-US"/>
    </w:rPr>
  </w:style>
  <w:style w:type="character" w:customStyle="1" w:styleId="Ttulo6Char">
    <w:name w:val="Título 6 Char"/>
    <w:aliases w:val="N3 Normal HOME BR Char"/>
    <w:link w:val="Ttulo6"/>
    <w:locked/>
    <w:rsid w:val="0054102E"/>
    <w:rPr>
      <w:rFonts w:ascii="Arial" w:hAnsi="Arial"/>
      <w:bCs/>
      <w:szCs w:val="22"/>
      <w:lang w:val="en-US" w:eastAsia="en-US"/>
    </w:rPr>
  </w:style>
  <w:style w:type="character" w:customStyle="1" w:styleId="Ttulo7Char">
    <w:name w:val="Título 7 Char"/>
    <w:aliases w:val="N3 Bold HOME BR Char"/>
    <w:link w:val="Ttulo7"/>
    <w:locked/>
    <w:rsid w:val="0054102E"/>
    <w:rPr>
      <w:rFonts w:ascii="Arial" w:hAnsi="Arial"/>
      <w:b/>
      <w:lang w:val="en-US" w:eastAsia="en-US"/>
    </w:rPr>
  </w:style>
  <w:style w:type="character" w:customStyle="1" w:styleId="Ttulo8Char">
    <w:name w:val="Título 8 Char"/>
    <w:aliases w:val="N3 Bold Italic HOME BR Char"/>
    <w:link w:val="Ttulo8"/>
    <w:locked/>
    <w:rsid w:val="0054102E"/>
    <w:rPr>
      <w:rFonts w:ascii="Arial" w:hAnsi="Arial"/>
      <w:b/>
      <w:i/>
      <w:iCs/>
      <w:lang w:val="en-US" w:eastAsia="en-US"/>
    </w:rPr>
  </w:style>
  <w:style w:type="character" w:customStyle="1" w:styleId="Ttulo9Char">
    <w:name w:val="Título 9 Char"/>
    <w:aliases w:val="N3 Italic HOME BR Char"/>
    <w:link w:val="Ttulo9"/>
    <w:locked/>
    <w:rsid w:val="0054102E"/>
    <w:rPr>
      <w:rFonts w:ascii="Arial" w:hAnsi="Arial" w:cs="Arial"/>
      <w:i/>
      <w:szCs w:val="22"/>
      <w:lang w:val="en-US" w:eastAsia="en-US"/>
    </w:rPr>
  </w:style>
  <w:style w:type="paragraph" w:customStyle="1" w:styleId="HOMEBRBodyText">
    <w:name w:val="HOME BR Body Text"/>
    <w:basedOn w:val="Normal"/>
    <w:link w:val="HOMEBRBodyTextChar"/>
    <w:rsid w:val="0054102E"/>
    <w:pPr>
      <w:keepLines/>
    </w:pPr>
    <w:rPr>
      <w:rFonts w:eastAsia="MS Mincho"/>
      <w:lang w:val="x-none"/>
    </w:rPr>
  </w:style>
  <w:style w:type="paragraph" w:customStyle="1" w:styleId="HOMEBRBullet">
    <w:name w:val="HOME BR Bullet"/>
    <w:basedOn w:val="Normal"/>
    <w:next w:val="HOMEBRBodyText"/>
    <w:rsid w:val="0054102E"/>
    <w:pPr>
      <w:keepLines/>
      <w:numPr>
        <w:numId w:val="1"/>
      </w:numPr>
    </w:pPr>
  </w:style>
  <w:style w:type="paragraph" w:customStyle="1" w:styleId="HOMEBRBulletFolhaRosto">
    <w:name w:val="HOME BR Bullet Folha Rosto"/>
    <w:basedOn w:val="HOMEBRBullet"/>
    <w:rsid w:val="0054102E"/>
    <w:pPr>
      <w:numPr>
        <w:numId w:val="2"/>
      </w:numPr>
      <w:spacing w:after="100"/>
      <w:ind w:left="360"/>
    </w:pPr>
  </w:style>
  <w:style w:type="paragraph" w:customStyle="1" w:styleId="HOMEBRNOTOCH2">
    <w:name w:val="HOME BR NO TOC H2"/>
    <w:basedOn w:val="Normal"/>
    <w:rsid w:val="0054102E"/>
    <w:pPr>
      <w:keepNext/>
      <w:keepLines/>
    </w:pPr>
  </w:style>
  <w:style w:type="paragraph" w:customStyle="1" w:styleId="HOMEBRNOTOCH3">
    <w:name w:val="HOME BR NO TOC H3"/>
    <w:basedOn w:val="Normal"/>
    <w:rsid w:val="0054102E"/>
    <w:pPr>
      <w:keepNext/>
      <w:keepLines/>
    </w:pPr>
    <w:rPr>
      <w:b/>
    </w:rPr>
  </w:style>
  <w:style w:type="paragraph" w:customStyle="1" w:styleId="HOMEBRNOTOCH4">
    <w:name w:val="HOME BR NO TOC H4"/>
    <w:basedOn w:val="Normal"/>
    <w:rsid w:val="0054102E"/>
    <w:pPr>
      <w:keepNext/>
      <w:keepLines/>
    </w:pPr>
    <w:rPr>
      <w:b/>
      <w:i/>
    </w:rPr>
  </w:style>
  <w:style w:type="paragraph" w:customStyle="1" w:styleId="HOMEBRNOTOCH5">
    <w:name w:val="HOME BR NO TOC H5"/>
    <w:basedOn w:val="Normal"/>
    <w:rsid w:val="0054102E"/>
    <w:pPr>
      <w:keepNext/>
      <w:keepLines/>
    </w:pPr>
    <w:rPr>
      <w:i/>
    </w:rPr>
  </w:style>
  <w:style w:type="paragraph" w:customStyle="1" w:styleId="HOMEBRTitleFolhaRosto">
    <w:name w:val="HOME BR Title Folha Rosto"/>
    <w:basedOn w:val="Normal"/>
    <w:rsid w:val="0054102E"/>
    <w:pPr>
      <w:pBdr>
        <w:bottom w:val="single" w:sz="4" w:space="1" w:color="auto"/>
      </w:pBdr>
      <w:ind w:left="360" w:hanging="360"/>
    </w:pPr>
    <w:rPr>
      <w:b/>
      <w:caps/>
    </w:rPr>
  </w:style>
  <w:style w:type="character" w:styleId="Hyperlink">
    <w:name w:val="Hyperlink"/>
    <w:uiPriority w:val="99"/>
    <w:rsid w:val="0054102E"/>
    <w:rPr>
      <w:rFonts w:ascii="Tahoma" w:hAnsi="Tahoma"/>
      <w:b w:val="0"/>
      <w:i w:val="0"/>
      <w:color w:val="auto"/>
      <w:sz w:val="20"/>
      <w:u w:val="none"/>
    </w:rPr>
  </w:style>
  <w:style w:type="paragraph" w:styleId="Sumrio1">
    <w:name w:val="toc 1"/>
    <w:aliases w:val="N1 HOME BR"/>
    <w:basedOn w:val="Normal"/>
    <w:next w:val="Normal"/>
    <w:uiPriority w:val="39"/>
    <w:rsid w:val="00645BF4"/>
    <w:pPr>
      <w:tabs>
        <w:tab w:val="right" w:leader="dot" w:pos="8732"/>
      </w:tabs>
      <w:spacing w:before="140" w:after="60" w:line="290" w:lineRule="auto"/>
      <w:ind w:left="567" w:hanging="567"/>
    </w:pPr>
    <w:rPr>
      <w:rFonts w:eastAsia="Times New Roman"/>
      <w:b/>
      <w:bCs/>
      <w:noProof/>
      <w:kern w:val="20"/>
      <w:lang w:val="en-GB" w:eastAsia="en-GB"/>
    </w:rPr>
  </w:style>
  <w:style w:type="paragraph" w:styleId="Sumrio2">
    <w:name w:val="toc 2"/>
    <w:aliases w:val="N2 Home BR"/>
    <w:basedOn w:val="Normal"/>
    <w:next w:val="Normal"/>
    <w:uiPriority w:val="39"/>
    <w:unhideWhenUsed/>
    <w:rsid w:val="00224941"/>
    <w:pPr>
      <w:tabs>
        <w:tab w:val="right" w:leader="dot" w:pos="8732"/>
      </w:tabs>
      <w:spacing w:after="60" w:line="290" w:lineRule="auto"/>
      <w:ind w:left="1134" w:hanging="567"/>
    </w:pPr>
    <w:rPr>
      <w:rFonts w:eastAsia="Times New Roman"/>
      <w:noProof/>
      <w:lang w:val="en-GB" w:eastAsia="en-GB"/>
    </w:rPr>
  </w:style>
  <w:style w:type="paragraph" w:styleId="Sumrio3">
    <w:name w:val="toc 3"/>
    <w:aliases w:val="N3 HOME BR"/>
    <w:basedOn w:val="Normal"/>
    <w:next w:val="Normal"/>
    <w:autoRedefine/>
    <w:uiPriority w:val="39"/>
    <w:rsid w:val="00A13516"/>
    <w:pPr>
      <w:tabs>
        <w:tab w:val="right" w:leader="dot" w:pos="8732"/>
      </w:tabs>
      <w:spacing w:after="120" w:line="290" w:lineRule="auto"/>
    </w:pPr>
    <w:rPr>
      <w:rFonts w:cs="Calibri"/>
      <w:noProof/>
      <w:lang w:eastAsia="en-GB"/>
    </w:rPr>
  </w:style>
  <w:style w:type="paragraph" w:styleId="Sumrio4">
    <w:name w:val="toc 4"/>
    <w:aliases w:val="Folha Rosto HOME BR"/>
    <w:basedOn w:val="Normal"/>
    <w:next w:val="Normal"/>
    <w:autoRedefine/>
    <w:uiPriority w:val="39"/>
    <w:unhideWhenUsed/>
    <w:rsid w:val="00224941"/>
    <w:pPr>
      <w:tabs>
        <w:tab w:val="right" w:leader="dot" w:pos="8732"/>
      </w:tabs>
      <w:spacing w:after="120" w:line="290" w:lineRule="auto"/>
      <w:ind w:left="1134" w:hanging="1134"/>
    </w:pPr>
    <w:rPr>
      <w:szCs w:val="20"/>
      <w:lang w:val="en-GB" w:eastAsia="en-GB"/>
    </w:rPr>
  </w:style>
  <w:style w:type="paragraph" w:customStyle="1" w:styleId="HOMEBRIdentBullet">
    <w:name w:val="HOME BR Ident Bullet"/>
    <w:basedOn w:val="Normal"/>
    <w:next w:val="HOMEBRBodyText"/>
    <w:qFormat/>
    <w:rsid w:val="0054102E"/>
    <w:pPr>
      <w:keepLines/>
      <w:ind w:left="360" w:hanging="360"/>
    </w:pPr>
  </w:style>
  <w:style w:type="paragraph" w:customStyle="1" w:styleId="EstiloHOMEBRBulletNegrito">
    <w:name w:val="Estilo HOME BR Bullet + Negrito"/>
    <w:basedOn w:val="HOMEBRBullet"/>
    <w:rsid w:val="0054102E"/>
    <w:rPr>
      <w:b/>
      <w:bCs/>
    </w:rPr>
  </w:style>
  <w:style w:type="paragraph" w:styleId="Cabealho">
    <w:name w:val="header"/>
    <w:aliases w:val="Guideline,encabezado,Heade,hd,Header@,Project Name,Heading 1a,Appendix"/>
    <w:basedOn w:val="Normal"/>
    <w:link w:val="CabealhoChar"/>
    <w:uiPriority w:val="99"/>
    <w:unhideWhenUsed/>
    <w:rsid w:val="00224941"/>
    <w:pPr>
      <w:tabs>
        <w:tab w:val="center" w:pos="4252"/>
        <w:tab w:val="right" w:pos="8504"/>
      </w:tabs>
    </w:pPr>
  </w:style>
  <w:style w:type="character" w:customStyle="1" w:styleId="CabealhoChar">
    <w:name w:val="Cabeçalho Char"/>
    <w:aliases w:val="Guideline Char,encabezado Char,Heade Char,hd Char,Header@ Char,Project Name Char,Heading 1a Char,Appendix Char"/>
    <w:link w:val="Cabealho"/>
    <w:uiPriority w:val="99"/>
    <w:rsid w:val="00224941"/>
    <w:rPr>
      <w:rFonts w:ascii="Arial" w:eastAsia="Calibri" w:hAnsi="Arial" w:cs="Times New Roman"/>
      <w:szCs w:val="22"/>
      <w:lang w:eastAsia="en-US"/>
    </w:rPr>
  </w:style>
  <w:style w:type="paragraph" w:styleId="Rodap">
    <w:name w:val="footer"/>
    <w:basedOn w:val="Normal"/>
    <w:link w:val="RodapChar"/>
    <w:uiPriority w:val="99"/>
    <w:unhideWhenUsed/>
    <w:rsid w:val="00224941"/>
    <w:pPr>
      <w:tabs>
        <w:tab w:val="center" w:pos="4252"/>
        <w:tab w:val="right" w:pos="8504"/>
      </w:tabs>
    </w:pPr>
  </w:style>
  <w:style w:type="character" w:customStyle="1" w:styleId="RodapChar">
    <w:name w:val="Rodapé Char"/>
    <w:link w:val="Rodap"/>
    <w:uiPriority w:val="99"/>
    <w:rsid w:val="00224941"/>
    <w:rPr>
      <w:rFonts w:ascii="Arial" w:eastAsia="Calibri" w:hAnsi="Arial" w:cs="Times New Roman"/>
      <w:szCs w:val="22"/>
      <w:lang w:eastAsia="en-US"/>
    </w:rPr>
  </w:style>
  <w:style w:type="paragraph" w:customStyle="1" w:styleId="z-TopofForm1">
    <w:name w:val="z-Top of Form1"/>
    <w:next w:val="Normal"/>
    <w:hidden/>
    <w:rsid w:val="0003180B"/>
    <w:pPr>
      <w:pBdr>
        <w:bottom w:val="double" w:sz="2" w:space="0" w:color="000000"/>
      </w:pBdr>
      <w:jc w:val="center"/>
    </w:pPr>
    <w:rPr>
      <w:rFonts w:ascii="Arial" w:eastAsia="Calibri" w:hAnsi="Arial"/>
      <w:vanish/>
      <w:sz w:val="16"/>
      <w:lang w:val="pt-BR"/>
    </w:rPr>
  </w:style>
  <w:style w:type="paragraph" w:customStyle="1" w:styleId="ColorfulShading-Accent11">
    <w:name w:val="Colorful Shading - Accent 11"/>
    <w:hidden/>
    <w:uiPriority w:val="99"/>
    <w:rsid w:val="0003180B"/>
    <w:rPr>
      <w:rFonts w:ascii="Calibri" w:hAnsi="Calibri"/>
      <w:sz w:val="22"/>
      <w:szCs w:val="22"/>
    </w:rPr>
  </w:style>
  <w:style w:type="paragraph" w:customStyle="1" w:styleId="Reviso1">
    <w:name w:val="Revisão1"/>
    <w:hidden/>
    <w:semiHidden/>
    <w:rsid w:val="0003180B"/>
    <w:rPr>
      <w:sz w:val="24"/>
      <w:szCs w:val="24"/>
    </w:rPr>
  </w:style>
  <w:style w:type="paragraph" w:styleId="Textodebalo">
    <w:name w:val="Balloon Text"/>
    <w:basedOn w:val="Normal"/>
    <w:link w:val="TextodebaloChar"/>
    <w:uiPriority w:val="99"/>
    <w:unhideWhenUsed/>
    <w:rsid w:val="0091425C"/>
    <w:rPr>
      <w:rFonts w:ascii="Tahoma" w:eastAsia="MS Mincho" w:hAnsi="Tahoma"/>
      <w:sz w:val="16"/>
      <w:szCs w:val="16"/>
    </w:rPr>
  </w:style>
  <w:style w:type="character" w:customStyle="1" w:styleId="TextodebaloChar">
    <w:name w:val="Texto de balão Char"/>
    <w:link w:val="Textodebalo"/>
    <w:uiPriority w:val="99"/>
    <w:rsid w:val="0091425C"/>
    <w:rPr>
      <w:rFonts w:ascii="Tahoma" w:hAnsi="Tahoma" w:cs="Tahoma"/>
      <w:sz w:val="16"/>
      <w:szCs w:val="16"/>
      <w:lang w:val="en-US" w:eastAsia="en-US"/>
    </w:rPr>
  </w:style>
  <w:style w:type="table" w:styleId="Tabelacomgrade">
    <w:name w:val="Table Grid"/>
    <w:basedOn w:val="Tabelanormal"/>
    <w:uiPriority w:val="59"/>
    <w:rsid w:val="009142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rsid w:val="00B72E18"/>
    <w:pPr>
      <w:spacing w:after="100"/>
      <w:ind w:left="880"/>
    </w:pPr>
    <w:rPr>
      <w:lang w:eastAsia="pt-BR"/>
    </w:rPr>
  </w:style>
  <w:style w:type="paragraph" w:styleId="Sumrio6">
    <w:name w:val="toc 6"/>
    <w:basedOn w:val="Normal"/>
    <w:next w:val="Normal"/>
    <w:autoRedefine/>
    <w:uiPriority w:val="39"/>
    <w:unhideWhenUsed/>
    <w:rsid w:val="00224941"/>
    <w:pPr>
      <w:keepLines/>
      <w:spacing w:after="60" w:line="290" w:lineRule="auto"/>
      <w:ind w:left="2041" w:hanging="2041"/>
      <w:outlineLvl w:val="5"/>
    </w:pPr>
    <w:rPr>
      <w:rFonts w:eastAsia="Times New Roman"/>
      <w:lang w:val="en-GB" w:eastAsia="en-GB"/>
    </w:rPr>
  </w:style>
  <w:style w:type="paragraph" w:styleId="Sumrio7">
    <w:name w:val="toc 7"/>
    <w:basedOn w:val="Normal"/>
    <w:next w:val="Normal"/>
    <w:autoRedefine/>
    <w:uiPriority w:val="39"/>
    <w:unhideWhenUsed/>
    <w:rsid w:val="00B72E18"/>
    <w:pPr>
      <w:spacing w:after="100"/>
      <w:ind w:left="1320"/>
    </w:pPr>
    <w:rPr>
      <w:lang w:eastAsia="pt-BR"/>
    </w:rPr>
  </w:style>
  <w:style w:type="paragraph" w:styleId="Sumrio8">
    <w:name w:val="toc 8"/>
    <w:basedOn w:val="Normal"/>
    <w:next w:val="Normal"/>
    <w:autoRedefine/>
    <w:uiPriority w:val="39"/>
    <w:unhideWhenUsed/>
    <w:rsid w:val="00B72E18"/>
    <w:pPr>
      <w:spacing w:after="100"/>
      <w:ind w:left="1540"/>
    </w:pPr>
    <w:rPr>
      <w:lang w:eastAsia="pt-BR"/>
    </w:rPr>
  </w:style>
  <w:style w:type="paragraph" w:styleId="Sumrio9">
    <w:name w:val="toc 9"/>
    <w:basedOn w:val="Normal"/>
    <w:next w:val="Normal"/>
    <w:autoRedefine/>
    <w:uiPriority w:val="39"/>
    <w:unhideWhenUsed/>
    <w:rsid w:val="00B72E18"/>
    <w:pPr>
      <w:spacing w:after="100"/>
      <w:ind w:left="1760"/>
    </w:pPr>
    <w:rPr>
      <w:lang w:eastAsia="pt-BR"/>
    </w:rPr>
  </w:style>
  <w:style w:type="character" w:customStyle="1" w:styleId="HOMEBRBodyTextChar">
    <w:name w:val="HOME BR Body Text Char"/>
    <w:link w:val="HOMEBRBodyText"/>
    <w:locked/>
    <w:rsid w:val="0051016C"/>
    <w:rPr>
      <w:rFonts w:ascii="Arial" w:hAnsi="Arial"/>
      <w:lang w:eastAsia="en-US"/>
    </w:rPr>
  </w:style>
  <w:style w:type="character" w:customStyle="1" w:styleId="DeltaViewInsertion">
    <w:name w:val="DeltaView Insertion"/>
    <w:rsid w:val="00EE4678"/>
    <w:rPr>
      <w:color w:val="0000FF"/>
      <w:u w:val="double"/>
    </w:rPr>
  </w:style>
  <w:style w:type="paragraph" w:customStyle="1" w:styleId="Body">
    <w:name w:val="Body"/>
    <w:basedOn w:val="Normal"/>
    <w:link w:val="BodyChar"/>
    <w:qFormat/>
    <w:rsid w:val="0086796F"/>
    <w:pPr>
      <w:spacing w:after="140" w:line="290" w:lineRule="auto"/>
    </w:pPr>
    <w:rPr>
      <w:rFonts w:cs="Arial"/>
    </w:rPr>
  </w:style>
  <w:style w:type="paragraph" w:customStyle="1" w:styleId="CellBody">
    <w:name w:val="CellBody"/>
    <w:basedOn w:val="Normal"/>
    <w:rsid w:val="00C3310A"/>
    <w:pPr>
      <w:spacing w:before="60" w:after="60"/>
    </w:pPr>
    <w:rPr>
      <w:kern w:val="20"/>
    </w:rPr>
  </w:style>
  <w:style w:type="character" w:customStyle="1" w:styleId="BodyChar">
    <w:name w:val="Body Char"/>
    <w:link w:val="Body"/>
    <w:rsid w:val="00C3310A"/>
    <w:rPr>
      <w:rFonts w:ascii="Arial" w:eastAsia="Calibri" w:hAnsi="Arial" w:cs="Arial"/>
      <w:szCs w:val="22"/>
      <w:lang w:eastAsia="en-US"/>
    </w:rPr>
  </w:style>
  <w:style w:type="paragraph" w:customStyle="1" w:styleId="Header2">
    <w:name w:val="Header2"/>
    <w:basedOn w:val="Normal"/>
    <w:next w:val="Normal"/>
    <w:rsid w:val="00C3310A"/>
    <w:pPr>
      <w:widowControl w:val="0"/>
      <w:tabs>
        <w:tab w:val="center" w:pos="4419"/>
        <w:tab w:val="right" w:pos="8838"/>
      </w:tabs>
      <w:autoSpaceDE w:val="0"/>
      <w:autoSpaceDN w:val="0"/>
      <w:adjustRightInd w:val="0"/>
    </w:pPr>
    <w:rPr>
      <w:rFonts w:ascii="Times New Roman" w:hAnsi="Times New Roman"/>
      <w:lang w:eastAsia="pt-BR"/>
    </w:rPr>
  </w:style>
  <w:style w:type="paragraph" w:customStyle="1" w:styleId="Level1">
    <w:name w:val="Level 1"/>
    <w:basedOn w:val="Normal"/>
    <w:next w:val="Normal"/>
    <w:uiPriority w:val="99"/>
    <w:qFormat/>
    <w:rsid w:val="000409FA"/>
    <w:pPr>
      <w:keepNext/>
      <w:tabs>
        <w:tab w:val="num" w:pos="680"/>
      </w:tabs>
      <w:spacing w:before="280"/>
      <w:ind w:left="680" w:hanging="680"/>
      <w:outlineLvl w:val="0"/>
    </w:pPr>
    <w:rPr>
      <w:b/>
      <w:bCs/>
      <w:kern w:val="20"/>
      <w:szCs w:val="32"/>
    </w:rPr>
  </w:style>
  <w:style w:type="paragraph" w:customStyle="1" w:styleId="Level2">
    <w:name w:val="Level 2"/>
    <w:basedOn w:val="Normal"/>
    <w:link w:val="Level2Char"/>
    <w:uiPriority w:val="99"/>
    <w:qFormat/>
    <w:rsid w:val="000409FA"/>
    <w:pPr>
      <w:tabs>
        <w:tab w:val="num" w:pos="680"/>
      </w:tabs>
      <w:ind w:left="680" w:hanging="680"/>
    </w:pPr>
    <w:rPr>
      <w:kern w:val="20"/>
      <w:szCs w:val="28"/>
    </w:rPr>
  </w:style>
  <w:style w:type="paragraph" w:customStyle="1" w:styleId="Level3">
    <w:name w:val="Level 3"/>
    <w:basedOn w:val="Normal"/>
    <w:link w:val="Level3Char"/>
    <w:qFormat/>
    <w:rsid w:val="000409FA"/>
    <w:pPr>
      <w:tabs>
        <w:tab w:val="num" w:pos="1361"/>
      </w:tabs>
      <w:ind w:left="1361" w:hanging="681"/>
    </w:pPr>
    <w:rPr>
      <w:kern w:val="20"/>
      <w:szCs w:val="28"/>
    </w:rPr>
  </w:style>
  <w:style w:type="paragraph" w:customStyle="1" w:styleId="Level4">
    <w:name w:val="Level 4"/>
    <w:basedOn w:val="Normal"/>
    <w:uiPriority w:val="99"/>
    <w:qFormat/>
    <w:rsid w:val="000409FA"/>
    <w:pPr>
      <w:numPr>
        <w:ilvl w:val="3"/>
        <w:numId w:val="3"/>
      </w:numPr>
    </w:pPr>
    <w:rPr>
      <w:kern w:val="20"/>
    </w:rPr>
  </w:style>
  <w:style w:type="paragraph" w:customStyle="1" w:styleId="Level5">
    <w:name w:val="Level 5"/>
    <w:basedOn w:val="Normal"/>
    <w:uiPriority w:val="99"/>
    <w:qFormat/>
    <w:rsid w:val="000409FA"/>
    <w:pPr>
      <w:numPr>
        <w:ilvl w:val="4"/>
        <w:numId w:val="3"/>
      </w:numPr>
    </w:pPr>
    <w:rPr>
      <w:kern w:val="20"/>
    </w:rPr>
  </w:style>
  <w:style w:type="paragraph" w:customStyle="1" w:styleId="Level6">
    <w:name w:val="Level 6"/>
    <w:basedOn w:val="Normal"/>
    <w:uiPriority w:val="99"/>
    <w:qFormat/>
    <w:rsid w:val="000409FA"/>
    <w:pPr>
      <w:numPr>
        <w:ilvl w:val="5"/>
        <w:numId w:val="3"/>
      </w:numPr>
    </w:pPr>
    <w:rPr>
      <w:kern w:val="20"/>
    </w:rPr>
  </w:style>
  <w:style w:type="paragraph" w:customStyle="1" w:styleId="Level7">
    <w:name w:val="Level 7"/>
    <w:basedOn w:val="Normal"/>
    <w:rsid w:val="00C52073"/>
    <w:pPr>
      <w:outlineLvl w:val="6"/>
    </w:pPr>
    <w:rPr>
      <w:kern w:val="20"/>
    </w:rPr>
  </w:style>
  <w:style w:type="paragraph" w:customStyle="1" w:styleId="Level8">
    <w:name w:val="Level 8"/>
    <w:basedOn w:val="Normal"/>
    <w:rsid w:val="00C52073"/>
    <w:pPr>
      <w:outlineLvl w:val="7"/>
    </w:pPr>
    <w:rPr>
      <w:kern w:val="20"/>
    </w:rPr>
  </w:style>
  <w:style w:type="paragraph" w:customStyle="1" w:styleId="Level9">
    <w:name w:val="Level 9"/>
    <w:basedOn w:val="Normal"/>
    <w:rsid w:val="00C52073"/>
    <w:pPr>
      <w:outlineLvl w:val="8"/>
    </w:pPr>
    <w:rPr>
      <w:kern w:val="20"/>
    </w:rPr>
  </w:style>
  <w:style w:type="character" w:styleId="HiperlinkVisitado">
    <w:name w:val="FollowedHyperlink"/>
    <w:uiPriority w:val="99"/>
    <w:rsid w:val="009B2CEF"/>
    <w:rPr>
      <w:color w:val="800080"/>
      <w:u w:val="single"/>
    </w:rPr>
  </w:style>
  <w:style w:type="paragraph" w:customStyle="1" w:styleId="ColorfulList-Accent11">
    <w:name w:val="Colorful List - Accent 11"/>
    <w:basedOn w:val="Normal"/>
    <w:link w:val="ColorfulList-Accent1Char"/>
    <w:qFormat/>
    <w:rsid w:val="009F703E"/>
    <w:pPr>
      <w:ind w:left="720"/>
      <w:contextualSpacing/>
    </w:pPr>
    <w:rPr>
      <w:lang w:val="x-none"/>
    </w:rPr>
  </w:style>
  <w:style w:type="paragraph" w:customStyle="1" w:styleId="Default">
    <w:name w:val="Default"/>
    <w:rsid w:val="00C57134"/>
    <w:pPr>
      <w:autoSpaceDE w:val="0"/>
      <w:autoSpaceDN w:val="0"/>
      <w:adjustRightInd w:val="0"/>
    </w:pPr>
    <w:rPr>
      <w:rFonts w:ascii="Arial" w:hAnsi="Arial" w:cs="Arial"/>
      <w:color w:val="000000"/>
      <w:sz w:val="24"/>
      <w:szCs w:val="24"/>
      <w:lang w:val="pt-BR" w:eastAsia="pt-BR"/>
    </w:rPr>
  </w:style>
  <w:style w:type="character" w:customStyle="1" w:styleId="DeltaViewDeletion">
    <w:name w:val="DeltaView Deletion"/>
    <w:uiPriority w:val="99"/>
    <w:rsid w:val="0021516F"/>
    <w:rPr>
      <w:strike/>
      <w:color w:val="FF0000"/>
    </w:rPr>
  </w:style>
  <w:style w:type="paragraph" w:styleId="Textodenotaderodap">
    <w:name w:val="footnote text"/>
    <w:aliases w:val="Nota de rodapé"/>
    <w:basedOn w:val="Normal"/>
    <w:next w:val="FootnoteTextcont"/>
    <w:link w:val="TextodenotaderodapChar"/>
    <w:unhideWhenUsed/>
    <w:rsid w:val="00224941"/>
    <w:pPr>
      <w:tabs>
        <w:tab w:val="left" w:pos="227"/>
      </w:tabs>
      <w:ind w:left="227" w:hanging="227"/>
    </w:pPr>
    <w:rPr>
      <w:sz w:val="16"/>
      <w:szCs w:val="20"/>
      <w:lang w:val="en-GB" w:eastAsia="en-GB"/>
    </w:rPr>
  </w:style>
  <w:style w:type="character" w:customStyle="1" w:styleId="TextodenotaderodapChar">
    <w:name w:val="Texto de nota de rodapé Char"/>
    <w:aliases w:val="Nota de rodapé Char"/>
    <w:link w:val="Textodenotaderodap"/>
    <w:rsid w:val="00224941"/>
    <w:rPr>
      <w:rFonts w:ascii="Arial" w:eastAsia="Calibri" w:hAnsi="Arial"/>
      <w:sz w:val="16"/>
      <w:lang w:val="en-GB" w:eastAsia="en-GB"/>
    </w:rPr>
  </w:style>
  <w:style w:type="character" w:styleId="Refdenotaderodap">
    <w:name w:val="footnote reference"/>
    <w:rsid w:val="000409FA"/>
    <w:rPr>
      <w:u w:val="none"/>
      <w:vertAlign w:val="superscript"/>
    </w:rPr>
  </w:style>
  <w:style w:type="paragraph" w:customStyle="1" w:styleId="Raia-CorpodeTexto">
    <w:name w:val="(Raia - Corpo de Texto)"/>
    <w:basedOn w:val="Normal"/>
    <w:uiPriority w:val="99"/>
    <w:qFormat/>
    <w:rsid w:val="00673E52"/>
    <w:pPr>
      <w:spacing w:before="100" w:beforeAutospacing="1" w:afterAutospacing="1" w:line="300" w:lineRule="exact"/>
      <w:jc w:val="center"/>
    </w:pPr>
    <w:rPr>
      <w:rFonts w:ascii="Tahoma" w:eastAsia="MS Mincho" w:hAnsi="Tahoma" w:cs="Tahoma"/>
      <w:b/>
      <w:color w:val="000000"/>
      <w:spacing w:val="2"/>
      <w:lang w:eastAsia="pt-BR"/>
    </w:rPr>
  </w:style>
  <w:style w:type="paragraph" w:customStyle="1" w:styleId="INBRANDS-2">
    <w:name w:val="(INBRANDS - 2)"/>
    <w:basedOn w:val="Ttulo2"/>
    <w:qFormat/>
    <w:rsid w:val="00673E52"/>
    <w:pPr>
      <w:keepLines w:val="0"/>
      <w:spacing w:before="400" w:line="300" w:lineRule="exact"/>
    </w:pPr>
    <w:rPr>
      <w:b/>
      <w:bCs w:val="0"/>
      <w:smallCaps/>
      <w:szCs w:val="20"/>
      <w:lang w:val="pt-BR" w:eastAsia="pt-BR"/>
    </w:rPr>
  </w:style>
  <w:style w:type="paragraph" w:customStyle="1" w:styleId="TextocomMarcador">
    <w:name w:val="Texto com Marcador"/>
    <w:basedOn w:val="Normal"/>
    <w:rsid w:val="00673E52"/>
    <w:pPr>
      <w:tabs>
        <w:tab w:val="num" w:pos="720"/>
      </w:tabs>
      <w:spacing w:before="200"/>
      <w:ind w:left="720" w:hanging="360"/>
    </w:pPr>
    <w:rPr>
      <w:rFonts w:ascii="Times New Roman" w:eastAsia="MS Mincho" w:hAnsi="Times New Roman"/>
      <w:color w:val="000000"/>
      <w:lang w:eastAsia="pt-BR"/>
    </w:rPr>
  </w:style>
  <w:style w:type="paragraph" w:customStyle="1" w:styleId="Raia-ESTILO2">
    <w:name w:val="(Raia - ESTILO 2)"/>
    <w:basedOn w:val="Normal"/>
    <w:qFormat/>
    <w:rsid w:val="00673E52"/>
    <w:pPr>
      <w:numPr>
        <w:numId w:val="4"/>
      </w:numPr>
      <w:tabs>
        <w:tab w:val="clear" w:pos="360"/>
      </w:tabs>
      <w:spacing w:before="300"/>
      <w:ind w:left="0" w:firstLine="0"/>
    </w:pPr>
    <w:rPr>
      <w:rFonts w:ascii="Tahoma" w:hAnsi="Tahoma" w:cs="Tahoma"/>
      <w:b/>
      <w:bCs/>
      <w:smallCaps/>
      <w:lang w:eastAsia="pt-BR"/>
    </w:rPr>
  </w:style>
  <w:style w:type="character" w:customStyle="1" w:styleId="ColorfulList-Accent1Char">
    <w:name w:val="Colorful List - Accent 1 Char"/>
    <w:link w:val="ColorfulList-Accent11"/>
    <w:uiPriority w:val="34"/>
    <w:rsid w:val="0046629F"/>
    <w:rPr>
      <w:rFonts w:ascii="Calibri" w:eastAsia="Calibri" w:hAnsi="Calibri"/>
      <w:sz w:val="22"/>
      <w:szCs w:val="22"/>
      <w:lang w:eastAsia="en-US"/>
    </w:rPr>
  </w:style>
  <w:style w:type="paragraph" w:customStyle="1" w:styleId="DeltaViewTableBody">
    <w:name w:val="DeltaView Table Body"/>
    <w:basedOn w:val="Normal"/>
    <w:uiPriority w:val="99"/>
    <w:rsid w:val="002C5CE6"/>
    <w:pPr>
      <w:autoSpaceDE w:val="0"/>
      <w:autoSpaceDN w:val="0"/>
      <w:adjustRightInd w:val="0"/>
    </w:pPr>
    <w:rPr>
      <w:rFonts w:eastAsia="Times New Roman"/>
      <w:lang w:eastAsia="pt-BR"/>
    </w:rPr>
  </w:style>
  <w:style w:type="paragraph" w:customStyle="1" w:styleId="BodyBlock">
    <w:name w:val="BodyBlock"/>
    <w:basedOn w:val="Normal"/>
    <w:link w:val="BodyBlockChar"/>
    <w:rsid w:val="001877E9"/>
    <w:pPr>
      <w:tabs>
        <w:tab w:val="left" w:pos="432"/>
      </w:tabs>
      <w:autoSpaceDE w:val="0"/>
      <w:autoSpaceDN w:val="0"/>
      <w:adjustRightInd w:val="0"/>
      <w:spacing w:after="120" w:line="240" w:lineRule="exact"/>
    </w:pPr>
    <w:rPr>
      <w:rFonts w:ascii="Times New Roman" w:eastAsia="Times New Roman" w:hAnsi="Times New Roman"/>
      <w:sz w:val="21"/>
      <w:lang w:eastAsia="pt-BR"/>
    </w:rPr>
  </w:style>
  <w:style w:type="paragraph" w:styleId="Recuodecorpodetexto">
    <w:name w:val="Body Text Indent"/>
    <w:basedOn w:val="Normal"/>
    <w:link w:val="RecuodecorpodetextoChar"/>
    <w:uiPriority w:val="99"/>
    <w:rsid w:val="00BB7CF7"/>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120" w:line="360" w:lineRule="auto"/>
      <w:ind w:left="900" w:hanging="900"/>
    </w:pPr>
    <w:rPr>
      <w:rFonts w:ascii="Arial Narrow" w:eastAsia="Arial Unicode MS" w:hAnsi="Arial Narrow"/>
      <w:color w:val="000000"/>
      <w:lang w:val="x-none" w:eastAsia="x-none"/>
    </w:rPr>
  </w:style>
  <w:style w:type="character" w:customStyle="1" w:styleId="RecuodecorpodetextoChar">
    <w:name w:val="Recuo de corpo de texto Char"/>
    <w:link w:val="Recuodecorpodetexto"/>
    <w:uiPriority w:val="99"/>
    <w:rsid w:val="00BB7CF7"/>
    <w:rPr>
      <w:rFonts w:ascii="Arial Narrow" w:eastAsia="Arial Unicode MS" w:hAnsi="Arial Narrow"/>
      <w:color w:val="000000"/>
      <w:sz w:val="22"/>
      <w:szCs w:val="24"/>
      <w:shd w:val="clear" w:color="auto" w:fill="FFFFFF"/>
    </w:rPr>
  </w:style>
  <w:style w:type="paragraph" w:customStyle="1" w:styleId="Body2">
    <w:name w:val="Body 2"/>
    <w:basedOn w:val="Normal"/>
    <w:next w:val="Body"/>
    <w:rsid w:val="0086796F"/>
    <w:rPr>
      <w:rFonts w:cs="Arial"/>
    </w:rPr>
  </w:style>
  <w:style w:type="paragraph" w:customStyle="1" w:styleId="citcar">
    <w:name w:val="citcar"/>
    <w:basedOn w:val="Normal"/>
    <w:next w:val="Normal"/>
    <w:uiPriority w:val="99"/>
    <w:rsid w:val="0098523B"/>
    <w:pPr>
      <w:widowControl w:val="0"/>
      <w:numPr>
        <w:ilvl w:val="5"/>
        <w:numId w:val="7"/>
      </w:numPr>
      <w:autoSpaceDE w:val="0"/>
      <w:autoSpaceDN w:val="0"/>
      <w:adjustRightInd w:val="0"/>
      <w:spacing w:line="240" w:lineRule="exact"/>
      <w:ind w:right="1134"/>
    </w:pPr>
    <w:rPr>
      <w:rFonts w:ascii="Times New Roman" w:eastAsia="Times New Roman" w:hAnsi="Times New Roman"/>
      <w:sz w:val="26"/>
      <w:szCs w:val="26"/>
    </w:rPr>
  </w:style>
  <w:style w:type="character" w:customStyle="1" w:styleId="Level3Char">
    <w:name w:val="Level 3 Char"/>
    <w:link w:val="Level3"/>
    <w:rsid w:val="0098523B"/>
    <w:rPr>
      <w:rFonts w:asciiTheme="minorHAnsi" w:eastAsiaTheme="minorHAnsi" w:hAnsiTheme="minorHAnsi" w:cstheme="minorBidi"/>
      <w:kern w:val="20"/>
      <w:sz w:val="22"/>
      <w:szCs w:val="28"/>
      <w:lang w:val="pt-BR"/>
    </w:rPr>
  </w:style>
  <w:style w:type="paragraph" w:customStyle="1" w:styleId="Nivel1">
    <w:name w:val="Nivel 1"/>
    <w:basedOn w:val="Normal"/>
    <w:qFormat/>
    <w:rsid w:val="002C2046"/>
    <w:pPr>
      <w:widowControl w:val="0"/>
      <w:tabs>
        <w:tab w:val="num" w:pos="851"/>
      </w:tabs>
      <w:autoSpaceDE w:val="0"/>
      <w:autoSpaceDN w:val="0"/>
      <w:adjustRightInd w:val="0"/>
      <w:spacing w:line="300" w:lineRule="atLeast"/>
      <w:ind w:left="851" w:hanging="851"/>
    </w:pPr>
    <w:rPr>
      <w:rFonts w:ascii="Times New Roman" w:eastAsia="Times New Roman" w:hAnsi="Times New Roman"/>
      <w:b/>
      <w:bCs/>
      <w:color w:val="000000"/>
      <w:lang w:eastAsia="pt-BR"/>
    </w:rPr>
  </w:style>
  <w:style w:type="paragraph" w:customStyle="1" w:styleId="Nivel2">
    <w:name w:val="Nivel 2"/>
    <w:basedOn w:val="Normal"/>
    <w:qFormat/>
    <w:rsid w:val="002C2046"/>
    <w:pPr>
      <w:widowControl w:val="0"/>
      <w:tabs>
        <w:tab w:val="num" w:pos="851"/>
      </w:tabs>
      <w:autoSpaceDE w:val="0"/>
      <w:autoSpaceDN w:val="0"/>
      <w:adjustRightInd w:val="0"/>
      <w:spacing w:line="300" w:lineRule="atLeast"/>
    </w:pPr>
    <w:rPr>
      <w:rFonts w:ascii="Times New Roman" w:eastAsia="Times New Roman" w:hAnsi="Times New Roman"/>
      <w:bCs/>
      <w:color w:val="000000"/>
      <w:lang w:eastAsia="pt-BR"/>
    </w:rPr>
  </w:style>
  <w:style w:type="paragraph" w:customStyle="1" w:styleId="Nivel3">
    <w:name w:val="Nivel 3"/>
    <w:basedOn w:val="Corpodetexto"/>
    <w:qFormat/>
    <w:rsid w:val="002C2046"/>
    <w:pPr>
      <w:numPr>
        <w:ilvl w:val="2"/>
        <w:numId w:val="8"/>
      </w:numPr>
      <w:tabs>
        <w:tab w:val="clear" w:pos="851"/>
      </w:tabs>
      <w:spacing w:after="0" w:line="320" w:lineRule="exact"/>
      <w:ind w:left="2160" w:hanging="360"/>
    </w:pPr>
    <w:rPr>
      <w:rFonts w:ascii="Times New Roman" w:eastAsia="MS Mincho" w:hAnsi="Times New Roman"/>
      <w:color w:val="000000"/>
      <w:lang w:eastAsia="pt-BR"/>
    </w:rPr>
  </w:style>
  <w:style w:type="paragraph" w:customStyle="1" w:styleId="Nivel4">
    <w:name w:val="Nivel 4"/>
    <w:basedOn w:val="Default"/>
    <w:qFormat/>
    <w:rsid w:val="002C2046"/>
    <w:pPr>
      <w:widowControl w:val="0"/>
      <w:numPr>
        <w:ilvl w:val="3"/>
        <w:numId w:val="8"/>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2C2046"/>
    <w:pPr>
      <w:widowControl w:val="0"/>
      <w:numPr>
        <w:ilvl w:val="4"/>
        <w:numId w:val="8"/>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2C2046"/>
    <w:pPr>
      <w:widowControl w:val="0"/>
      <w:numPr>
        <w:ilvl w:val="5"/>
        <w:numId w:val="8"/>
      </w:numPr>
      <w:autoSpaceDE w:val="0"/>
      <w:autoSpaceDN w:val="0"/>
      <w:adjustRightInd w:val="0"/>
      <w:spacing w:line="300" w:lineRule="atLeast"/>
    </w:pPr>
    <w:rPr>
      <w:rFonts w:ascii="Times New Roman" w:eastAsia="TT108t00" w:hAnsi="Times New Roman"/>
      <w:lang w:eastAsia="pt-BR"/>
    </w:rPr>
  </w:style>
  <w:style w:type="paragraph" w:styleId="Corpodetexto">
    <w:name w:val="Body Text"/>
    <w:basedOn w:val="Normal"/>
    <w:link w:val="CorpodetextoChar"/>
    <w:rsid w:val="002C2046"/>
    <w:pPr>
      <w:spacing w:after="120"/>
    </w:pPr>
  </w:style>
  <w:style w:type="character" w:customStyle="1" w:styleId="CorpodetextoChar">
    <w:name w:val="Corpo de texto Char"/>
    <w:link w:val="Corpodetexto"/>
    <w:rsid w:val="002C2046"/>
    <w:rPr>
      <w:rFonts w:ascii="Calibri" w:eastAsia="Calibri" w:hAnsi="Calibri"/>
      <w:sz w:val="22"/>
      <w:szCs w:val="22"/>
      <w:lang w:eastAsia="en-US"/>
    </w:rPr>
  </w:style>
  <w:style w:type="paragraph" w:customStyle="1" w:styleId="EDP-corpodetexto">
    <w:name w:val="(EDP - corpo de texto)"/>
    <w:qFormat/>
    <w:rsid w:val="00B56BF4"/>
    <w:pPr>
      <w:spacing w:after="200" w:line="300" w:lineRule="exact"/>
      <w:jc w:val="both"/>
    </w:pPr>
    <w:rPr>
      <w:rFonts w:ascii="Calibri" w:eastAsia="Times New Roman" w:hAnsi="Calibri"/>
      <w:lang w:val="pt-BR"/>
    </w:rPr>
  </w:style>
  <w:style w:type="paragraph" w:customStyle="1" w:styleId="CellHead">
    <w:name w:val="CellHead"/>
    <w:basedOn w:val="Normal"/>
    <w:rsid w:val="00A86074"/>
    <w:pPr>
      <w:keepNext/>
      <w:spacing w:before="60" w:after="60"/>
    </w:pPr>
    <w:rPr>
      <w:rFonts w:eastAsia="Times New Roman"/>
      <w:b/>
      <w:kern w:val="20"/>
    </w:rPr>
  </w:style>
  <w:style w:type="paragraph" w:customStyle="1" w:styleId="Table1">
    <w:name w:val="Table 1"/>
    <w:basedOn w:val="Normal"/>
    <w:rsid w:val="00A86074"/>
    <w:pPr>
      <w:tabs>
        <w:tab w:val="num" w:pos="680"/>
      </w:tabs>
      <w:spacing w:before="60" w:after="60"/>
      <w:ind w:left="680" w:hanging="680"/>
      <w:outlineLvl w:val="0"/>
    </w:pPr>
    <w:rPr>
      <w:rFonts w:eastAsia="Times New Roman"/>
      <w:kern w:val="20"/>
    </w:rPr>
  </w:style>
  <w:style w:type="paragraph" w:customStyle="1" w:styleId="Table2">
    <w:name w:val="Table 2"/>
    <w:basedOn w:val="Normal"/>
    <w:rsid w:val="00A86074"/>
    <w:pPr>
      <w:tabs>
        <w:tab w:val="num" w:pos="1440"/>
      </w:tabs>
      <w:spacing w:before="60" w:after="60"/>
      <w:ind w:left="1440" w:hanging="360"/>
      <w:outlineLvl w:val="1"/>
    </w:pPr>
    <w:rPr>
      <w:rFonts w:eastAsia="Times New Roman"/>
      <w:kern w:val="20"/>
    </w:rPr>
  </w:style>
  <w:style w:type="paragraph" w:customStyle="1" w:styleId="Table3">
    <w:name w:val="Table 3"/>
    <w:basedOn w:val="Normal"/>
    <w:rsid w:val="00A86074"/>
    <w:pPr>
      <w:numPr>
        <w:ilvl w:val="2"/>
        <w:numId w:val="10"/>
      </w:numPr>
      <w:spacing w:before="60" w:after="60"/>
      <w:outlineLvl w:val="2"/>
    </w:pPr>
    <w:rPr>
      <w:rFonts w:eastAsia="Times New Roman"/>
      <w:kern w:val="20"/>
    </w:rPr>
  </w:style>
  <w:style w:type="paragraph" w:customStyle="1" w:styleId="Table4">
    <w:name w:val="Table 4"/>
    <w:basedOn w:val="Normal"/>
    <w:rsid w:val="00A86074"/>
    <w:pPr>
      <w:numPr>
        <w:ilvl w:val="3"/>
        <w:numId w:val="10"/>
      </w:numPr>
      <w:spacing w:before="60" w:after="60"/>
      <w:outlineLvl w:val="3"/>
    </w:pPr>
    <w:rPr>
      <w:rFonts w:eastAsia="Times New Roman"/>
      <w:kern w:val="20"/>
    </w:rPr>
  </w:style>
  <w:style w:type="paragraph" w:customStyle="1" w:styleId="Table5">
    <w:name w:val="Table 5"/>
    <w:basedOn w:val="Normal"/>
    <w:rsid w:val="00A86074"/>
    <w:pPr>
      <w:numPr>
        <w:ilvl w:val="4"/>
        <w:numId w:val="10"/>
      </w:numPr>
      <w:spacing w:before="60" w:after="60"/>
      <w:outlineLvl w:val="4"/>
    </w:pPr>
    <w:rPr>
      <w:rFonts w:eastAsia="Times New Roman"/>
      <w:kern w:val="20"/>
    </w:rPr>
  </w:style>
  <w:style w:type="paragraph" w:customStyle="1" w:styleId="Table6">
    <w:name w:val="Table 6"/>
    <w:basedOn w:val="Normal"/>
    <w:rsid w:val="00A86074"/>
    <w:pPr>
      <w:numPr>
        <w:ilvl w:val="5"/>
        <w:numId w:val="10"/>
      </w:numPr>
      <w:spacing w:before="60" w:after="60"/>
      <w:outlineLvl w:val="5"/>
    </w:pPr>
    <w:rPr>
      <w:rFonts w:eastAsia="Times New Roman"/>
      <w:kern w:val="20"/>
    </w:rPr>
  </w:style>
  <w:style w:type="paragraph" w:customStyle="1" w:styleId="ListNumbers">
    <w:name w:val="List Numbers"/>
    <w:basedOn w:val="Normal"/>
    <w:rsid w:val="00A86074"/>
    <w:pPr>
      <w:numPr>
        <w:numId w:val="9"/>
      </w:numPr>
      <w:outlineLvl w:val="0"/>
    </w:pPr>
    <w:rPr>
      <w:rFonts w:eastAsia="Times New Roman"/>
      <w:kern w:val="20"/>
    </w:rPr>
  </w:style>
  <w:style w:type="table" w:styleId="SombreamentoClaro-nfase6">
    <w:name w:val="Light Shading Accent 6"/>
    <w:basedOn w:val="Tabelanormal"/>
    <w:rsid w:val="00A86074"/>
    <w:rPr>
      <w:rFonts w:eastAsia="Times New Roman"/>
      <w:lang w:val="en-GB" w:eastAsia="en-GB"/>
    </w:rPr>
    <w:tblPr>
      <w:tblStyleRowBandSize w:val="1"/>
      <w:tblStyleColBandSize w:val="1"/>
      <w:tblBorders>
        <w:top w:val="single" w:sz="8" w:space="0" w:color="808080"/>
        <w:left w:val="single" w:sz="8" w:space="0" w:color="808080"/>
        <w:bottom w:val="single" w:sz="8" w:space="0" w:color="808080"/>
        <w:right w:val="single" w:sz="8" w:space="0" w:color="808080"/>
      </w:tblBorders>
    </w:tblPr>
    <w:tblStylePr w:type="firstRow">
      <w:pPr>
        <w:spacing w:before="0" w:after="0" w:line="240" w:lineRule="auto"/>
      </w:pPr>
      <w:rPr>
        <w:b/>
        <w:bCs/>
        <w:color w:val="FFFFFF"/>
      </w:rPr>
      <w:tblPr/>
      <w:tcPr>
        <w:shd w:val="clear" w:color="auto" w:fill="808080"/>
      </w:tcPr>
    </w:tblStylePr>
    <w:tblStylePr w:type="lastRow">
      <w:pPr>
        <w:spacing w:before="0" w:after="0" w:line="240" w:lineRule="auto"/>
      </w:pPr>
      <w:rPr>
        <w:b/>
        <w:bCs/>
      </w:rPr>
      <w:tblPr/>
      <w:tcPr>
        <w:tcBorders>
          <w:top w:val="double" w:sz="6" w:space="0" w:color="808080"/>
          <w:left w:val="single" w:sz="8" w:space="0" w:color="808080"/>
          <w:bottom w:val="single" w:sz="8" w:space="0" w:color="808080"/>
          <w:right w:val="single" w:sz="8" w:space="0" w:color="808080"/>
        </w:tcBorders>
      </w:tcPr>
    </w:tblStylePr>
    <w:tblStylePr w:type="firstCol">
      <w:rPr>
        <w:b/>
        <w:bCs/>
      </w:rPr>
    </w:tblStylePr>
    <w:tblStylePr w:type="lastCol">
      <w:rPr>
        <w:b/>
        <w:bCs/>
      </w:rPr>
    </w:tblStylePr>
    <w:tblStylePr w:type="band1Vert">
      <w:tblPr/>
      <w:tcPr>
        <w:tcBorders>
          <w:top w:val="single" w:sz="8" w:space="0" w:color="808080"/>
          <w:left w:val="single" w:sz="8" w:space="0" w:color="808080"/>
          <w:bottom w:val="single" w:sz="8" w:space="0" w:color="808080"/>
          <w:right w:val="single" w:sz="8" w:space="0" w:color="808080"/>
        </w:tcBorders>
      </w:tcPr>
    </w:tblStylePr>
    <w:tblStylePr w:type="band1Horz">
      <w:tblPr/>
      <w:tcPr>
        <w:tcBorders>
          <w:top w:val="single" w:sz="8" w:space="0" w:color="808080"/>
          <w:left w:val="single" w:sz="8" w:space="0" w:color="808080"/>
          <w:bottom w:val="single" w:sz="8" w:space="0" w:color="808080"/>
          <w:right w:val="single" w:sz="8" w:space="0" w:color="808080"/>
        </w:tcBorders>
      </w:tcPr>
    </w:tblStylePr>
  </w:style>
  <w:style w:type="paragraph" w:customStyle="1" w:styleId="p0">
    <w:name w:val="p0"/>
    <w:basedOn w:val="Normal"/>
    <w:link w:val="p0Char"/>
    <w:uiPriority w:val="99"/>
    <w:rsid w:val="002B7B8E"/>
    <w:pPr>
      <w:widowControl w:val="0"/>
      <w:tabs>
        <w:tab w:val="left" w:pos="720"/>
      </w:tabs>
      <w:autoSpaceDE w:val="0"/>
      <w:autoSpaceDN w:val="0"/>
      <w:adjustRightInd w:val="0"/>
      <w:spacing w:line="240" w:lineRule="atLeast"/>
    </w:pPr>
    <w:rPr>
      <w:rFonts w:ascii="Times" w:eastAsia="Times New Roman" w:hAnsi="Times" w:cs="Times"/>
    </w:rPr>
  </w:style>
  <w:style w:type="character" w:customStyle="1" w:styleId="Level2Char">
    <w:name w:val="Level 2 Char"/>
    <w:link w:val="Level2"/>
    <w:uiPriority w:val="99"/>
    <w:rsid w:val="002B7B8E"/>
    <w:rPr>
      <w:rFonts w:asciiTheme="minorHAnsi" w:eastAsiaTheme="minorHAnsi" w:hAnsiTheme="minorHAnsi" w:cstheme="minorBidi"/>
      <w:kern w:val="20"/>
      <w:sz w:val="22"/>
      <w:szCs w:val="28"/>
      <w:lang w:val="pt-BR"/>
    </w:rPr>
  </w:style>
  <w:style w:type="character" w:customStyle="1" w:styleId="p0Char">
    <w:name w:val="p0 Char"/>
    <w:link w:val="p0"/>
    <w:uiPriority w:val="99"/>
    <w:locked/>
    <w:rsid w:val="002B7B8E"/>
    <w:rPr>
      <w:rFonts w:ascii="Times" w:eastAsia="Times New Roman" w:hAnsi="Times" w:cs="Times"/>
      <w:sz w:val="24"/>
      <w:szCs w:val="24"/>
      <w:lang w:eastAsia="en-US"/>
    </w:rPr>
  </w:style>
  <w:style w:type="paragraph" w:customStyle="1" w:styleId="EDP-Titulo1">
    <w:name w:val="(EDP - Titulo 1)"/>
    <w:qFormat/>
    <w:rsid w:val="0004438F"/>
    <w:pPr>
      <w:spacing w:after="400" w:line="300" w:lineRule="exact"/>
      <w:jc w:val="center"/>
    </w:pPr>
    <w:rPr>
      <w:rFonts w:ascii="Calibri" w:eastAsia="Times New Roman" w:hAnsi="Calibri" w:cs="Tahoma"/>
      <w:b/>
      <w:bCs/>
      <w:caps/>
      <w:lang w:val="pt-BR" w:eastAsia="pt-BR"/>
    </w:rPr>
  </w:style>
  <w:style w:type="paragraph" w:customStyle="1" w:styleId="CabealhodoSumrio1">
    <w:name w:val="Cabeçalho do Sumário1"/>
    <w:basedOn w:val="Ttulo1"/>
    <w:next w:val="Normal"/>
    <w:uiPriority w:val="39"/>
    <w:semiHidden/>
    <w:unhideWhenUsed/>
    <w:qFormat/>
    <w:rsid w:val="00255B42"/>
    <w:pPr>
      <w:keepLines/>
      <w:pageBreakBefore w:val="0"/>
      <w:spacing w:before="480"/>
      <w:jc w:val="left"/>
      <w:outlineLvl w:val="9"/>
    </w:pPr>
    <w:rPr>
      <w:rFonts w:ascii="Cambria" w:eastAsia="MS Gothic" w:hAnsi="Cambria"/>
      <w:caps w:val="0"/>
      <w:color w:val="365F91"/>
      <w:kern w:val="0"/>
      <w:sz w:val="28"/>
      <w:szCs w:val="28"/>
      <w:lang w:eastAsia="ja-JP"/>
    </w:rPr>
  </w:style>
  <w:style w:type="character" w:styleId="Refdecomentrio">
    <w:name w:val="annotation reference"/>
    <w:uiPriority w:val="99"/>
    <w:rsid w:val="00A76140"/>
    <w:rPr>
      <w:sz w:val="16"/>
      <w:szCs w:val="16"/>
    </w:rPr>
  </w:style>
  <w:style w:type="paragraph" w:styleId="Textodecomentrio">
    <w:name w:val="annotation text"/>
    <w:basedOn w:val="Normal"/>
    <w:link w:val="TextodecomentrioChar"/>
    <w:rsid w:val="00A76140"/>
  </w:style>
  <w:style w:type="character" w:customStyle="1" w:styleId="TextodecomentrioChar">
    <w:name w:val="Texto de comentário Char"/>
    <w:link w:val="Textodecomentrio"/>
    <w:rsid w:val="00A76140"/>
    <w:rPr>
      <w:rFonts w:ascii="Calibri" w:eastAsia="Calibri" w:hAnsi="Calibri"/>
      <w:lang w:val="en-US" w:eastAsia="en-US"/>
    </w:rPr>
  </w:style>
  <w:style w:type="paragraph" w:customStyle="1" w:styleId="Switzerland">
    <w:name w:val="Switzerland"/>
    <w:basedOn w:val="Corpodetexto"/>
    <w:rsid w:val="00FC2A91"/>
    <w:pPr>
      <w:spacing w:after="0"/>
    </w:pPr>
    <w:rPr>
      <w:rFonts w:ascii="Times New Roman" w:eastAsia="MS Mincho" w:hAnsi="Times New Roman"/>
    </w:rPr>
  </w:style>
  <w:style w:type="character" w:customStyle="1" w:styleId="BodyBlockChar">
    <w:name w:val="BodyBlock Char"/>
    <w:link w:val="BodyBlock"/>
    <w:rsid w:val="00FC2A91"/>
    <w:rPr>
      <w:rFonts w:eastAsia="Times New Roman"/>
      <w:sz w:val="21"/>
      <w:lang w:val="en-GB"/>
    </w:rPr>
  </w:style>
  <w:style w:type="paragraph" w:customStyle="1" w:styleId="bullet3">
    <w:name w:val="bullet 3"/>
    <w:basedOn w:val="Normal"/>
    <w:rsid w:val="008A166D"/>
    <w:pPr>
      <w:numPr>
        <w:numId w:val="16"/>
      </w:numPr>
    </w:pPr>
    <w:rPr>
      <w:rFonts w:eastAsia="Times New Roman"/>
      <w:kern w:val="20"/>
    </w:rPr>
  </w:style>
  <w:style w:type="paragraph" w:customStyle="1" w:styleId="Bullet10">
    <w:name w:val="Bullet 1"/>
    <w:basedOn w:val="Normal"/>
    <w:qFormat/>
    <w:rsid w:val="000409FA"/>
    <w:pPr>
      <w:tabs>
        <w:tab w:val="num" w:pos="680"/>
      </w:tabs>
      <w:spacing w:after="140" w:line="290" w:lineRule="auto"/>
      <w:ind w:left="680" w:hanging="680"/>
    </w:pPr>
    <w:rPr>
      <w:rFonts w:cs="Arial"/>
    </w:rPr>
  </w:style>
  <w:style w:type="paragraph" w:customStyle="1" w:styleId="Bullet20">
    <w:name w:val="Bullet 2"/>
    <w:basedOn w:val="Normal"/>
    <w:qFormat/>
    <w:rsid w:val="000409FA"/>
    <w:pPr>
      <w:numPr>
        <w:ilvl w:val="1"/>
        <w:numId w:val="17"/>
      </w:numPr>
    </w:pPr>
  </w:style>
  <w:style w:type="paragraph" w:customStyle="1" w:styleId="Bullet30">
    <w:name w:val="Bullet 3"/>
    <w:basedOn w:val="Normal"/>
    <w:qFormat/>
    <w:rsid w:val="000409FA"/>
    <w:pPr>
      <w:numPr>
        <w:ilvl w:val="2"/>
        <w:numId w:val="17"/>
      </w:numPr>
    </w:pPr>
  </w:style>
  <w:style w:type="character" w:styleId="Refdenotadefim">
    <w:name w:val="endnote reference"/>
    <w:rsid w:val="000409FA"/>
    <w:rPr>
      <w:rFonts w:ascii="Arial" w:hAnsi="Arial"/>
      <w:sz w:val="16"/>
      <w:vertAlign w:val="superscript"/>
    </w:rPr>
  </w:style>
  <w:style w:type="paragraph" w:customStyle="1" w:styleId="Citao10pt">
    <w:name w:val="Citação 10pt"/>
    <w:basedOn w:val="Normal"/>
    <w:qFormat/>
    <w:rsid w:val="000409FA"/>
    <w:pPr>
      <w:ind w:left="2041"/>
    </w:pPr>
    <w:rPr>
      <w:i/>
    </w:rPr>
  </w:style>
  <w:style w:type="paragraph" w:customStyle="1" w:styleId="Citao9pt">
    <w:name w:val="Citação 9pt"/>
    <w:basedOn w:val="Normal"/>
    <w:qFormat/>
    <w:rsid w:val="000409FA"/>
    <w:pPr>
      <w:ind w:left="680"/>
    </w:pPr>
    <w:rPr>
      <w:i/>
      <w:sz w:val="18"/>
    </w:rPr>
  </w:style>
  <w:style w:type="paragraph" w:customStyle="1" w:styleId="Subttulo8pt">
    <w:name w:val="Subtítulo 8pt"/>
    <w:basedOn w:val="Normal"/>
    <w:qFormat/>
    <w:rsid w:val="000409FA"/>
    <w:pPr>
      <w:tabs>
        <w:tab w:val="left" w:pos="0"/>
      </w:tabs>
      <w:spacing w:line="240" w:lineRule="exact"/>
    </w:pPr>
    <w:rPr>
      <w:rFonts w:cs="Arial"/>
      <w:kern w:val="20"/>
      <w:sz w:val="16"/>
    </w:rPr>
  </w:style>
  <w:style w:type="paragraph" w:customStyle="1" w:styleId="Ttulo14pt">
    <w:name w:val="Título 14pt"/>
    <w:basedOn w:val="Normal"/>
    <w:qFormat/>
    <w:rsid w:val="000409FA"/>
    <w:pPr>
      <w:tabs>
        <w:tab w:val="right" w:pos="9071"/>
      </w:tabs>
      <w:spacing w:before="720" w:after="240"/>
    </w:pPr>
    <w:rPr>
      <w:rFonts w:cs="Arial"/>
      <w:kern w:val="20"/>
      <w:sz w:val="28"/>
    </w:rPr>
  </w:style>
  <w:style w:type="paragraph" w:customStyle="1" w:styleId="Citao1">
    <w:name w:val="Citação1"/>
    <w:basedOn w:val="Normal"/>
    <w:qFormat/>
    <w:rsid w:val="00161D21"/>
    <w:pPr>
      <w:spacing w:after="240"/>
      <w:ind w:left="2041"/>
    </w:pPr>
    <w:rPr>
      <w:i/>
    </w:rPr>
  </w:style>
  <w:style w:type="paragraph" w:customStyle="1" w:styleId="Petio1">
    <w:name w:val="Petição 1"/>
    <w:basedOn w:val="Normal"/>
    <w:rsid w:val="000409FA"/>
    <w:pPr>
      <w:tabs>
        <w:tab w:val="num" w:pos="2722"/>
      </w:tabs>
      <w:spacing w:after="240"/>
      <w:ind w:firstLine="2041"/>
      <w:outlineLvl w:val="0"/>
    </w:pPr>
    <w:rPr>
      <w:kern w:val="20"/>
    </w:rPr>
  </w:style>
  <w:style w:type="paragraph" w:customStyle="1" w:styleId="Petio2">
    <w:name w:val="Petição 2"/>
    <w:basedOn w:val="Normal"/>
    <w:rsid w:val="000409FA"/>
    <w:pPr>
      <w:tabs>
        <w:tab w:val="num" w:pos="3402"/>
      </w:tabs>
      <w:spacing w:after="240"/>
      <w:ind w:firstLine="2722"/>
      <w:outlineLvl w:val="1"/>
    </w:pPr>
    <w:rPr>
      <w:kern w:val="20"/>
    </w:rPr>
  </w:style>
  <w:style w:type="paragraph" w:customStyle="1" w:styleId="Petio3">
    <w:name w:val="Petição 3"/>
    <w:basedOn w:val="Normal"/>
    <w:rsid w:val="000409FA"/>
    <w:pPr>
      <w:numPr>
        <w:ilvl w:val="2"/>
        <w:numId w:val="18"/>
      </w:numPr>
      <w:spacing w:after="240"/>
      <w:outlineLvl w:val="2"/>
    </w:pPr>
    <w:rPr>
      <w:kern w:val="20"/>
    </w:rPr>
  </w:style>
  <w:style w:type="paragraph" w:customStyle="1" w:styleId="Petio4">
    <w:name w:val="Petição 4"/>
    <w:basedOn w:val="Normal"/>
    <w:rsid w:val="000409FA"/>
    <w:pPr>
      <w:numPr>
        <w:ilvl w:val="3"/>
        <w:numId w:val="18"/>
      </w:numPr>
      <w:spacing w:after="240"/>
      <w:outlineLvl w:val="3"/>
    </w:pPr>
    <w:rPr>
      <w:kern w:val="20"/>
    </w:rPr>
  </w:style>
  <w:style w:type="paragraph" w:customStyle="1" w:styleId="Texto">
    <w:name w:val="Texto"/>
    <w:basedOn w:val="Normal"/>
    <w:qFormat/>
    <w:rsid w:val="000409FA"/>
    <w:pPr>
      <w:spacing w:after="240"/>
      <w:ind w:left="2041"/>
    </w:pPr>
  </w:style>
  <w:style w:type="paragraph" w:customStyle="1" w:styleId="TtuloB1">
    <w:name w:val="Título B1"/>
    <w:basedOn w:val="Normal"/>
    <w:qFormat/>
    <w:rsid w:val="000409FA"/>
    <w:pPr>
      <w:numPr>
        <w:numId w:val="19"/>
      </w:numPr>
      <w:spacing w:after="240"/>
    </w:pPr>
    <w:rPr>
      <w:rFonts w:ascii="Arial Bold" w:hAnsi="Arial Bold"/>
      <w:b/>
      <w:caps/>
    </w:rPr>
  </w:style>
  <w:style w:type="paragraph" w:customStyle="1" w:styleId="TtuloB2">
    <w:name w:val="Título B2"/>
    <w:basedOn w:val="Normal"/>
    <w:qFormat/>
    <w:rsid w:val="000409FA"/>
    <w:pPr>
      <w:numPr>
        <w:ilvl w:val="1"/>
        <w:numId w:val="19"/>
      </w:numPr>
      <w:spacing w:after="240"/>
    </w:pPr>
    <w:rPr>
      <w:caps/>
    </w:rPr>
  </w:style>
  <w:style w:type="paragraph" w:customStyle="1" w:styleId="Level1coluna1">
    <w:name w:val="Level 1 coluna1"/>
    <w:basedOn w:val="Normal"/>
    <w:rsid w:val="00224941"/>
    <w:pPr>
      <w:numPr>
        <w:numId w:val="20"/>
      </w:numPr>
      <w:spacing w:before="60" w:after="60"/>
    </w:pPr>
    <w:rPr>
      <w:rFonts w:eastAsia="Times New Roman"/>
      <w:b/>
      <w:sz w:val="16"/>
      <w:szCs w:val="20"/>
      <w:lang w:val="en-GB" w:eastAsia="en-GB"/>
    </w:rPr>
  </w:style>
  <w:style w:type="paragraph" w:customStyle="1" w:styleId="Level1coluna2">
    <w:name w:val="Level 1 coluna2"/>
    <w:basedOn w:val="Normal"/>
    <w:rsid w:val="00224941"/>
    <w:pPr>
      <w:numPr>
        <w:numId w:val="21"/>
      </w:numPr>
      <w:spacing w:before="60" w:after="60"/>
    </w:pPr>
    <w:rPr>
      <w:rFonts w:eastAsia="Times New Roman"/>
      <w:b/>
      <w:sz w:val="16"/>
      <w:szCs w:val="20"/>
      <w:lang w:val="en-GB" w:eastAsia="en-GB"/>
    </w:rPr>
  </w:style>
  <w:style w:type="paragraph" w:customStyle="1" w:styleId="Level2coluna1">
    <w:name w:val="Level 2 coluna1"/>
    <w:basedOn w:val="Normal"/>
    <w:rsid w:val="00224941"/>
    <w:pPr>
      <w:numPr>
        <w:ilvl w:val="1"/>
        <w:numId w:val="20"/>
      </w:numPr>
      <w:spacing w:before="60" w:after="60"/>
    </w:pPr>
    <w:rPr>
      <w:rFonts w:eastAsia="Times New Roman"/>
      <w:sz w:val="16"/>
      <w:szCs w:val="20"/>
      <w:lang w:val="en-GB" w:eastAsia="en-GB"/>
    </w:rPr>
  </w:style>
  <w:style w:type="paragraph" w:customStyle="1" w:styleId="Level2coluna2">
    <w:name w:val="Level 2 coluna2"/>
    <w:basedOn w:val="Normal"/>
    <w:rsid w:val="00224941"/>
    <w:pPr>
      <w:numPr>
        <w:ilvl w:val="1"/>
        <w:numId w:val="21"/>
      </w:numPr>
      <w:spacing w:before="60" w:after="60"/>
    </w:pPr>
    <w:rPr>
      <w:rFonts w:eastAsia="Times New Roman"/>
      <w:sz w:val="16"/>
      <w:szCs w:val="20"/>
      <w:lang w:val="en-GB" w:eastAsia="en-GB"/>
    </w:rPr>
  </w:style>
  <w:style w:type="paragraph" w:customStyle="1" w:styleId="Level3coluna1">
    <w:name w:val="Level 3 coluna1"/>
    <w:basedOn w:val="Normal"/>
    <w:rsid w:val="00224941"/>
    <w:pPr>
      <w:numPr>
        <w:ilvl w:val="2"/>
        <w:numId w:val="20"/>
      </w:numPr>
      <w:spacing w:before="60" w:after="60"/>
    </w:pPr>
    <w:rPr>
      <w:rFonts w:eastAsia="Times New Roman"/>
      <w:i/>
      <w:sz w:val="16"/>
      <w:szCs w:val="20"/>
      <w:lang w:val="en-GB" w:eastAsia="en-GB"/>
    </w:rPr>
  </w:style>
  <w:style w:type="paragraph" w:customStyle="1" w:styleId="Level3coluna2">
    <w:name w:val="Level 3 coluna2"/>
    <w:basedOn w:val="Normal"/>
    <w:rsid w:val="00224941"/>
    <w:pPr>
      <w:numPr>
        <w:ilvl w:val="2"/>
        <w:numId w:val="21"/>
      </w:numPr>
      <w:spacing w:before="60" w:after="60"/>
    </w:pPr>
    <w:rPr>
      <w:rFonts w:eastAsia="Times New Roman"/>
      <w:i/>
      <w:sz w:val="16"/>
      <w:szCs w:val="20"/>
      <w:lang w:val="en-GB" w:eastAsia="en-GB"/>
    </w:rPr>
  </w:style>
  <w:style w:type="paragraph" w:customStyle="1" w:styleId="Level4coluna1">
    <w:name w:val="Level 4 coluna1"/>
    <w:basedOn w:val="Normal"/>
    <w:rsid w:val="00224941"/>
    <w:pPr>
      <w:numPr>
        <w:ilvl w:val="3"/>
        <w:numId w:val="20"/>
      </w:numPr>
      <w:spacing w:before="60" w:after="60"/>
    </w:pPr>
    <w:rPr>
      <w:rFonts w:eastAsia="Times New Roman"/>
      <w:i/>
      <w:sz w:val="16"/>
      <w:szCs w:val="20"/>
      <w:lang w:val="en-GB" w:eastAsia="en-GB"/>
    </w:rPr>
  </w:style>
  <w:style w:type="paragraph" w:customStyle="1" w:styleId="Level4coluna2">
    <w:name w:val="Level 4 coluna2"/>
    <w:basedOn w:val="Normal"/>
    <w:rsid w:val="00224941"/>
    <w:pPr>
      <w:numPr>
        <w:ilvl w:val="3"/>
        <w:numId w:val="21"/>
      </w:numPr>
      <w:spacing w:before="60" w:after="60"/>
    </w:pPr>
    <w:rPr>
      <w:rFonts w:eastAsia="Times New Roman"/>
      <w:i/>
      <w:sz w:val="16"/>
      <w:szCs w:val="20"/>
      <w:lang w:val="en-GB" w:eastAsia="en-GB"/>
    </w:rPr>
  </w:style>
  <w:style w:type="paragraph" w:customStyle="1" w:styleId="Level5coluna1">
    <w:name w:val="Level 5 coluna1"/>
    <w:basedOn w:val="Normal"/>
    <w:rsid w:val="00224941"/>
    <w:pPr>
      <w:numPr>
        <w:ilvl w:val="4"/>
        <w:numId w:val="20"/>
      </w:numPr>
      <w:spacing w:after="140" w:line="290" w:lineRule="auto"/>
    </w:pPr>
    <w:rPr>
      <w:rFonts w:eastAsia="Times New Roman"/>
      <w:szCs w:val="20"/>
      <w:lang w:val="en-GB" w:eastAsia="en-GB"/>
    </w:rPr>
  </w:style>
  <w:style w:type="paragraph" w:customStyle="1" w:styleId="Level5coluna2">
    <w:name w:val="Level 5 coluna2"/>
    <w:basedOn w:val="Normal"/>
    <w:rsid w:val="00224941"/>
    <w:pPr>
      <w:numPr>
        <w:ilvl w:val="4"/>
        <w:numId w:val="21"/>
      </w:numPr>
      <w:spacing w:after="140" w:line="290" w:lineRule="auto"/>
    </w:pPr>
    <w:rPr>
      <w:rFonts w:eastAsia="Times New Roman"/>
      <w:szCs w:val="20"/>
      <w:lang w:val="en-GB" w:eastAsia="en-GB"/>
    </w:rPr>
  </w:style>
  <w:style w:type="paragraph" w:customStyle="1" w:styleId="Level6coluna1">
    <w:name w:val="Level 6 coluna1"/>
    <w:basedOn w:val="Normal"/>
    <w:rsid w:val="00224941"/>
    <w:pPr>
      <w:numPr>
        <w:ilvl w:val="5"/>
        <w:numId w:val="20"/>
      </w:numPr>
      <w:spacing w:after="140" w:line="290" w:lineRule="auto"/>
    </w:pPr>
    <w:rPr>
      <w:rFonts w:eastAsia="Times New Roman"/>
      <w:szCs w:val="20"/>
      <w:lang w:val="en-GB" w:eastAsia="en-GB"/>
    </w:rPr>
  </w:style>
  <w:style w:type="paragraph" w:customStyle="1" w:styleId="Level6coluna2">
    <w:name w:val="Level 6 coluna2"/>
    <w:basedOn w:val="Normal"/>
    <w:rsid w:val="00224941"/>
    <w:pPr>
      <w:numPr>
        <w:ilvl w:val="5"/>
        <w:numId w:val="21"/>
      </w:numPr>
      <w:spacing w:after="140" w:line="290" w:lineRule="auto"/>
    </w:pPr>
    <w:rPr>
      <w:rFonts w:eastAsia="Times New Roman"/>
      <w:szCs w:val="20"/>
      <w:lang w:val="en-GB" w:eastAsia="en-GB"/>
    </w:rPr>
  </w:style>
  <w:style w:type="paragraph" w:customStyle="1" w:styleId="Marcador1">
    <w:name w:val="Marcador(1)"/>
    <w:basedOn w:val="Normal"/>
    <w:qFormat/>
    <w:rsid w:val="000409FA"/>
    <w:pPr>
      <w:numPr>
        <w:numId w:val="22"/>
      </w:numPr>
    </w:pPr>
  </w:style>
  <w:style w:type="paragraph" w:customStyle="1" w:styleId="MarcadorA">
    <w:name w:val="Marcador(A)"/>
    <w:basedOn w:val="Normal"/>
    <w:qFormat/>
    <w:rsid w:val="000409FA"/>
    <w:pPr>
      <w:numPr>
        <w:numId w:val="23"/>
      </w:numPr>
    </w:pPr>
  </w:style>
  <w:style w:type="paragraph" w:customStyle="1" w:styleId="Marcador11">
    <w:name w:val="Marcador(1)1"/>
    <w:basedOn w:val="Normal"/>
    <w:qFormat/>
    <w:rsid w:val="000409FA"/>
    <w:pPr>
      <w:numPr>
        <w:numId w:val="24"/>
      </w:numPr>
    </w:pPr>
    <w:rPr>
      <w:rFonts w:eastAsia="Times New Roman"/>
    </w:rPr>
  </w:style>
  <w:style w:type="paragraph" w:customStyle="1" w:styleId="MarcadorA1">
    <w:name w:val="Marcador(A)1"/>
    <w:basedOn w:val="Normal"/>
    <w:qFormat/>
    <w:rsid w:val="000409FA"/>
    <w:pPr>
      <w:numPr>
        <w:numId w:val="25"/>
      </w:numPr>
    </w:pPr>
    <w:rPr>
      <w:rFonts w:eastAsia="Times New Roman"/>
    </w:rPr>
  </w:style>
  <w:style w:type="paragraph" w:customStyle="1" w:styleId="Contratos1ClausulasArtigos">
    <w:name w:val="Contratos 1_ClausulasArtigos"/>
    <w:basedOn w:val="Normal"/>
    <w:qFormat/>
    <w:rsid w:val="00224941"/>
    <w:pPr>
      <w:spacing w:after="140" w:line="290" w:lineRule="auto"/>
    </w:pPr>
    <w:rPr>
      <w:rFonts w:eastAsia="Times New Roman"/>
    </w:rPr>
  </w:style>
  <w:style w:type="paragraph" w:customStyle="1" w:styleId="Contratos2pargrafos">
    <w:name w:val="Contratos 2_parágrafos"/>
    <w:basedOn w:val="Normal"/>
    <w:qFormat/>
    <w:rsid w:val="00224941"/>
    <w:pPr>
      <w:spacing w:after="140" w:line="290" w:lineRule="auto"/>
      <w:ind w:left="680"/>
    </w:pPr>
    <w:rPr>
      <w:rFonts w:eastAsia="Times New Roman"/>
    </w:rPr>
  </w:style>
  <w:style w:type="paragraph" w:customStyle="1" w:styleId="Contratos3i">
    <w:name w:val="Contratos 3_(i)"/>
    <w:basedOn w:val="Normal"/>
    <w:qFormat/>
    <w:rsid w:val="00224941"/>
    <w:pPr>
      <w:numPr>
        <w:ilvl w:val="2"/>
        <w:numId w:val="26"/>
      </w:numPr>
      <w:spacing w:after="140" w:line="290" w:lineRule="auto"/>
    </w:pPr>
    <w:rPr>
      <w:rFonts w:eastAsia="Times New Roman"/>
    </w:rPr>
  </w:style>
  <w:style w:type="paragraph" w:customStyle="1" w:styleId="Contratospargrafonico">
    <w:name w:val="Contratos_parágrafo único"/>
    <w:basedOn w:val="Normal"/>
    <w:link w:val="ContratospargrafonicoChar"/>
    <w:qFormat/>
    <w:rsid w:val="00224941"/>
    <w:pPr>
      <w:spacing w:after="140" w:line="290" w:lineRule="auto"/>
      <w:ind w:left="680"/>
    </w:pPr>
    <w:rPr>
      <w:rFonts w:eastAsia="Times New Roman"/>
      <w:kern w:val="20"/>
    </w:rPr>
  </w:style>
  <w:style w:type="character" w:customStyle="1" w:styleId="ContratospargrafonicoChar">
    <w:name w:val="Contratos_parágrafo único Char"/>
    <w:link w:val="Contratospargrafonico"/>
    <w:rsid w:val="00224941"/>
    <w:rPr>
      <w:rFonts w:ascii="Arial" w:eastAsia="Times New Roman" w:hAnsi="Arial"/>
      <w:kern w:val="20"/>
      <w:szCs w:val="24"/>
      <w:lang w:eastAsia="en-US"/>
    </w:rPr>
  </w:style>
  <w:style w:type="paragraph" w:customStyle="1" w:styleId="BRMALLS-NORMAL">
    <w:name w:val="(BR MALLS - NORMAL)"/>
    <w:basedOn w:val="Normal"/>
    <w:qFormat/>
    <w:rsid w:val="00B91EF2"/>
    <w:pPr>
      <w:suppressAutoHyphens/>
      <w:autoSpaceDE w:val="0"/>
      <w:adjustRightInd w:val="0"/>
      <w:spacing w:after="200" w:line="300" w:lineRule="exact"/>
    </w:pPr>
    <w:rPr>
      <w:rFonts w:eastAsia="MS Mincho" w:cs="Arial"/>
      <w:lang w:eastAsia="ar-SA"/>
    </w:rPr>
  </w:style>
  <w:style w:type="paragraph" w:customStyle="1" w:styleId="Parties">
    <w:name w:val="Parties"/>
    <w:basedOn w:val="Normal"/>
    <w:qFormat/>
    <w:rsid w:val="0086796F"/>
    <w:pPr>
      <w:tabs>
        <w:tab w:val="num" w:pos="680"/>
      </w:tabs>
      <w:ind w:left="680" w:hanging="680"/>
    </w:pPr>
  </w:style>
  <w:style w:type="paragraph" w:customStyle="1" w:styleId="Recitals">
    <w:name w:val="Recitals"/>
    <w:basedOn w:val="Normal"/>
    <w:qFormat/>
    <w:rsid w:val="0086796F"/>
    <w:pPr>
      <w:tabs>
        <w:tab w:val="num" w:pos="680"/>
      </w:tabs>
      <w:ind w:left="680" w:hanging="680"/>
    </w:pPr>
  </w:style>
  <w:style w:type="paragraph" w:customStyle="1" w:styleId="Partiesrplica">
    <w:name w:val="Parties (réplica)"/>
    <w:basedOn w:val="Normal"/>
    <w:qFormat/>
    <w:rsid w:val="0086796F"/>
    <w:pPr>
      <w:tabs>
        <w:tab w:val="num" w:pos="680"/>
      </w:tabs>
      <w:ind w:left="680" w:hanging="680"/>
    </w:pPr>
    <w:rPr>
      <w:rFonts w:eastAsia="Times New Roman"/>
    </w:rPr>
  </w:style>
  <w:style w:type="paragraph" w:customStyle="1" w:styleId="Recitalsrplica">
    <w:name w:val="Recitals (réplica)"/>
    <w:basedOn w:val="Normal"/>
    <w:qFormat/>
    <w:rsid w:val="0086796F"/>
    <w:pPr>
      <w:tabs>
        <w:tab w:val="num" w:pos="680"/>
      </w:tabs>
      <w:ind w:left="680" w:hanging="680"/>
    </w:pPr>
    <w:rPr>
      <w:rFonts w:eastAsia="Times New Roman"/>
    </w:rPr>
  </w:style>
  <w:style w:type="character" w:styleId="nfase">
    <w:name w:val="Emphasis"/>
    <w:uiPriority w:val="20"/>
    <w:qFormat/>
    <w:rsid w:val="0086796F"/>
    <w:rPr>
      <w:i/>
      <w:iCs/>
    </w:rPr>
  </w:style>
  <w:style w:type="character" w:customStyle="1" w:styleId="nfaseIntensa1">
    <w:name w:val="Ênfase Intensa1"/>
    <w:uiPriority w:val="21"/>
    <w:qFormat/>
    <w:rsid w:val="000116CC"/>
    <w:rPr>
      <w:b/>
      <w:bCs/>
      <w:i/>
      <w:iCs/>
      <w:color w:val="4F81BD"/>
    </w:rPr>
  </w:style>
  <w:style w:type="paragraph" w:customStyle="1" w:styleId="Body1">
    <w:name w:val="Body 1"/>
    <w:basedOn w:val="Normal"/>
    <w:next w:val="Body"/>
    <w:rsid w:val="0086796F"/>
    <w:rPr>
      <w:rFonts w:cs="Arial"/>
    </w:rPr>
  </w:style>
  <w:style w:type="paragraph" w:customStyle="1" w:styleId="Body3">
    <w:name w:val="Body 3"/>
    <w:basedOn w:val="Normal"/>
    <w:next w:val="Body"/>
    <w:rsid w:val="0086796F"/>
    <w:rPr>
      <w:rFonts w:cs="Arial"/>
    </w:rPr>
  </w:style>
  <w:style w:type="paragraph" w:customStyle="1" w:styleId="Body4">
    <w:name w:val="Body 4"/>
    <w:basedOn w:val="Normal"/>
    <w:next w:val="Body"/>
    <w:rsid w:val="0086796F"/>
    <w:rPr>
      <w:rFonts w:cs="Arial"/>
    </w:rPr>
  </w:style>
  <w:style w:type="paragraph" w:customStyle="1" w:styleId="Body5">
    <w:name w:val="Body 5"/>
    <w:basedOn w:val="Normal"/>
    <w:next w:val="Body"/>
    <w:rsid w:val="0086796F"/>
    <w:rPr>
      <w:rFonts w:cs="Arial"/>
    </w:rPr>
  </w:style>
  <w:style w:type="paragraph" w:customStyle="1" w:styleId="TabBody">
    <w:name w:val="TabBody"/>
    <w:basedOn w:val="Normal"/>
    <w:qFormat/>
    <w:rsid w:val="0086796F"/>
    <w:pPr>
      <w:spacing w:before="60" w:after="60" w:line="240" w:lineRule="exact"/>
    </w:pPr>
    <w:rPr>
      <w:rFonts w:cs="Arial"/>
      <w:sz w:val="18"/>
      <w:szCs w:val="18"/>
    </w:rPr>
  </w:style>
  <w:style w:type="paragraph" w:customStyle="1" w:styleId="TabBullet1">
    <w:name w:val="TabBullet1"/>
    <w:basedOn w:val="Normal"/>
    <w:qFormat/>
    <w:rsid w:val="0086796F"/>
    <w:pPr>
      <w:numPr>
        <w:numId w:val="27"/>
      </w:numPr>
      <w:spacing w:before="60" w:after="60" w:line="240" w:lineRule="exact"/>
    </w:pPr>
    <w:rPr>
      <w:sz w:val="18"/>
      <w:szCs w:val="18"/>
    </w:rPr>
  </w:style>
  <w:style w:type="paragraph" w:customStyle="1" w:styleId="TabHeading">
    <w:name w:val="TabHeading"/>
    <w:basedOn w:val="Normal"/>
    <w:qFormat/>
    <w:rsid w:val="0086796F"/>
    <w:pPr>
      <w:spacing w:before="60" w:after="60" w:line="240" w:lineRule="exact"/>
    </w:pPr>
    <w:rPr>
      <w:b/>
      <w:sz w:val="18"/>
    </w:rPr>
  </w:style>
  <w:style w:type="paragraph" w:customStyle="1" w:styleId="TabList1">
    <w:name w:val="TabList1"/>
    <w:basedOn w:val="Normal"/>
    <w:qFormat/>
    <w:rsid w:val="0086796F"/>
    <w:pPr>
      <w:numPr>
        <w:numId w:val="28"/>
      </w:numPr>
      <w:tabs>
        <w:tab w:val="left" w:pos="397"/>
      </w:tabs>
      <w:spacing w:before="60" w:after="60" w:line="240" w:lineRule="exact"/>
    </w:pPr>
    <w:rPr>
      <w:sz w:val="18"/>
    </w:rPr>
  </w:style>
  <w:style w:type="paragraph" w:customStyle="1" w:styleId="FootnoteTextcont">
    <w:name w:val="Footnote Text cont"/>
    <w:basedOn w:val="Normal"/>
    <w:rsid w:val="00224941"/>
    <w:pPr>
      <w:ind w:left="227"/>
    </w:pPr>
    <w:rPr>
      <w:sz w:val="16"/>
      <w:szCs w:val="20"/>
      <w:lang w:eastAsia="en-GB"/>
    </w:rPr>
  </w:style>
  <w:style w:type="paragraph" w:customStyle="1" w:styleId="Estilo1">
    <w:name w:val="Estilo1"/>
    <w:basedOn w:val="Normal"/>
    <w:rsid w:val="008344D1"/>
    <w:pPr>
      <w:widowControl w:val="0"/>
      <w:autoSpaceDE w:val="0"/>
      <w:autoSpaceDN w:val="0"/>
      <w:adjustRightInd w:val="0"/>
      <w:jc w:val="center"/>
    </w:pPr>
    <w:rPr>
      <w:rFonts w:ascii="Tahoma" w:hAnsi="Tahoma" w:cs="Tahoma"/>
      <w:b/>
      <w:bCs/>
    </w:rPr>
  </w:style>
  <w:style w:type="paragraph" w:styleId="Corpodetexto2">
    <w:name w:val="Body Text 2"/>
    <w:basedOn w:val="Normal"/>
    <w:link w:val="Corpodetexto2Char"/>
    <w:rsid w:val="008344D1"/>
    <w:pPr>
      <w:spacing w:after="120" w:line="480" w:lineRule="auto"/>
    </w:pPr>
  </w:style>
  <w:style w:type="character" w:customStyle="1" w:styleId="Corpodetexto2Char">
    <w:name w:val="Corpo de texto 2 Char"/>
    <w:link w:val="Corpodetexto2"/>
    <w:rsid w:val="008344D1"/>
    <w:rPr>
      <w:rFonts w:ascii="Arial" w:eastAsia="Calibri" w:hAnsi="Arial"/>
      <w:lang w:val="en-GB" w:eastAsia="en-GB"/>
    </w:rPr>
  </w:style>
  <w:style w:type="paragraph" w:customStyle="1" w:styleId="GAFISA-NORMAL">
    <w:name w:val="GAFISA - NORMAL"/>
    <w:basedOn w:val="Normal"/>
    <w:rsid w:val="008344D1"/>
    <w:pPr>
      <w:widowControl w:val="0"/>
      <w:autoSpaceDE w:val="0"/>
      <w:autoSpaceDN w:val="0"/>
      <w:adjustRightInd w:val="0"/>
      <w:spacing w:after="200" w:line="300" w:lineRule="exact"/>
    </w:pPr>
    <w:rPr>
      <w:rFonts w:cs="Calibri"/>
      <w:color w:val="000000"/>
    </w:rPr>
  </w:style>
  <w:style w:type="paragraph" w:customStyle="1" w:styleId="GAFISA-2">
    <w:name w:val="GAFISA - 2"/>
    <w:basedOn w:val="Normal"/>
    <w:rsid w:val="008344D1"/>
    <w:pPr>
      <w:keepNext/>
      <w:widowControl w:val="0"/>
      <w:autoSpaceDE w:val="0"/>
      <w:autoSpaceDN w:val="0"/>
      <w:adjustRightInd w:val="0"/>
      <w:spacing w:before="400" w:after="200" w:line="300" w:lineRule="exact"/>
      <w:outlineLvl w:val="1"/>
    </w:pPr>
    <w:rPr>
      <w:rFonts w:cs="Calibri"/>
      <w:b/>
      <w:bCs/>
      <w:smallCaps/>
    </w:rPr>
  </w:style>
  <w:style w:type="paragraph" w:customStyle="1" w:styleId="GAFISA-3">
    <w:name w:val="GAFISA - 3"/>
    <w:basedOn w:val="Normal"/>
    <w:rsid w:val="008344D1"/>
    <w:pPr>
      <w:keepNext/>
      <w:widowControl w:val="0"/>
      <w:autoSpaceDE w:val="0"/>
      <w:autoSpaceDN w:val="0"/>
      <w:adjustRightInd w:val="0"/>
      <w:spacing w:after="200" w:line="300" w:lineRule="exact"/>
      <w:outlineLvl w:val="1"/>
    </w:pPr>
    <w:rPr>
      <w:rFonts w:cs="Calibri"/>
      <w:b/>
      <w:bCs/>
      <w:i/>
      <w:iCs/>
    </w:rPr>
  </w:style>
  <w:style w:type="paragraph" w:customStyle="1" w:styleId="FootnoteText2">
    <w:name w:val="Footnote Text 2"/>
    <w:basedOn w:val="Textodenotaderodap"/>
    <w:link w:val="FootnoteText2Char"/>
    <w:qFormat/>
    <w:rsid w:val="007602AF"/>
    <w:pPr>
      <w:ind w:firstLine="0"/>
    </w:pPr>
    <w:rPr>
      <w:rFonts w:cs="Arial"/>
    </w:rPr>
  </w:style>
  <w:style w:type="character" w:customStyle="1" w:styleId="FootnoteText2Char">
    <w:name w:val="Footnote Text 2 Char"/>
    <w:link w:val="FootnoteText2"/>
    <w:rsid w:val="007602AF"/>
    <w:rPr>
      <w:rFonts w:ascii="Arial" w:eastAsia="Calibri" w:hAnsi="Arial" w:cs="Arial"/>
      <w:sz w:val="16"/>
      <w:lang w:val="en-GB" w:eastAsia="en-GB"/>
    </w:rPr>
  </w:style>
  <w:style w:type="paragraph" w:customStyle="1" w:styleId="BasicParagraph">
    <w:name w:val="[Basic Paragraph]"/>
    <w:basedOn w:val="Normal"/>
    <w:uiPriority w:val="99"/>
    <w:rsid w:val="00BB67C3"/>
    <w:pPr>
      <w:suppressAutoHyphens/>
      <w:autoSpaceDE w:val="0"/>
      <w:autoSpaceDN w:val="0"/>
      <w:adjustRightInd w:val="0"/>
      <w:spacing w:line="320" w:lineRule="atLeast"/>
      <w:textAlignment w:val="center"/>
    </w:pPr>
    <w:rPr>
      <w:rFonts w:ascii="MinionPro-Regular" w:eastAsia="MS Mincho" w:hAnsi="MinionPro-Regular" w:cs="MinionPro-Regular"/>
      <w:color w:val="000000"/>
      <w:lang w:eastAsia="pt-BR"/>
    </w:rPr>
  </w:style>
  <w:style w:type="paragraph" w:customStyle="1" w:styleId="Citao2">
    <w:name w:val="Citação2"/>
    <w:basedOn w:val="Normal"/>
    <w:qFormat/>
    <w:rsid w:val="000409FA"/>
    <w:pPr>
      <w:spacing w:after="240"/>
      <w:ind w:left="2041"/>
    </w:pPr>
    <w:rPr>
      <w:i/>
    </w:rPr>
  </w:style>
  <w:style w:type="character" w:customStyle="1" w:styleId="TabelaSimples41">
    <w:name w:val="Tabela Simples 41"/>
    <w:uiPriority w:val="21"/>
    <w:qFormat/>
    <w:rsid w:val="0086796F"/>
    <w:rPr>
      <w:b/>
      <w:bCs/>
      <w:i/>
      <w:iCs/>
      <w:color w:val="4F81BD"/>
    </w:rPr>
  </w:style>
  <w:style w:type="character" w:customStyle="1" w:styleId="apple-converted-space">
    <w:name w:val="apple-converted-space"/>
    <w:basedOn w:val="Fontepargpadro"/>
    <w:rsid w:val="00AB3964"/>
  </w:style>
  <w:style w:type="paragraph" w:styleId="MapadoDocumento">
    <w:name w:val="Document Map"/>
    <w:basedOn w:val="Normal"/>
    <w:link w:val="MapadoDocumentoChar"/>
    <w:uiPriority w:val="99"/>
    <w:semiHidden/>
    <w:rsid w:val="00600946"/>
    <w:pPr>
      <w:shd w:val="clear" w:color="auto" w:fill="000080"/>
      <w:adjustRightInd w:val="0"/>
      <w:textAlignment w:val="baseline"/>
    </w:pPr>
    <w:rPr>
      <w:rFonts w:ascii="Tahoma" w:eastAsia="Times New Roman" w:hAnsi="Tahoma"/>
      <w:lang w:val="x-none" w:eastAsia="x-none"/>
    </w:rPr>
  </w:style>
  <w:style w:type="character" w:customStyle="1" w:styleId="MapadoDocumentoChar">
    <w:name w:val="Mapa do Documento Char"/>
    <w:link w:val="MapadoDocumento"/>
    <w:uiPriority w:val="99"/>
    <w:semiHidden/>
    <w:rsid w:val="00600946"/>
    <w:rPr>
      <w:rFonts w:ascii="Tahoma" w:eastAsia="Times New Roman" w:hAnsi="Tahoma"/>
      <w:shd w:val="clear" w:color="auto" w:fill="000080"/>
      <w:lang w:val="x-none" w:eastAsia="x-none"/>
    </w:rPr>
  </w:style>
  <w:style w:type="paragraph" w:customStyle="1" w:styleId="TCLevel1">
    <w:name w:val="T+C Level 1"/>
    <w:basedOn w:val="Normal"/>
    <w:next w:val="TCLevel2"/>
    <w:rsid w:val="003660A7"/>
    <w:pPr>
      <w:keepNext/>
      <w:numPr>
        <w:numId w:val="30"/>
      </w:numPr>
      <w:spacing w:before="140"/>
      <w:outlineLvl w:val="0"/>
    </w:pPr>
    <w:rPr>
      <w:rFonts w:eastAsia="Times New Roman"/>
      <w:b/>
      <w:kern w:val="20"/>
    </w:rPr>
  </w:style>
  <w:style w:type="paragraph" w:customStyle="1" w:styleId="TCLevel2">
    <w:name w:val="T+C Level 2"/>
    <w:basedOn w:val="Normal"/>
    <w:rsid w:val="003660A7"/>
    <w:pPr>
      <w:numPr>
        <w:ilvl w:val="1"/>
        <w:numId w:val="30"/>
      </w:numPr>
      <w:outlineLvl w:val="1"/>
    </w:pPr>
    <w:rPr>
      <w:rFonts w:eastAsia="Times New Roman"/>
      <w:kern w:val="20"/>
    </w:rPr>
  </w:style>
  <w:style w:type="paragraph" w:customStyle="1" w:styleId="TCLevel3">
    <w:name w:val="T+C Level 3"/>
    <w:basedOn w:val="Normal"/>
    <w:rsid w:val="003660A7"/>
    <w:pPr>
      <w:numPr>
        <w:ilvl w:val="2"/>
        <w:numId w:val="30"/>
      </w:numPr>
      <w:outlineLvl w:val="2"/>
    </w:pPr>
    <w:rPr>
      <w:rFonts w:eastAsia="Times New Roman"/>
      <w:kern w:val="20"/>
    </w:rPr>
  </w:style>
  <w:style w:type="paragraph" w:customStyle="1" w:styleId="TCLevel4">
    <w:name w:val="T+C Level 4"/>
    <w:basedOn w:val="Normal"/>
    <w:rsid w:val="003660A7"/>
    <w:pPr>
      <w:numPr>
        <w:ilvl w:val="3"/>
        <w:numId w:val="30"/>
      </w:numPr>
      <w:outlineLvl w:val="3"/>
    </w:pPr>
    <w:rPr>
      <w:rFonts w:eastAsia="Times New Roman"/>
      <w:kern w:val="20"/>
    </w:rPr>
  </w:style>
  <w:style w:type="paragraph" w:customStyle="1" w:styleId="alpha2">
    <w:name w:val="alpha 2"/>
    <w:basedOn w:val="Normal"/>
    <w:rsid w:val="00EE0D0B"/>
    <w:pPr>
      <w:numPr>
        <w:numId w:val="31"/>
      </w:numPr>
    </w:pPr>
    <w:rPr>
      <w:rFonts w:eastAsia="Times New Roman"/>
      <w:kern w:val="20"/>
    </w:rPr>
  </w:style>
  <w:style w:type="paragraph" w:styleId="Subttulo">
    <w:name w:val="Subtitle"/>
    <w:basedOn w:val="Normal"/>
    <w:next w:val="Corpodetexto"/>
    <w:link w:val="SubttuloChar"/>
    <w:uiPriority w:val="99"/>
    <w:qFormat/>
    <w:rsid w:val="00E06611"/>
    <w:pPr>
      <w:suppressAutoHyphens/>
      <w:autoSpaceDE w:val="0"/>
      <w:spacing w:after="120"/>
    </w:pPr>
    <w:rPr>
      <w:rFonts w:ascii="Cambria" w:eastAsia="Times New Roman" w:hAnsi="Cambria"/>
      <w:lang w:eastAsia="ar-SA"/>
    </w:rPr>
  </w:style>
  <w:style w:type="character" w:customStyle="1" w:styleId="SubttuloChar">
    <w:name w:val="Subtítulo Char"/>
    <w:link w:val="Subttulo"/>
    <w:uiPriority w:val="99"/>
    <w:rsid w:val="00E06611"/>
    <w:rPr>
      <w:rFonts w:ascii="Cambria" w:eastAsia="Times New Roman" w:hAnsi="Cambria"/>
      <w:sz w:val="24"/>
      <w:szCs w:val="24"/>
      <w:lang w:eastAsia="ar-SA"/>
    </w:rPr>
  </w:style>
  <w:style w:type="paragraph" w:customStyle="1" w:styleId="ListaMdia2-nfase21">
    <w:name w:val="Lista Média 2 - Ênfase 21"/>
    <w:hidden/>
    <w:semiHidden/>
    <w:rsid w:val="0013187B"/>
    <w:rPr>
      <w:rFonts w:ascii="Arial" w:eastAsia="Calibri" w:hAnsi="Arial"/>
      <w:lang w:val="en-GB" w:eastAsia="en-GB"/>
    </w:rPr>
  </w:style>
  <w:style w:type="paragraph" w:customStyle="1" w:styleId="Contratos1ClausulasArtigoscol2">
    <w:name w:val="Contratos 1_ClausulasArtigos_col2"/>
    <w:basedOn w:val="Normal"/>
    <w:qFormat/>
    <w:rsid w:val="00224941"/>
    <w:pPr>
      <w:numPr>
        <w:numId w:val="35"/>
      </w:numPr>
      <w:spacing w:after="140" w:line="290" w:lineRule="auto"/>
    </w:pPr>
    <w:rPr>
      <w:rFonts w:eastAsia="Times New Roman"/>
    </w:rPr>
  </w:style>
  <w:style w:type="paragraph" w:customStyle="1" w:styleId="Contratos2pargrafoscol2">
    <w:name w:val="Contratos 2_parágrafos_col2"/>
    <w:basedOn w:val="Normal"/>
    <w:qFormat/>
    <w:rsid w:val="00224941"/>
    <w:pPr>
      <w:numPr>
        <w:ilvl w:val="1"/>
        <w:numId w:val="35"/>
      </w:numPr>
      <w:spacing w:after="140" w:line="290" w:lineRule="auto"/>
    </w:pPr>
    <w:rPr>
      <w:rFonts w:eastAsia="Times New Roman"/>
    </w:rPr>
  </w:style>
  <w:style w:type="paragraph" w:customStyle="1" w:styleId="Contratos3icol2">
    <w:name w:val="Contratos 3_(i)_col2"/>
    <w:basedOn w:val="Normal"/>
    <w:qFormat/>
    <w:rsid w:val="00224941"/>
    <w:pPr>
      <w:numPr>
        <w:ilvl w:val="2"/>
        <w:numId w:val="35"/>
      </w:numPr>
      <w:spacing w:after="140" w:line="290" w:lineRule="auto"/>
    </w:pPr>
    <w:rPr>
      <w:rFonts w:eastAsia="Times New Roman"/>
    </w:rPr>
  </w:style>
  <w:style w:type="table" w:customStyle="1" w:styleId="TabeladeGrade7Colorida1">
    <w:name w:val="Tabela de Grade 7 Colorida1"/>
    <w:aliases w:val="Tabela Lefosse"/>
    <w:basedOn w:val="Tabelanormal"/>
    <w:uiPriority w:val="52"/>
    <w:rsid w:val="00224941"/>
    <w:rPr>
      <w:rFonts w:ascii="Arial" w:eastAsia="Calibri"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Courier New" w:hAnsi="Courier New"/>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Courier New" w:hAnsi="Courier New"/>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ListaDD1">
    <w:name w:val="Lista DD 1"/>
    <w:basedOn w:val="Normal"/>
    <w:rsid w:val="00224941"/>
    <w:pPr>
      <w:keepNext/>
      <w:numPr>
        <w:numId w:val="36"/>
      </w:numPr>
      <w:spacing w:before="60" w:after="60" w:line="240" w:lineRule="exact"/>
    </w:pPr>
    <w:rPr>
      <w:rFonts w:eastAsia="Times New Roman"/>
      <w:b/>
      <w:szCs w:val="20"/>
      <w:lang w:eastAsia="en-GB"/>
    </w:rPr>
  </w:style>
  <w:style w:type="paragraph" w:customStyle="1" w:styleId="ListaDD2">
    <w:name w:val="Lista DD 2"/>
    <w:basedOn w:val="Normal"/>
    <w:rsid w:val="00224941"/>
    <w:pPr>
      <w:numPr>
        <w:ilvl w:val="1"/>
        <w:numId w:val="36"/>
      </w:numPr>
      <w:spacing w:before="60" w:after="60" w:line="240" w:lineRule="exact"/>
    </w:pPr>
    <w:rPr>
      <w:rFonts w:eastAsia="Times New Roman"/>
      <w:b/>
      <w:szCs w:val="20"/>
      <w:lang w:eastAsia="en-GB"/>
    </w:rPr>
  </w:style>
  <w:style w:type="paragraph" w:customStyle="1" w:styleId="ListaDD3">
    <w:name w:val="Lista DD 3"/>
    <w:basedOn w:val="Normal"/>
    <w:rsid w:val="00224941"/>
    <w:pPr>
      <w:numPr>
        <w:ilvl w:val="2"/>
        <w:numId w:val="36"/>
      </w:numPr>
      <w:spacing w:before="60" w:after="60"/>
    </w:pPr>
    <w:rPr>
      <w:rFonts w:eastAsia="Times New Roman"/>
      <w:i/>
      <w:sz w:val="16"/>
      <w:szCs w:val="20"/>
      <w:lang w:eastAsia="en-GB"/>
    </w:rPr>
  </w:style>
  <w:style w:type="paragraph" w:customStyle="1" w:styleId="ListaDD4">
    <w:name w:val="Lista DD 4"/>
    <w:basedOn w:val="Normal"/>
    <w:rsid w:val="00224941"/>
    <w:pPr>
      <w:numPr>
        <w:ilvl w:val="3"/>
        <w:numId w:val="36"/>
      </w:numPr>
      <w:spacing w:before="60" w:after="60"/>
    </w:pPr>
    <w:rPr>
      <w:rFonts w:eastAsia="Times New Roman"/>
      <w:i/>
      <w:sz w:val="16"/>
      <w:szCs w:val="20"/>
      <w:lang w:eastAsia="en-GB"/>
    </w:rPr>
  </w:style>
  <w:style w:type="paragraph" w:customStyle="1" w:styleId="ListaDD5">
    <w:name w:val="Lista DD 5"/>
    <w:basedOn w:val="Normal"/>
    <w:rsid w:val="00224941"/>
    <w:pPr>
      <w:numPr>
        <w:ilvl w:val="4"/>
        <w:numId w:val="36"/>
      </w:numPr>
      <w:spacing w:before="60" w:after="60"/>
    </w:pPr>
    <w:rPr>
      <w:rFonts w:eastAsia="Times New Roman"/>
      <w:i/>
      <w:sz w:val="16"/>
      <w:szCs w:val="20"/>
      <w:lang w:eastAsia="en-GB"/>
    </w:rPr>
  </w:style>
  <w:style w:type="paragraph" w:customStyle="1" w:styleId="ListaDD6">
    <w:name w:val="Lista DD 6"/>
    <w:basedOn w:val="Normal"/>
    <w:rsid w:val="00224941"/>
    <w:pPr>
      <w:numPr>
        <w:ilvl w:val="5"/>
        <w:numId w:val="36"/>
      </w:numPr>
      <w:spacing w:before="60" w:after="60"/>
    </w:pPr>
    <w:rPr>
      <w:rFonts w:eastAsia="Times New Roman"/>
      <w:i/>
      <w:sz w:val="16"/>
      <w:szCs w:val="20"/>
      <w:lang w:eastAsia="en-GB"/>
    </w:rPr>
  </w:style>
  <w:style w:type="paragraph" w:customStyle="1" w:styleId="ListaDDBody">
    <w:name w:val="Lista DD Body"/>
    <w:basedOn w:val="Normal"/>
    <w:qFormat/>
    <w:rsid w:val="00224941"/>
    <w:pPr>
      <w:spacing w:before="60" w:after="60"/>
    </w:pPr>
    <w:rPr>
      <w:rFonts w:eastAsia="Times New Roman"/>
      <w:i/>
      <w:sz w:val="16"/>
      <w:szCs w:val="20"/>
      <w:lang w:val="en-GB" w:eastAsia="en-GB"/>
    </w:rPr>
  </w:style>
  <w:style w:type="paragraph" w:customStyle="1" w:styleId="BicBody">
    <w:name w:val="BicBody"/>
    <w:basedOn w:val="Normal"/>
    <w:rsid w:val="00224941"/>
    <w:pPr>
      <w:spacing w:before="60" w:after="60"/>
    </w:pPr>
    <w:rPr>
      <w:rFonts w:eastAsia="Times New Roman"/>
      <w:i/>
      <w:sz w:val="16"/>
      <w:szCs w:val="12"/>
      <w:lang w:eastAsia="en-GB"/>
    </w:rPr>
  </w:style>
  <w:style w:type="paragraph" w:customStyle="1" w:styleId="Schedule1">
    <w:name w:val="Schedule 1"/>
    <w:basedOn w:val="Normal"/>
    <w:rsid w:val="00437261"/>
    <w:pPr>
      <w:numPr>
        <w:numId w:val="37"/>
      </w:numPr>
      <w:spacing w:after="140" w:line="290" w:lineRule="auto"/>
    </w:pPr>
    <w:rPr>
      <w:rFonts w:eastAsia="Times New Roman"/>
      <w:kern w:val="20"/>
      <w:lang w:eastAsia="en-GB"/>
    </w:rPr>
  </w:style>
  <w:style w:type="paragraph" w:customStyle="1" w:styleId="Schedule2">
    <w:name w:val="Schedule 2"/>
    <w:basedOn w:val="Normal"/>
    <w:rsid w:val="00437261"/>
    <w:pPr>
      <w:numPr>
        <w:ilvl w:val="1"/>
        <w:numId w:val="37"/>
      </w:numPr>
      <w:spacing w:after="140" w:line="290" w:lineRule="auto"/>
    </w:pPr>
    <w:rPr>
      <w:rFonts w:eastAsia="Times New Roman"/>
      <w:kern w:val="20"/>
      <w:lang w:eastAsia="en-GB"/>
    </w:rPr>
  </w:style>
  <w:style w:type="paragraph" w:customStyle="1" w:styleId="Schedule3">
    <w:name w:val="Schedule 3"/>
    <w:basedOn w:val="Normal"/>
    <w:rsid w:val="00437261"/>
    <w:pPr>
      <w:numPr>
        <w:ilvl w:val="2"/>
        <w:numId w:val="37"/>
      </w:numPr>
      <w:spacing w:after="140" w:line="290" w:lineRule="auto"/>
    </w:pPr>
    <w:rPr>
      <w:rFonts w:eastAsia="Times New Roman"/>
      <w:kern w:val="20"/>
      <w:lang w:eastAsia="en-GB"/>
    </w:rPr>
  </w:style>
  <w:style w:type="paragraph" w:customStyle="1" w:styleId="Schedule4">
    <w:name w:val="Schedule 4"/>
    <w:basedOn w:val="Normal"/>
    <w:rsid w:val="00437261"/>
    <w:pPr>
      <w:numPr>
        <w:ilvl w:val="3"/>
        <w:numId w:val="37"/>
      </w:numPr>
      <w:spacing w:after="140" w:line="290" w:lineRule="auto"/>
    </w:pPr>
    <w:rPr>
      <w:rFonts w:eastAsia="Times New Roman"/>
      <w:kern w:val="20"/>
      <w:lang w:eastAsia="en-GB"/>
    </w:rPr>
  </w:style>
  <w:style w:type="paragraph" w:customStyle="1" w:styleId="Schedule5">
    <w:name w:val="Schedule 5"/>
    <w:basedOn w:val="Normal"/>
    <w:rsid w:val="00437261"/>
    <w:pPr>
      <w:numPr>
        <w:ilvl w:val="4"/>
        <w:numId w:val="37"/>
      </w:numPr>
      <w:spacing w:after="140" w:line="290" w:lineRule="auto"/>
    </w:pPr>
    <w:rPr>
      <w:rFonts w:eastAsia="Times New Roman"/>
      <w:kern w:val="20"/>
      <w:lang w:eastAsia="en-GB"/>
    </w:rPr>
  </w:style>
  <w:style w:type="paragraph" w:customStyle="1" w:styleId="Schedule6">
    <w:name w:val="Schedule 6"/>
    <w:basedOn w:val="Normal"/>
    <w:rsid w:val="00437261"/>
    <w:pPr>
      <w:numPr>
        <w:ilvl w:val="5"/>
        <w:numId w:val="37"/>
      </w:numPr>
      <w:spacing w:after="140" w:line="290" w:lineRule="auto"/>
    </w:pPr>
    <w:rPr>
      <w:rFonts w:eastAsia="Times New Roman"/>
      <w:kern w:val="20"/>
      <w:lang w:eastAsia="en-GB"/>
    </w:rPr>
  </w:style>
  <w:style w:type="character" w:styleId="MquinadeescreverHTML">
    <w:name w:val="HTML Typewriter"/>
    <w:uiPriority w:val="99"/>
    <w:rsid w:val="005F54EC"/>
    <w:rPr>
      <w:rFonts w:ascii="Courier New" w:hAnsi="Courier New" w:cs="Courier New"/>
      <w:spacing w:val="0"/>
      <w:sz w:val="20"/>
      <w:szCs w:val="20"/>
      <w:lang w:val="pt-BR"/>
    </w:rPr>
  </w:style>
  <w:style w:type="table" w:customStyle="1" w:styleId="TableGrid1">
    <w:name w:val="Table Grid1"/>
    <w:basedOn w:val="Tabelanormal"/>
    <w:next w:val="Tabelacomgrade"/>
    <w:uiPriority w:val="59"/>
    <w:rsid w:val="00292286"/>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anormal"/>
    <w:next w:val="Tabelacomgrade"/>
    <w:uiPriority w:val="59"/>
    <w:rsid w:val="004030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rsid w:val="00C0245B"/>
    <w:pPr>
      <w:ind w:left="720"/>
      <w:contextualSpacing/>
    </w:pPr>
  </w:style>
  <w:style w:type="paragraph" w:customStyle="1" w:styleId="SchedApps">
    <w:name w:val="Sched/Apps"/>
    <w:basedOn w:val="Normal"/>
    <w:next w:val="Body"/>
    <w:rsid w:val="00632E2B"/>
    <w:pPr>
      <w:keepNext/>
      <w:pageBreakBefore/>
      <w:spacing w:after="240" w:line="290" w:lineRule="auto"/>
      <w:jc w:val="center"/>
      <w:outlineLvl w:val="3"/>
    </w:pPr>
    <w:rPr>
      <w:rFonts w:eastAsia="Times New Roman"/>
      <w:b/>
      <w:kern w:val="23"/>
      <w:sz w:val="23"/>
      <w:lang w:eastAsia="en-GB"/>
    </w:rPr>
  </w:style>
  <w:style w:type="character" w:customStyle="1" w:styleId="MenoPendente1">
    <w:name w:val="Menção Pendente1"/>
    <w:uiPriority w:val="99"/>
    <w:semiHidden/>
    <w:unhideWhenUsed/>
    <w:rsid w:val="00C81040"/>
    <w:rPr>
      <w:color w:val="605E5C"/>
      <w:shd w:val="clear" w:color="auto" w:fill="E1DFDD"/>
    </w:rPr>
  </w:style>
  <w:style w:type="paragraph" w:customStyle="1" w:styleId="bullet2">
    <w:name w:val="bullet 2"/>
    <w:basedOn w:val="Normal"/>
    <w:rsid w:val="002C484B"/>
    <w:pPr>
      <w:numPr>
        <w:numId w:val="38"/>
      </w:numPr>
      <w:spacing w:after="140" w:line="290" w:lineRule="auto"/>
      <w:jc w:val="both"/>
    </w:pPr>
    <w:rPr>
      <w:rFonts w:ascii="Tahoma" w:eastAsia="Times New Roman" w:hAnsi="Tahoma"/>
      <w:kern w:val="20"/>
      <w:sz w:val="20"/>
    </w:rPr>
  </w:style>
  <w:style w:type="paragraph" w:styleId="Assuntodocomentrio">
    <w:name w:val="annotation subject"/>
    <w:basedOn w:val="Textodecomentrio"/>
    <w:next w:val="Textodecomentrio"/>
    <w:link w:val="AssuntodocomentrioChar"/>
    <w:semiHidden/>
    <w:unhideWhenUsed/>
    <w:rsid w:val="003E13AA"/>
    <w:rPr>
      <w:b/>
      <w:bCs/>
      <w:sz w:val="20"/>
      <w:szCs w:val="20"/>
    </w:rPr>
  </w:style>
  <w:style w:type="character" w:customStyle="1" w:styleId="AssuntodocomentrioChar">
    <w:name w:val="Assunto do comentário Char"/>
    <w:link w:val="Assuntodocomentrio"/>
    <w:semiHidden/>
    <w:rsid w:val="003E13AA"/>
    <w:rPr>
      <w:rFonts w:ascii="Calibri" w:eastAsia="Calibri" w:hAnsi="Calibri" w:cs="Times New Roman"/>
      <w:b/>
      <w:bCs/>
      <w:lang w:val="en-US" w:eastAsia="en-US"/>
    </w:rPr>
  </w:style>
  <w:style w:type="paragraph" w:customStyle="1" w:styleId="roman4">
    <w:name w:val="roman 4"/>
    <w:basedOn w:val="Normal"/>
    <w:rsid w:val="00E806E8"/>
    <w:pPr>
      <w:numPr>
        <w:numId w:val="39"/>
      </w:numPr>
      <w:spacing w:after="140" w:line="290" w:lineRule="auto"/>
      <w:jc w:val="both"/>
    </w:pPr>
    <w:rPr>
      <w:rFonts w:ascii="Tahoma" w:eastAsia="Times New Roman" w:hAnsi="Tahoma"/>
      <w:kern w:val="20"/>
      <w:sz w:val="20"/>
      <w:szCs w:val="20"/>
    </w:rPr>
  </w:style>
  <w:style w:type="paragraph" w:customStyle="1" w:styleId="alpha6">
    <w:name w:val="alpha 6"/>
    <w:basedOn w:val="Normal"/>
    <w:rsid w:val="001F6D89"/>
    <w:pPr>
      <w:numPr>
        <w:numId w:val="40"/>
      </w:numPr>
      <w:spacing w:after="140" w:line="290" w:lineRule="auto"/>
      <w:jc w:val="both"/>
    </w:pPr>
    <w:rPr>
      <w:rFonts w:ascii="Tahoma" w:eastAsia="Times New Roman" w:hAnsi="Tahoma"/>
      <w:kern w:val="20"/>
      <w:sz w:val="20"/>
      <w:szCs w:val="20"/>
    </w:rPr>
  </w:style>
  <w:style w:type="paragraph" w:customStyle="1" w:styleId="TabeladeGrade31">
    <w:name w:val="Tabela de Grade 31"/>
    <w:basedOn w:val="Ttulo1"/>
    <w:next w:val="Normal"/>
    <w:uiPriority w:val="39"/>
    <w:unhideWhenUsed/>
    <w:qFormat/>
    <w:rsid w:val="00B0703E"/>
    <w:pPr>
      <w:keepLines/>
      <w:pageBreakBefore w:val="0"/>
      <w:spacing w:before="240"/>
      <w:jc w:val="left"/>
      <w:outlineLvl w:val="9"/>
    </w:pPr>
    <w:rPr>
      <w:rFonts w:ascii="Cambria" w:eastAsia="SimSun" w:hAnsi="Cambria"/>
      <w:b w:val="0"/>
      <w:bCs w:val="0"/>
      <w:caps w:val="0"/>
      <w:color w:val="365F91"/>
      <w:kern w:val="0"/>
      <w:sz w:val="32"/>
      <w:lang w:eastAsia="pt-BR"/>
    </w:rPr>
  </w:style>
  <w:style w:type="paragraph" w:styleId="Textodenotadefim">
    <w:name w:val="endnote text"/>
    <w:basedOn w:val="Normal"/>
    <w:link w:val="TextodenotadefimChar"/>
    <w:semiHidden/>
    <w:unhideWhenUsed/>
    <w:rsid w:val="0061430C"/>
    <w:rPr>
      <w:sz w:val="20"/>
      <w:szCs w:val="20"/>
    </w:rPr>
  </w:style>
  <w:style w:type="character" w:customStyle="1" w:styleId="TextodenotadefimChar">
    <w:name w:val="Texto de nota de fim Char"/>
    <w:link w:val="Textodenotadefim"/>
    <w:semiHidden/>
    <w:rsid w:val="0061430C"/>
    <w:rPr>
      <w:rFonts w:ascii="Calibri" w:eastAsia="Calibri" w:hAnsi="Calibri" w:cs="Times New Roman"/>
      <w:lang w:eastAsia="en-US"/>
    </w:rPr>
  </w:style>
  <w:style w:type="paragraph" w:customStyle="1" w:styleId="doublealpha">
    <w:name w:val="double alpha"/>
    <w:basedOn w:val="Normal"/>
    <w:rsid w:val="00F4571A"/>
    <w:pPr>
      <w:numPr>
        <w:numId w:val="46"/>
      </w:numPr>
      <w:spacing w:after="140" w:line="290" w:lineRule="auto"/>
      <w:jc w:val="both"/>
    </w:pPr>
    <w:rPr>
      <w:rFonts w:ascii="Tahoma" w:eastAsia="Times New Roman" w:hAnsi="Tahoma"/>
      <w:kern w:val="20"/>
      <w:sz w:val="20"/>
    </w:rPr>
  </w:style>
  <w:style w:type="paragraph" w:customStyle="1" w:styleId="alpha1">
    <w:name w:val="alpha 1"/>
    <w:basedOn w:val="Normal"/>
    <w:rsid w:val="00707F40"/>
    <w:pPr>
      <w:numPr>
        <w:numId w:val="48"/>
      </w:numPr>
      <w:spacing w:after="140" w:line="290" w:lineRule="auto"/>
      <w:jc w:val="both"/>
    </w:pPr>
    <w:rPr>
      <w:rFonts w:ascii="Tahoma" w:eastAsia="Times New Roman" w:hAnsi="Tahoma"/>
      <w:kern w:val="20"/>
      <w:sz w:val="20"/>
      <w:szCs w:val="20"/>
    </w:rPr>
  </w:style>
  <w:style w:type="paragraph" w:customStyle="1" w:styleId="UCRoman2">
    <w:name w:val="UCRoman 2"/>
    <w:basedOn w:val="Normal"/>
    <w:rsid w:val="00707F40"/>
    <w:pPr>
      <w:numPr>
        <w:numId w:val="49"/>
      </w:numPr>
      <w:spacing w:after="140" w:line="290" w:lineRule="auto"/>
      <w:jc w:val="both"/>
    </w:pPr>
    <w:rPr>
      <w:rFonts w:ascii="Tahoma" w:eastAsia="Times New Roman" w:hAnsi="Tahoma"/>
      <w:kern w:val="20"/>
      <w:sz w:val="20"/>
    </w:rPr>
  </w:style>
  <w:style w:type="paragraph" w:customStyle="1" w:styleId="bullet1">
    <w:name w:val="bullet 1"/>
    <w:basedOn w:val="Normal"/>
    <w:rsid w:val="004B4C40"/>
    <w:pPr>
      <w:numPr>
        <w:numId w:val="53"/>
      </w:numPr>
      <w:spacing w:after="140" w:line="290" w:lineRule="auto"/>
      <w:jc w:val="both"/>
    </w:pPr>
    <w:rPr>
      <w:rFonts w:ascii="Tahoma" w:eastAsia="Times New Roman" w:hAnsi="Tahoma"/>
      <w:kern w:val="20"/>
      <w:sz w:val="20"/>
    </w:rPr>
  </w:style>
  <w:style w:type="paragraph" w:customStyle="1" w:styleId="titulofatores">
    <w:name w:val="titulo fatores"/>
    <w:basedOn w:val="Ttulo9"/>
    <w:link w:val="titulofatoresChar"/>
    <w:rsid w:val="00273B05"/>
    <w:pPr>
      <w:widowControl w:val="0"/>
      <w:spacing w:after="140" w:line="290" w:lineRule="auto"/>
      <w:jc w:val="both"/>
    </w:pPr>
    <w:rPr>
      <w:rFonts w:eastAsia="Times New Roman" w:cs="Calibri"/>
      <w:b/>
      <w:lang w:eastAsia="pt-BR"/>
    </w:rPr>
  </w:style>
  <w:style w:type="paragraph" w:customStyle="1" w:styleId="estilofatoressssssssss">
    <w:name w:val="estilo fatoressssssssss"/>
    <w:basedOn w:val="Ttulo4"/>
    <w:link w:val="estilofatoressssssssssChar"/>
    <w:qFormat/>
    <w:rsid w:val="004B38F3"/>
  </w:style>
  <w:style w:type="character" w:customStyle="1" w:styleId="titulofatoresChar">
    <w:name w:val="titulo fatores Char"/>
    <w:link w:val="titulofatores"/>
    <w:rsid w:val="00273B05"/>
    <w:rPr>
      <w:rFonts w:ascii="Calibri" w:eastAsia="Times New Roman" w:hAnsi="Calibri" w:cs="Calibri"/>
      <w:b/>
      <w:i/>
      <w:sz w:val="22"/>
      <w:szCs w:val="24"/>
      <w:lang w:val="en-US" w:eastAsia="en-US"/>
    </w:rPr>
  </w:style>
  <w:style w:type="character" w:customStyle="1" w:styleId="estilofatoressssssssssChar">
    <w:name w:val="estilo fatoressssssssss Char"/>
    <w:link w:val="estilofatoressssssssss"/>
    <w:rsid w:val="004B38F3"/>
    <w:rPr>
      <w:rFonts w:ascii="Calibri" w:hAnsi="Calibri" w:cs="Times New Roman"/>
      <w:b/>
      <w:bCs/>
      <w:i/>
      <w:sz w:val="22"/>
      <w:szCs w:val="28"/>
      <w:lang w:val="en-US" w:eastAsia="en-US"/>
    </w:rPr>
  </w:style>
  <w:style w:type="paragraph" w:customStyle="1" w:styleId="alpha3">
    <w:name w:val="alpha 3"/>
    <w:basedOn w:val="Normal"/>
    <w:rsid w:val="00651DA8"/>
    <w:pPr>
      <w:numPr>
        <w:numId w:val="59"/>
      </w:numPr>
      <w:spacing w:after="140" w:line="290" w:lineRule="auto"/>
      <w:jc w:val="both"/>
    </w:pPr>
    <w:rPr>
      <w:rFonts w:ascii="Tahoma" w:eastAsia="Times New Roman" w:hAnsi="Tahoma"/>
      <w:kern w:val="20"/>
      <w:sz w:val="20"/>
      <w:szCs w:val="20"/>
    </w:rPr>
  </w:style>
  <w:style w:type="paragraph" w:styleId="Legenda">
    <w:name w:val="caption"/>
    <w:basedOn w:val="Normal"/>
    <w:next w:val="Normal"/>
    <w:qFormat/>
    <w:rsid w:val="00E877D3"/>
    <w:rPr>
      <w:b/>
      <w:bCs/>
      <w:sz w:val="20"/>
      <w:szCs w:val="20"/>
    </w:rPr>
  </w:style>
  <w:style w:type="paragraph" w:customStyle="1" w:styleId="finalfatoresderisco">
    <w:name w:val="final fatores de risco"/>
    <w:basedOn w:val="Normal"/>
    <w:link w:val="finalfatoresderiscoChar"/>
    <w:qFormat/>
    <w:rsid w:val="00DD45AE"/>
    <w:pPr>
      <w:jc w:val="both"/>
    </w:pPr>
    <w:rPr>
      <w:rFonts w:cs="Calibri"/>
      <w:caps/>
    </w:rPr>
  </w:style>
  <w:style w:type="paragraph" w:styleId="Reviso">
    <w:name w:val="Revision"/>
    <w:hidden/>
    <w:rsid w:val="008F141A"/>
    <w:rPr>
      <w:rFonts w:ascii="Calibri" w:eastAsia="SimSun" w:hAnsi="Calibri"/>
      <w:sz w:val="24"/>
      <w:szCs w:val="24"/>
    </w:rPr>
  </w:style>
  <w:style w:type="character" w:customStyle="1" w:styleId="finalfatoresderiscoChar">
    <w:name w:val="final fatores de risco Char"/>
    <w:link w:val="finalfatoresderisco"/>
    <w:rsid w:val="00DD45AE"/>
    <w:rPr>
      <w:rFonts w:ascii="Calibri" w:eastAsia="SimSun" w:hAnsi="Calibri" w:cs="Calibri"/>
      <w:caps/>
      <w:sz w:val="24"/>
      <w:szCs w:val="24"/>
      <w:lang w:val="en-US" w:eastAsia="en-US"/>
    </w:rPr>
  </w:style>
  <w:style w:type="character" w:styleId="MenoPendente">
    <w:name w:val="Unresolved Mention"/>
    <w:basedOn w:val="Fontepargpadro"/>
    <w:uiPriority w:val="99"/>
    <w:semiHidden/>
    <w:unhideWhenUsed/>
    <w:rsid w:val="00E85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5">
      <w:bodyDiv w:val="1"/>
      <w:marLeft w:val="0"/>
      <w:marRight w:val="0"/>
      <w:marTop w:val="0"/>
      <w:marBottom w:val="0"/>
      <w:divBdr>
        <w:top w:val="none" w:sz="0" w:space="0" w:color="auto"/>
        <w:left w:val="none" w:sz="0" w:space="0" w:color="auto"/>
        <w:bottom w:val="none" w:sz="0" w:space="0" w:color="auto"/>
        <w:right w:val="none" w:sz="0" w:space="0" w:color="auto"/>
      </w:divBdr>
    </w:div>
    <w:div w:id="72549151">
      <w:bodyDiv w:val="1"/>
      <w:marLeft w:val="0"/>
      <w:marRight w:val="0"/>
      <w:marTop w:val="0"/>
      <w:marBottom w:val="0"/>
      <w:divBdr>
        <w:top w:val="none" w:sz="0" w:space="0" w:color="auto"/>
        <w:left w:val="none" w:sz="0" w:space="0" w:color="auto"/>
        <w:bottom w:val="none" w:sz="0" w:space="0" w:color="auto"/>
        <w:right w:val="none" w:sz="0" w:space="0" w:color="auto"/>
      </w:divBdr>
    </w:div>
    <w:div w:id="79834023">
      <w:bodyDiv w:val="1"/>
      <w:marLeft w:val="0"/>
      <w:marRight w:val="0"/>
      <w:marTop w:val="0"/>
      <w:marBottom w:val="0"/>
      <w:divBdr>
        <w:top w:val="none" w:sz="0" w:space="0" w:color="auto"/>
        <w:left w:val="none" w:sz="0" w:space="0" w:color="auto"/>
        <w:bottom w:val="none" w:sz="0" w:space="0" w:color="auto"/>
        <w:right w:val="none" w:sz="0" w:space="0" w:color="auto"/>
      </w:divBdr>
    </w:div>
    <w:div w:id="138033213">
      <w:bodyDiv w:val="1"/>
      <w:marLeft w:val="0"/>
      <w:marRight w:val="0"/>
      <w:marTop w:val="0"/>
      <w:marBottom w:val="0"/>
      <w:divBdr>
        <w:top w:val="none" w:sz="0" w:space="0" w:color="auto"/>
        <w:left w:val="none" w:sz="0" w:space="0" w:color="auto"/>
        <w:bottom w:val="none" w:sz="0" w:space="0" w:color="auto"/>
        <w:right w:val="none" w:sz="0" w:space="0" w:color="auto"/>
      </w:divBdr>
    </w:div>
    <w:div w:id="218983785">
      <w:bodyDiv w:val="1"/>
      <w:marLeft w:val="0"/>
      <w:marRight w:val="0"/>
      <w:marTop w:val="0"/>
      <w:marBottom w:val="0"/>
      <w:divBdr>
        <w:top w:val="none" w:sz="0" w:space="0" w:color="auto"/>
        <w:left w:val="none" w:sz="0" w:space="0" w:color="auto"/>
        <w:bottom w:val="none" w:sz="0" w:space="0" w:color="auto"/>
        <w:right w:val="none" w:sz="0" w:space="0" w:color="auto"/>
      </w:divBdr>
    </w:div>
    <w:div w:id="226918237">
      <w:bodyDiv w:val="1"/>
      <w:marLeft w:val="0"/>
      <w:marRight w:val="0"/>
      <w:marTop w:val="0"/>
      <w:marBottom w:val="0"/>
      <w:divBdr>
        <w:top w:val="none" w:sz="0" w:space="0" w:color="auto"/>
        <w:left w:val="none" w:sz="0" w:space="0" w:color="auto"/>
        <w:bottom w:val="none" w:sz="0" w:space="0" w:color="auto"/>
        <w:right w:val="none" w:sz="0" w:space="0" w:color="auto"/>
      </w:divBdr>
    </w:div>
    <w:div w:id="277687697">
      <w:bodyDiv w:val="1"/>
      <w:marLeft w:val="0"/>
      <w:marRight w:val="0"/>
      <w:marTop w:val="0"/>
      <w:marBottom w:val="0"/>
      <w:divBdr>
        <w:top w:val="none" w:sz="0" w:space="0" w:color="auto"/>
        <w:left w:val="none" w:sz="0" w:space="0" w:color="auto"/>
        <w:bottom w:val="none" w:sz="0" w:space="0" w:color="auto"/>
        <w:right w:val="none" w:sz="0" w:space="0" w:color="auto"/>
      </w:divBdr>
    </w:div>
    <w:div w:id="361829985">
      <w:bodyDiv w:val="1"/>
      <w:marLeft w:val="0"/>
      <w:marRight w:val="0"/>
      <w:marTop w:val="0"/>
      <w:marBottom w:val="0"/>
      <w:divBdr>
        <w:top w:val="none" w:sz="0" w:space="0" w:color="auto"/>
        <w:left w:val="none" w:sz="0" w:space="0" w:color="auto"/>
        <w:bottom w:val="none" w:sz="0" w:space="0" w:color="auto"/>
        <w:right w:val="none" w:sz="0" w:space="0" w:color="auto"/>
      </w:divBdr>
    </w:div>
    <w:div w:id="433945306">
      <w:bodyDiv w:val="1"/>
      <w:marLeft w:val="0"/>
      <w:marRight w:val="0"/>
      <w:marTop w:val="0"/>
      <w:marBottom w:val="0"/>
      <w:divBdr>
        <w:top w:val="none" w:sz="0" w:space="0" w:color="auto"/>
        <w:left w:val="none" w:sz="0" w:space="0" w:color="auto"/>
        <w:bottom w:val="none" w:sz="0" w:space="0" w:color="auto"/>
        <w:right w:val="none" w:sz="0" w:space="0" w:color="auto"/>
      </w:divBdr>
    </w:div>
    <w:div w:id="498736174">
      <w:bodyDiv w:val="1"/>
      <w:marLeft w:val="0"/>
      <w:marRight w:val="0"/>
      <w:marTop w:val="0"/>
      <w:marBottom w:val="0"/>
      <w:divBdr>
        <w:top w:val="none" w:sz="0" w:space="0" w:color="auto"/>
        <w:left w:val="none" w:sz="0" w:space="0" w:color="auto"/>
        <w:bottom w:val="none" w:sz="0" w:space="0" w:color="auto"/>
        <w:right w:val="none" w:sz="0" w:space="0" w:color="auto"/>
      </w:divBdr>
    </w:div>
    <w:div w:id="501774563">
      <w:bodyDiv w:val="1"/>
      <w:marLeft w:val="0"/>
      <w:marRight w:val="0"/>
      <w:marTop w:val="0"/>
      <w:marBottom w:val="0"/>
      <w:divBdr>
        <w:top w:val="none" w:sz="0" w:space="0" w:color="auto"/>
        <w:left w:val="none" w:sz="0" w:space="0" w:color="auto"/>
        <w:bottom w:val="none" w:sz="0" w:space="0" w:color="auto"/>
        <w:right w:val="none" w:sz="0" w:space="0" w:color="auto"/>
      </w:divBdr>
    </w:div>
    <w:div w:id="529997578">
      <w:bodyDiv w:val="1"/>
      <w:marLeft w:val="0"/>
      <w:marRight w:val="0"/>
      <w:marTop w:val="0"/>
      <w:marBottom w:val="0"/>
      <w:divBdr>
        <w:top w:val="none" w:sz="0" w:space="0" w:color="auto"/>
        <w:left w:val="none" w:sz="0" w:space="0" w:color="auto"/>
        <w:bottom w:val="none" w:sz="0" w:space="0" w:color="auto"/>
        <w:right w:val="none" w:sz="0" w:space="0" w:color="auto"/>
      </w:divBdr>
    </w:div>
    <w:div w:id="535509104">
      <w:bodyDiv w:val="1"/>
      <w:marLeft w:val="0"/>
      <w:marRight w:val="0"/>
      <w:marTop w:val="0"/>
      <w:marBottom w:val="0"/>
      <w:divBdr>
        <w:top w:val="none" w:sz="0" w:space="0" w:color="auto"/>
        <w:left w:val="none" w:sz="0" w:space="0" w:color="auto"/>
        <w:bottom w:val="none" w:sz="0" w:space="0" w:color="auto"/>
        <w:right w:val="none" w:sz="0" w:space="0" w:color="auto"/>
      </w:divBdr>
    </w:div>
    <w:div w:id="580062421">
      <w:bodyDiv w:val="1"/>
      <w:marLeft w:val="0"/>
      <w:marRight w:val="0"/>
      <w:marTop w:val="0"/>
      <w:marBottom w:val="0"/>
      <w:divBdr>
        <w:top w:val="none" w:sz="0" w:space="0" w:color="auto"/>
        <w:left w:val="none" w:sz="0" w:space="0" w:color="auto"/>
        <w:bottom w:val="none" w:sz="0" w:space="0" w:color="auto"/>
        <w:right w:val="none" w:sz="0" w:space="0" w:color="auto"/>
      </w:divBdr>
    </w:div>
    <w:div w:id="621765051">
      <w:bodyDiv w:val="1"/>
      <w:marLeft w:val="0"/>
      <w:marRight w:val="0"/>
      <w:marTop w:val="0"/>
      <w:marBottom w:val="0"/>
      <w:divBdr>
        <w:top w:val="none" w:sz="0" w:space="0" w:color="auto"/>
        <w:left w:val="none" w:sz="0" w:space="0" w:color="auto"/>
        <w:bottom w:val="none" w:sz="0" w:space="0" w:color="auto"/>
        <w:right w:val="none" w:sz="0" w:space="0" w:color="auto"/>
      </w:divBdr>
    </w:div>
    <w:div w:id="621961393">
      <w:bodyDiv w:val="1"/>
      <w:marLeft w:val="0"/>
      <w:marRight w:val="0"/>
      <w:marTop w:val="0"/>
      <w:marBottom w:val="0"/>
      <w:divBdr>
        <w:top w:val="none" w:sz="0" w:space="0" w:color="auto"/>
        <w:left w:val="none" w:sz="0" w:space="0" w:color="auto"/>
        <w:bottom w:val="none" w:sz="0" w:space="0" w:color="auto"/>
        <w:right w:val="none" w:sz="0" w:space="0" w:color="auto"/>
      </w:divBdr>
    </w:div>
    <w:div w:id="693070653">
      <w:bodyDiv w:val="1"/>
      <w:marLeft w:val="0"/>
      <w:marRight w:val="0"/>
      <w:marTop w:val="0"/>
      <w:marBottom w:val="0"/>
      <w:divBdr>
        <w:top w:val="none" w:sz="0" w:space="0" w:color="auto"/>
        <w:left w:val="none" w:sz="0" w:space="0" w:color="auto"/>
        <w:bottom w:val="none" w:sz="0" w:space="0" w:color="auto"/>
        <w:right w:val="none" w:sz="0" w:space="0" w:color="auto"/>
      </w:divBdr>
    </w:div>
    <w:div w:id="725638793">
      <w:bodyDiv w:val="1"/>
      <w:marLeft w:val="0"/>
      <w:marRight w:val="0"/>
      <w:marTop w:val="0"/>
      <w:marBottom w:val="0"/>
      <w:divBdr>
        <w:top w:val="none" w:sz="0" w:space="0" w:color="auto"/>
        <w:left w:val="none" w:sz="0" w:space="0" w:color="auto"/>
        <w:bottom w:val="none" w:sz="0" w:space="0" w:color="auto"/>
        <w:right w:val="none" w:sz="0" w:space="0" w:color="auto"/>
      </w:divBdr>
    </w:div>
    <w:div w:id="734396586">
      <w:bodyDiv w:val="1"/>
      <w:marLeft w:val="0"/>
      <w:marRight w:val="0"/>
      <w:marTop w:val="0"/>
      <w:marBottom w:val="0"/>
      <w:divBdr>
        <w:top w:val="none" w:sz="0" w:space="0" w:color="auto"/>
        <w:left w:val="none" w:sz="0" w:space="0" w:color="auto"/>
        <w:bottom w:val="none" w:sz="0" w:space="0" w:color="auto"/>
        <w:right w:val="none" w:sz="0" w:space="0" w:color="auto"/>
      </w:divBdr>
    </w:div>
    <w:div w:id="788932972">
      <w:bodyDiv w:val="1"/>
      <w:marLeft w:val="0"/>
      <w:marRight w:val="0"/>
      <w:marTop w:val="0"/>
      <w:marBottom w:val="0"/>
      <w:divBdr>
        <w:top w:val="none" w:sz="0" w:space="0" w:color="auto"/>
        <w:left w:val="none" w:sz="0" w:space="0" w:color="auto"/>
        <w:bottom w:val="none" w:sz="0" w:space="0" w:color="auto"/>
        <w:right w:val="none" w:sz="0" w:space="0" w:color="auto"/>
      </w:divBdr>
    </w:div>
    <w:div w:id="819536375">
      <w:bodyDiv w:val="1"/>
      <w:marLeft w:val="0"/>
      <w:marRight w:val="0"/>
      <w:marTop w:val="0"/>
      <w:marBottom w:val="0"/>
      <w:divBdr>
        <w:top w:val="none" w:sz="0" w:space="0" w:color="auto"/>
        <w:left w:val="none" w:sz="0" w:space="0" w:color="auto"/>
        <w:bottom w:val="none" w:sz="0" w:space="0" w:color="auto"/>
        <w:right w:val="none" w:sz="0" w:space="0" w:color="auto"/>
      </w:divBdr>
    </w:div>
    <w:div w:id="841160961">
      <w:bodyDiv w:val="1"/>
      <w:marLeft w:val="0"/>
      <w:marRight w:val="0"/>
      <w:marTop w:val="0"/>
      <w:marBottom w:val="0"/>
      <w:divBdr>
        <w:top w:val="none" w:sz="0" w:space="0" w:color="auto"/>
        <w:left w:val="none" w:sz="0" w:space="0" w:color="auto"/>
        <w:bottom w:val="none" w:sz="0" w:space="0" w:color="auto"/>
        <w:right w:val="none" w:sz="0" w:space="0" w:color="auto"/>
      </w:divBdr>
    </w:div>
    <w:div w:id="868299318">
      <w:bodyDiv w:val="1"/>
      <w:marLeft w:val="0"/>
      <w:marRight w:val="0"/>
      <w:marTop w:val="0"/>
      <w:marBottom w:val="0"/>
      <w:divBdr>
        <w:top w:val="none" w:sz="0" w:space="0" w:color="auto"/>
        <w:left w:val="none" w:sz="0" w:space="0" w:color="auto"/>
        <w:bottom w:val="none" w:sz="0" w:space="0" w:color="auto"/>
        <w:right w:val="none" w:sz="0" w:space="0" w:color="auto"/>
      </w:divBdr>
    </w:div>
    <w:div w:id="870924042">
      <w:bodyDiv w:val="1"/>
      <w:marLeft w:val="0"/>
      <w:marRight w:val="0"/>
      <w:marTop w:val="0"/>
      <w:marBottom w:val="0"/>
      <w:divBdr>
        <w:top w:val="none" w:sz="0" w:space="0" w:color="auto"/>
        <w:left w:val="none" w:sz="0" w:space="0" w:color="auto"/>
        <w:bottom w:val="none" w:sz="0" w:space="0" w:color="auto"/>
        <w:right w:val="none" w:sz="0" w:space="0" w:color="auto"/>
      </w:divBdr>
    </w:div>
    <w:div w:id="979725627">
      <w:bodyDiv w:val="1"/>
      <w:marLeft w:val="0"/>
      <w:marRight w:val="0"/>
      <w:marTop w:val="0"/>
      <w:marBottom w:val="0"/>
      <w:divBdr>
        <w:top w:val="none" w:sz="0" w:space="0" w:color="auto"/>
        <w:left w:val="none" w:sz="0" w:space="0" w:color="auto"/>
        <w:bottom w:val="none" w:sz="0" w:space="0" w:color="auto"/>
        <w:right w:val="none" w:sz="0" w:space="0" w:color="auto"/>
      </w:divBdr>
    </w:div>
    <w:div w:id="1001809107">
      <w:bodyDiv w:val="1"/>
      <w:marLeft w:val="0"/>
      <w:marRight w:val="0"/>
      <w:marTop w:val="0"/>
      <w:marBottom w:val="0"/>
      <w:divBdr>
        <w:top w:val="none" w:sz="0" w:space="0" w:color="auto"/>
        <w:left w:val="none" w:sz="0" w:space="0" w:color="auto"/>
        <w:bottom w:val="none" w:sz="0" w:space="0" w:color="auto"/>
        <w:right w:val="none" w:sz="0" w:space="0" w:color="auto"/>
      </w:divBdr>
    </w:div>
    <w:div w:id="1047141750">
      <w:bodyDiv w:val="1"/>
      <w:marLeft w:val="0"/>
      <w:marRight w:val="0"/>
      <w:marTop w:val="0"/>
      <w:marBottom w:val="0"/>
      <w:divBdr>
        <w:top w:val="none" w:sz="0" w:space="0" w:color="auto"/>
        <w:left w:val="none" w:sz="0" w:space="0" w:color="auto"/>
        <w:bottom w:val="none" w:sz="0" w:space="0" w:color="auto"/>
        <w:right w:val="none" w:sz="0" w:space="0" w:color="auto"/>
      </w:divBdr>
    </w:div>
    <w:div w:id="1066301063">
      <w:bodyDiv w:val="1"/>
      <w:marLeft w:val="0"/>
      <w:marRight w:val="0"/>
      <w:marTop w:val="0"/>
      <w:marBottom w:val="0"/>
      <w:divBdr>
        <w:top w:val="none" w:sz="0" w:space="0" w:color="auto"/>
        <w:left w:val="none" w:sz="0" w:space="0" w:color="auto"/>
        <w:bottom w:val="none" w:sz="0" w:space="0" w:color="auto"/>
        <w:right w:val="none" w:sz="0" w:space="0" w:color="auto"/>
      </w:divBdr>
    </w:div>
    <w:div w:id="1122960967">
      <w:bodyDiv w:val="1"/>
      <w:marLeft w:val="0"/>
      <w:marRight w:val="0"/>
      <w:marTop w:val="0"/>
      <w:marBottom w:val="0"/>
      <w:divBdr>
        <w:top w:val="none" w:sz="0" w:space="0" w:color="auto"/>
        <w:left w:val="none" w:sz="0" w:space="0" w:color="auto"/>
        <w:bottom w:val="none" w:sz="0" w:space="0" w:color="auto"/>
        <w:right w:val="none" w:sz="0" w:space="0" w:color="auto"/>
      </w:divBdr>
    </w:div>
    <w:div w:id="1134326471">
      <w:bodyDiv w:val="1"/>
      <w:marLeft w:val="0"/>
      <w:marRight w:val="0"/>
      <w:marTop w:val="0"/>
      <w:marBottom w:val="0"/>
      <w:divBdr>
        <w:top w:val="none" w:sz="0" w:space="0" w:color="auto"/>
        <w:left w:val="none" w:sz="0" w:space="0" w:color="auto"/>
        <w:bottom w:val="none" w:sz="0" w:space="0" w:color="auto"/>
        <w:right w:val="none" w:sz="0" w:space="0" w:color="auto"/>
      </w:divBdr>
    </w:div>
    <w:div w:id="1148010012">
      <w:bodyDiv w:val="1"/>
      <w:marLeft w:val="0"/>
      <w:marRight w:val="0"/>
      <w:marTop w:val="0"/>
      <w:marBottom w:val="0"/>
      <w:divBdr>
        <w:top w:val="none" w:sz="0" w:space="0" w:color="auto"/>
        <w:left w:val="none" w:sz="0" w:space="0" w:color="auto"/>
        <w:bottom w:val="none" w:sz="0" w:space="0" w:color="auto"/>
        <w:right w:val="none" w:sz="0" w:space="0" w:color="auto"/>
      </w:divBdr>
    </w:div>
    <w:div w:id="1215119851">
      <w:bodyDiv w:val="1"/>
      <w:marLeft w:val="0"/>
      <w:marRight w:val="0"/>
      <w:marTop w:val="0"/>
      <w:marBottom w:val="0"/>
      <w:divBdr>
        <w:top w:val="none" w:sz="0" w:space="0" w:color="auto"/>
        <w:left w:val="none" w:sz="0" w:space="0" w:color="auto"/>
        <w:bottom w:val="none" w:sz="0" w:space="0" w:color="auto"/>
        <w:right w:val="none" w:sz="0" w:space="0" w:color="auto"/>
      </w:divBdr>
    </w:div>
    <w:div w:id="1253586283">
      <w:bodyDiv w:val="1"/>
      <w:marLeft w:val="0"/>
      <w:marRight w:val="0"/>
      <w:marTop w:val="0"/>
      <w:marBottom w:val="0"/>
      <w:divBdr>
        <w:top w:val="none" w:sz="0" w:space="0" w:color="auto"/>
        <w:left w:val="none" w:sz="0" w:space="0" w:color="auto"/>
        <w:bottom w:val="none" w:sz="0" w:space="0" w:color="auto"/>
        <w:right w:val="none" w:sz="0" w:space="0" w:color="auto"/>
      </w:divBdr>
    </w:div>
    <w:div w:id="1260412792">
      <w:bodyDiv w:val="1"/>
      <w:marLeft w:val="0"/>
      <w:marRight w:val="0"/>
      <w:marTop w:val="0"/>
      <w:marBottom w:val="0"/>
      <w:divBdr>
        <w:top w:val="none" w:sz="0" w:space="0" w:color="auto"/>
        <w:left w:val="none" w:sz="0" w:space="0" w:color="auto"/>
        <w:bottom w:val="none" w:sz="0" w:space="0" w:color="auto"/>
        <w:right w:val="none" w:sz="0" w:space="0" w:color="auto"/>
      </w:divBdr>
    </w:div>
    <w:div w:id="1266765160">
      <w:bodyDiv w:val="1"/>
      <w:marLeft w:val="0"/>
      <w:marRight w:val="0"/>
      <w:marTop w:val="0"/>
      <w:marBottom w:val="0"/>
      <w:divBdr>
        <w:top w:val="none" w:sz="0" w:space="0" w:color="auto"/>
        <w:left w:val="none" w:sz="0" w:space="0" w:color="auto"/>
        <w:bottom w:val="none" w:sz="0" w:space="0" w:color="auto"/>
        <w:right w:val="none" w:sz="0" w:space="0" w:color="auto"/>
      </w:divBdr>
    </w:div>
    <w:div w:id="1291403736">
      <w:bodyDiv w:val="1"/>
      <w:marLeft w:val="0"/>
      <w:marRight w:val="0"/>
      <w:marTop w:val="0"/>
      <w:marBottom w:val="0"/>
      <w:divBdr>
        <w:top w:val="none" w:sz="0" w:space="0" w:color="auto"/>
        <w:left w:val="none" w:sz="0" w:space="0" w:color="auto"/>
        <w:bottom w:val="none" w:sz="0" w:space="0" w:color="auto"/>
        <w:right w:val="none" w:sz="0" w:space="0" w:color="auto"/>
      </w:divBdr>
    </w:div>
    <w:div w:id="1355571564">
      <w:bodyDiv w:val="1"/>
      <w:marLeft w:val="0"/>
      <w:marRight w:val="0"/>
      <w:marTop w:val="0"/>
      <w:marBottom w:val="0"/>
      <w:divBdr>
        <w:top w:val="none" w:sz="0" w:space="0" w:color="auto"/>
        <w:left w:val="none" w:sz="0" w:space="0" w:color="auto"/>
        <w:bottom w:val="none" w:sz="0" w:space="0" w:color="auto"/>
        <w:right w:val="none" w:sz="0" w:space="0" w:color="auto"/>
      </w:divBdr>
    </w:div>
    <w:div w:id="1378974403">
      <w:bodyDiv w:val="1"/>
      <w:marLeft w:val="0"/>
      <w:marRight w:val="0"/>
      <w:marTop w:val="0"/>
      <w:marBottom w:val="0"/>
      <w:divBdr>
        <w:top w:val="none" w:sz="0" w:space="0" w:color="auto"/>
        <w:left w:val="none" w:sz="0" w:space="0" w:color="auto"/>
        <w:bottom w:val="none" w:sz="0" w:space="0" w:color="auto"/>
        <w:right w:val="none" w:sz="0" w:space="0" w:color="auto"/>
      </w:divBdr>
    </w:div>
    <w:div w:id="1404256010">
      <w:bodyDiv w:val="1"/>
      <w:marLeft w:val="0"/>
      <w:marRight w:val="0"/>
      <w:marTop w:val="0"/>
      <w:marBottom w:val="0"/>
      <w:divBdr>
        <w:top w:val="none" w:sz="0" w:space="0" w:color="auto"/>
        <w:left w:val="none" w:sz="0" w:space="0" w:color="auto"/>
        <w:bottom w:val="none" w:sz="0" w:space="0" w:color="auto"/>
        <w:right w:val="none" w:sz="0" w:space="0" w:color="auto"/>
      </w:divBdr>
    </w:div>
    <w:div w:id="1418937939">
      <w:bodyDiv w:val="1"/>
      <w:marLeft w:val="0"/>
      <w:marRight w:val="0"/>
      <w:marTop w:val="0"/>
      <w:marBottom w:val="0"/>
      <w:divBdr>
        <w:top w:val="none" w:sz="0" w:space="0" w:color="auto"/>
        <w:left w:val="none" w:sz="0" w:space="0" w:color="auto"/>
        <w:bottom w:val="none" w:sz="0" w:space="0" w:color="auto"/>
        <w:right w:val="none" w:sz="0" w:space="0" w:color="auto"/>
      </w:divBdr>
    </w:div>
    <w:div w:id="1451514582">
      <w:bodyDiv w:val="1"/>
      <w:marLeft w:val="0"/>
      <w:marRight w:val="0"/>
      <w:marTop w:val="0"/>
      <w:marBottom w:val="0"/>
      <w:divBdr>
        <w:top w:val="none" w:sz="0" w:space="0" w:color="auto"/>
        <w:left w:val="none" w:sz="0" w:space="0" w:color="auto"/>
        <w:bottom w:val="none" w:sz="0" w:space="0" w:color="auto"/>
        <w:right w:val="none" w:sz="0" w:space="0" w:color="auto"/>
      </w:divBdr>
    </w:div>
    <w:div w:id="1462067731">
      <w:bodyDiv w:val="1"/>
      <w:marLeft w:val="0"/>
      <w:marRight w:val="0"/>
      <w:marTop w:val="0"/>
      <w:marBottom w:val="0"/>
      <w:divBdr>
        <w:top w:val="none" w:sz="0" w:space="0" w:color="auto"/>
        <w:left w:val="none" w:sz="0" w:space="0" w:color="auto"/>
        <w:bottom w:val="none" w:sz="0" w:space="0" w:color="auto"/>
        <w:right w:val="none" w:sz="0" w:space="0" w:color="auto"/>
      </w:divBdr>
    </w:div>
    <w:div w:id="1480804450">
      <w:bodyDiv w:val="1"/>
      <w:marLeft w:val="0"/>
      <w:marRight w:val="0"/>
      <w:marTop w:val="0"/>
      <w:marBottom w:val="0"/>
      <w:divBdr>
        <w:top w:val="none" w:sz="0" w:space="0" w:color="auto"/>
        <w:left w:val="none" w:sz="0" w:space="0" w:color="auto"/>
        <w:bottom w:val="none" w:sz="0" w:space="0" w:color="auto"/>
        <w:right w:val="none" w:sz="0" w:space="0" w:color="auto"/>
      </w:divBdr>
    </w:div>
    <w:div w:id="1565867882">
      <w:bodyDiv w:val="1"/>
      <w:marLeft w:val="0"/>
      <w:marRight w:val="0"/>
      <w:marTop w:val="0"/>
      <w:marBottom w:val="0"/>
      <w:divBdr>
        <w:top w:val="none" w:sz="0" w:space="0" w:color="auto"/>
        <w:left w:val="none" w:sz="0" w:space="0" w:color="auto"/>
        <w:bottom w:val="none" w:sz="0" w:space="0" w:color="auto"/>
        <w:right w:val="none" w:sz="0" w:space="0" w:color="auto"/>
      </w:divBdr>
    </w:div>
    <w:div w:id="1594360951">
      <w:bodyDiv w:val="1"/>
      <w:marLeft w:val="0"/>
      <w:marRight w:val="0"/>
      <w:marTop w:val="0"/>
      <w:marBottom w:val="0"/>
      <w:divBdr>
        <w:top w:val="none" w:sz="0" w:space="0" w:color="auto"/>
        <w:left w:val="none" w:sz="0" w:space="0" w:color="auto"/>
        <w:bottom w:val="none" w:sz="0" w:space="0" w:color="auto"/>
        <w:right w:val="none" w:sz="0" w:space="0" w:color="auto"/>
      </w:divBdr>
    </w:div>
    <w:div w:id="1632444651">
      <w:bodyDiv w:val="1"/>
      <w:marLeft w:val="0"/>
      <w:marRight w:val="0"/>
      <w:marTop w:val="0"/>
      <w:marBottom w:val="0"/>
      <w:divBdr>
        <w:top w:val="none" w:sz="0" w:space="0" w:color="auto"/>
        <w:left w:val="none" w:sz="0" w:space="0" w:color="auto"/>
        <w:bottom w:val="none" w:sz="0" w:space="0" w:color="auto"/>
        <w:right w:val="none" w:sz="0" w:space="0" w:color="auto"/>
      </w:divBdr>
    </w:div>
    <w:div w:id="1651473716">
      <w:bodyDiv w:val="1"/>
      <w:marLeft w:val="0"/>
      <w:marRight w:val="0"/>
      <w:marTop w:val="0"/>
      <w:marBottom w:val="0"/>
      <w:divBdr>
        <w:top w:val="none" w:sz="0" w:space="0" w:color="auto"/>
        <w:left w:val="none" w:sz="0" w:space="0" w:color="auto"/>
        <w:bottom w:val="none" w:sz="0" w:space="0" w:color="auto"/>
        <w:right w:val="none" w:sz="0" w:space="0" w:color="auto"/>
      </w:divBdr>
    </w:div>
    <w:div w:id="1657681715">
      <w:bodyDiv w:val="1"/>
      <w:marLeft w:val="0"/>
      <w:marRight w:val="0"/>
      <w:marTop w:val="0"/>
      <w:marBottom w:val="0"/>
      <w:divBdr>
        <w:top w:val="none" w:sz="0" w:space="0" w:color="auto"/>
        <w:left w:val="none" w:sz="0" w:space="0" w:color="auto"/>
        <w:bottom w:val="none" w:sz="0" w:space="0" w:color="auto"/>
        <w:right w:val="none" w:sz="0" w:space="0" w:color="auto"/>
      </w:divBdr>
    </w:div>
    <w:div w:id="1663508798">
      <w:bodyDiv w:val="1"/>
      <w:marLeft w:val="0"/>
      <w:marRight w:val="0"/>
      <w:marTop w:val="0"/>
      <w:marBottom w:val="0"/>
      <w:divBdr>
        <w:top w:val="none" w:sz="0" w:space="0" w:color="auto"/>
        <w:left w:val="none" w:sz="0" w:space="0" w:color="auto"/>
        <w:bottom w:val="none" w:sz="0" w:space="0" w:color="auto"/>
        <w:right w:val="none" w:sz="0" w:space="0" w:color="auto"/>
      </w:divBdr>
    </w:div>
    <w:div w:id="1669409285">
      <w:bodyDiv w:val="1"/>
      <w:marLeft w:val="0"/>
      <w:marRight w:val="0"/>
      <w:marTop w:val="0"/>
      <w:marBottom w:val="0"/>
      <w:divBdr>
        <w:top w:val="none" w:sz="0" w:space="0" w:color="auto"/>
        <w:left w:val="none" w:sz="0" w:space="0" w:color="auto"/>
        <w:bottom w:val="none" w:sz="0" w:space="0" w:color="auto"/>
        <w:right w:val="none" w:sz="0" w:space="0" w:color="auto"/>
      </w:divBdr>
    </w:div>
    <w:div w:id="1686636037">
      <w:bodyDiv w:val="1"/>
      <w:marLeft w:val="0"/>
      <w:marRight w:val="0"/>
      <w:marTop w:val="0"/>
      <w:marBottom w:val="0"/>
      <w:divBdr>
        <w:top w:val="none" w:sz="0" w:space="0" w:color="auto"/>
        <w:left w:val="none" w:sz="0" w:space="0" w:color="auto"/>
        <w:bottom w:val="none" w:sz="0" w:space="0" w:color="auto"/>
        <w:right w:val="none" w:sz="0" w:space="0" w:color="auto"/>
      </w:divBdr>
    </w:div>
    <w:div w:id="1704861910">
      <w:bodyDiv w:val="1"/>
      <w:marLeft w:val="0"/>
      <w:marRight w:val="0"/>
      <w:marTop w:val="0"/>
      <w:marBottom w:val="0"/>
      <w:divBdr>
        <w:top w:val="none" w:sz="0" w:space="0" w:color="auto"/>
        <w:left w:val="none" w:sz="0" w:space="0" w:color="auto"/>
        <w:bottom w:val="none" w:sz="0" w:space="0" w:color="auto"/>
        <w:right w:val="none" w:sz="0" w:space="0" w:color="auto"/>
      </w:divBdr>
    </w:div>
    <w:div w:id="1745447095">
      <w:bodyDiv w:val="1"/>
      <w:marLeft w:val="0"/>
      <w:marRight w:val="0"/>
      <w:marTop w:val="0"/>
      <w:marBottom w:val="0"/>
      <w:divBdr>
        <w:top w:val="none" w:sz="0" w:space="0" w:color="auto"/>
        <w:left w:val="none" w:sz="0" w:space="0" w:color="auto"/>
        <w:bottom w:val="none" w:sz="0" w:space="0" w:color="auto"/>
        <w:right w:val="none" w:sz="0" w:space="0" w:color="auto"/>
      </w:divBdr>
    </w:div>
    <w:div w:id="1871643698">
      <w:bodyDiv w:val="1"/>
      <w:marLeft w:val="0"/>
      <w:marRight w:val="0"/>
      <w:marTop w:val="0"/>
      <w:marBottom w:val="0"/>
      <w:divBdr>
        <w:top w:val="none" w:sz="0" w:space="0" w:color="auto"/>
        <w:left w:val="none" w:sz="0" w:space="0" w:color="auto"/>
        <w:bottom w:val="none" w:sz="0" w:space="0" w:color="auto"/>
        <w:right w:val="none" w:sz="0" w:space="0" w:color="auto"/>
      </w:divBdr>
    </w:div>
    <w:div w:id="1910799839">
      <w:bodyDiv w:val="1"/>
      <w:marLeft w:val="0"/>
      <w:marRight w:val="0"/>
      <w:marTop w:val="0"/>
      <w:marBottom w:val="0"/>
      <w:divBdr>
        <w:top w:val="none" w:sz="0" w:space="0" w:color="auto"/>
        <w:left w:val="none" w:sz="0" w:space="0" w:color="auto"/>
        <w:bottom w:val="none" w:sz="0" w:space="0" w:color="auto"/>
        <w:right w:val="none" w:sz="0" w:space="0" w:color="auto"/>
      </w:divBdr>
    </w:div>
    <w:div w:id="1910967826">
      <w:bodyDiv w:val="1"/>
      <w:marLeft w:val="0"/>
      <w:marRight w:val="0"/>
      <w:marTop w:val="0"/>
      <w:marBottom w:val="0"/>
      <w:divBdr>
        <w:top w:val="none" w:sz="0" w:space="0" w:color="auto"/>
        <w:left w:val="none" w:sz="0" w:space="0" w:color="auto"/>
        <w:bottom w:val="none" w:sz="0" w:space="0" w:color="auto"/>
        <w:right w:val="none" w:sz="0" w:space="0" w:color="auto"/>
      </w:divBdr>
    </w:div>
    <w:div w:id="1917978516">
      <w:bodyDiv w:val="1"/>
      <w:marLeft w:val="0"/>
      <w:marRight w:val="0"/>
      <w:marTop w:val="0"/>
      <w:marBottom w:val="0"/>
      <w:divBdr>
        <w:top w:val="none" w:sz="0" w:space="0" w:color="auto"/>
        <w:left w:val="none" w:sz="0" w:space="0" w:color="auto"/>
        <w:bottom w:val="none" w:sz="0" w:space="0" w:color="auto"/>
        <w:right w:val="none" w:sz="0" w:space="0" w:color="auto"/>
      </w:divBdr>
    </w:div>
    <w:div w:id="1943105320">
      <w:bodyDiv w:val="1"/>
      <w:marLeft w:val="0"/>
      <w:marRight w:val="0"/>
      <w:marTop w:val="0"/>
      <w:marBottom w:val="0"/>
      <w:divBdr>
        <w:top w:val="none" w:sz="0" w:space="0" w:color="auto"/>
        <w:left w:val="none" w:sz="0" w:space="0" w:color="auto"/>
        <w:bottom w:val="none" w:sz="0" w:space="0" w:color="auto"/>
        <w:right w:val="none" w:sz="0" w:space="0" w:color="auto"/>
      </w:divBdr>
    </w:div>
    <w:div w:id="1963612363">
      <w:bodyDiv w:val="1"/>
      <w:marLeft w:val="0"/>
      <w:marRight w:val="0"/>
      <w:marTop w:val="0"/>
      <w:marBottom w:val="0"/>
      <w:divBdr>
        <w:top w:val="none" w:sz="0" w:space="0" w:color="auto"/>
        <w:left w:val="none" w:sz="0" w:space="0" w:color="auto"/>
        <w:bottom w:val="none" w:sz="0" w:space="0" w:color="auto"/>
        <w:right w:val="none" w:sz="0" w:space="0" w:color="auto"/>
      </w:divBdr>
    </w:div>
    <w:div w:id="1986277829">
      <w:bodyDiv w:val="1"/>
      <w:marLeft w:val="0"/>
      <w:marRight w:val="0"/>
      <w:marTop w:val="0"/>
      <w:marBottom w:val="0"/>
      <w:divBdr>
        <w:top w:val="none" w:sz="0" w:space="0" w:color="auto"/>
        <w:left w:val="none" w:sz="0" w:space="0" w:color="auto"/>
        <w:bottom w:val="none" w:sz="0" w:space="0" w:color="auto"/>
        <w:right w:val="none" w:sz="0" w:space="0" w:color="auto"/>
      </w:divBdr>
    </w:div>
    <w:div w:id="2023434350">
      <w:bodyDiv w:val="1"/>
      <w:marLeft w:val="0"/>
      <w:marRight w:val="0"/>
      <w:marTop w:val="0"/>
      <w:marBottom w:val="0"/>
      <w:divBdr>
        <w:top w:val="none" w:sz="0" w:space="0" w:color="auto"/>
        <w:left w:val="none" w:sz="0" w:space="0" w:color="auto"/>
        <w:bottom w:val="none" w:sz="0" w:space="0" w:color="auto"/>
        <w:right w:val="none" w:sz="0" w:space="0" w:color="auto"/>
      </w:divBdr>
    </w:div>
    <w:div w:id="2045669866">
      <w:bodyDiv w:val="1"/>
      <w:marLeft w:val="0"/>
      <w:marRight w:val="0"/>
      <w:marTop w:val="0"/>
      <w:marBottom w:val="0"/>
      <w:divBdr>
        <w:top w:val="none" w:sz="0" w:space="0" w:color="auto"/>
        <w:left w:val="none" w:sz="0" w:space="0" w:color="auto"/>
        <w:bottom w:val="none" w:sz="0" w:space="0" w:color="auto"/>
        <w:right w:val="none" w:sz="0" w:space="0" w:color="auto"/>
      </w:divBdr>
    </w:div>
    <w:div w:id="2050913400">
      <w:bodyDiv w:val="1"/>
      <w:marLeft w:val="0"/>
      <w:marRight w:val="0"/>
      <w:marTop w:val="0"/>
      <w:marBottom w:val="0"/>
      <w:divBdr>
        <w:top w:val="none" w:sz="0" w:space="0" w:color="auto"/>
        <w:left w:val="none" w:sz="0" w:space="0" w:color="auto"/>
        <w:bottom w:val="none" w:sz="0" w:space="0" w:color="auto"/>
        <w:right w:val="none" w:sz="0" w:space="0" w:color="auto"/>
      </w:divBdr>
    </w:div>
    <w:div w:id="2063750340">
      <w:bodyDiv w:val="1"/>
      <w:marLeft w:val="0"/>
      <w:marRight w:val="0"/>
      <w:marTop w:val="0"/>
      <w:marBottom w:val="0"/>
      <w:divBdr>
        <w:top w:val="none" w:sz="0" w:space="0" w:color="auto"/>
        <w:left w:val="none" w:sz="0" w:space="0" w:color="auto"/>
        <w:bottom w:val="none" w:sz="0" w:space="0" w:color="auto"/>
        <w:right w:val="none" w:sz="0" w:space="0" w:color="auto"/>
      </w:divBdr>
    </w:div>
    <w:div w:id="2068381942">
      <w:bodyDiv w:val="1"/>
      <w:marLeft w:val="0"/>
      <w:marRight w:val="0"/>
      <w:marTop w:val="0"/>
      <w:marBottom w:val="0"/>
      <w:divBdr>
        <w:top w:val="none" w:sz="0" w:space="0" w:color="auto"/>
        <w:left w:val="none" w:sz="0" w:space="0" w:color="auto"/>
        <w:bottom w:val="none" w:sz="0" w:space="0" w:color="auto"/>
        <w:right w:val="none" w:sz="0" w:space="0" w:color="auto"/>
      </w:divBdr>
    </w:div>
    <w:div w:id="2080246866">
      <w:bodyDiv w:val="1"/>
      <w:marLeft w:val="0"/>
      <w:marRight w:val="0"/>
      <w:marTop w:val="0"/>
      <w:marBottom w:val="0"/>
      <w:divBdr>
        <w:top w:val="none" w:sz="0" w:space="0" w:color="auto"/>
        <w:left w:val="none" w:sz="0" w:space="0" w:color="auto"/>
        <w:bottom w:val="none" w:sz="0" w:space="0" w:color="auto"/>
        <w:right w:val="none" w:sz="0" w:space="0" w:color="auto"/>
      </w:divBdr>
    </w:div>
    <w:div w:id="2084528883">
      <w:bodyDiv w:val="1"/>
      <w:marLeft w:val="0"/>
      <w:marRight w:val="0"/>
      <w:marTop w:val="0"/>
      <w:marBottom w:val="0"/>
      <w:divBdr>
        <w:top w:val="none" w:sz="0" w:space="0" w:color="auto"/>
        <w:left w:val="none" w:sz="0" w:space="0" w:color="auto"/>
        <w:bottom w:val="none" w:sz="0" w:space="0" w:color="auto"/>
        <w:right w:val="none" w:sz="0" w:space="0" w:color="auto"/>
      </w:divBdr>
    </w:div>
    <w:div w:id="2087609202">
      <w:bodyDiv w:val="1"/>
      <w:marLeft w:val="0"/>
      <w:marRight w:val="0"/>
      <w:marTop w:val="0"/>
      <w:marBottom w:val="0"/>
      <w:divBdr>
        <w:top w:val="none" w:sz="0" w:space="0" w:color="auto"/>
        <w:left w:val="none" w:sz="0" w:space="0" w:color="auto"/>
        <w:bottom w:val="none" w:sz="0" w:space="0" w:color="auto"/>
        <w:right w:val="none" w:sz="0" w:space="0" w:color="auto"/>
      </w:divBdr>
    </w:div>
    <w:div w:id="2102598740">
      <w:bodyDiv w:val="1"/>
      <w:marLeft w:val="0"/>
      <w:marRight w:val="0"/>
      <w:marTop w:val="0"/>
      <w:marBottom w:val="0"/>
      <w:divBdr>
        <w:top w:val="none" w:sz="0" w:space="0" w:color="auto"/>
        <w:left w:val="none" w:sz="0" w:space="0" w:color="auto"/>
        <w:bottom w:val="none" w:sz="0" w:space="0" w:color="auto"/>
        <w:right w:val="none" w:sz="0" w:space="0" w:color="auto"/>
      </w:divBdr>
    </w:div>
    <w:div w:id="2143618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oleObject" Target="embeddings/oleObject1.bin"/><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7.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hyperlink" Target="mailto:agentefiduciario@vortx.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oleObject" Target="embeddings/oleObject2.bin"/><Relationship Id="rId30" Type="http://schemas.openxmlformats.org/officeDocument/2006/relationships/image" Target="media/image10.png"/><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Value xmlns="e63af235-6539-4873-9a74-7e32b5cc1aee">{IDUnico}/{VersaoDocumento}</DLCPolicyLabelValue>
    <DLCPolicyLabelClientValue xmlns="e63af235-6539-4873-9a74-7e32b5cc1aee">{IDUnico}/{VersaoDocumento}</DLCPolicyLabelClientValue>
  </documentManagement>
</p:properties>
</file>

<file path=customXml/item2.xml>��< ? x m l   v e r s i o n = " 1 . 0 "   e n c o d i n g = " u t f - 1 6 " ? > < p r o p e r t i e s   x m l n s = " h t t p : / / w w w . i m a n a g e . c o m / w o r k / x m l s c h e m a " >  
     < d o c u m e n t i d > L E F O S S E ! 7 4 6 3 9 4 . 2 < / d o c u m e n t i d >  
     < s e n d e r i d > C P E N I T E N < / s e n d e r i d >  
     < s e n d e r e m a i l > C A I O . P E N I T E N T E @ L E F O S S E . C O M < / s e n d e r e m a i l >  
     < l a s t m o d i f i e d > 2 0 1 9 - 1 0 - 1 5 T 1 8 : 5 9 : 0 0 . 0 0 0 0 0 0 0 - 0 3 : 0 0 < / l a s t m o d i f i e d >  
     < d a t a b a s e > L E F O S S E 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 G E D ! 6 0 0 9 7 0 4 . 7 < / d o c u m e n t i d >  
     < s e n d e r i d > L A R A . M A G A L H A E S < / s e n d e r i d >  
     < s e n d e r e m a i l > L A R A . M A G A L H A E S @ L D R . C O M . B R < / s e n d e r e m a i l >  
     < l a s t m o d i f i e d > 2 0 2 1 - 1 2 - 2 1 T 2 3 : 3 4 : 0 0 . 0 0 0 0 0 0 0 - 0 3 : 0 0 < / l a s t m o d i f i e d >  
     < d a t a b a s e > G E D < / 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1 6 " ? > < p r o p e r t i e s   x m l n s = " h t t p : / / w w w . i m a n a g e . c o m / w o r k / x m l s c h e m a " >  
     < d o c u m e n t i d > G E D ! 6 0 8 4 0 9 6 . 1 < / d o c u m e n t i d >  
     < s e n d e r i d > L A R A . M A G A L H A E S < / s e n d e r i d >  
     < s e n d e r e m a i l > L A R A . M A G A L H A E S @ L D R . C O M . B R < / s e n d e r e m a i l >  
     < l a s t m o d i f i e d > 2 0 2 2 - 0 1 - 1 4 T 2 2 : 4 9 : 0 0 . 0 0 0 0 0 0 0 - 0 3 : 0 0 < / l a s t m o d i f i e d >  
     < d a t a b a s e > G E D < / 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9.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8159A-A506-472D-A8A2-CFF483791E08}">
  <ds:schemaRefs>
    <ds:schemaRef ds:uri="http://schemas.microsoft.com/office/2006/metadata/properties"/>
    <ds:schemaRef ds:uri="http://schemas.microsoft.com/office/infopath/2007/PartnerControls"/>
    <ds:schemaRef ds:uri="e63af235-6539-4873-9a74-7e32b5cc1aee"/>
  </ds:schemaRefs>
</ds:datastoreItem>
</file>

<file path=customXml/itemProps2.xml><?xml version="1.0" encoding="utf-8"?>
<ds:datastoreItem xmlns:ds="http://schemas.openxmlformats.org/officeDocument/2006/customXml" ds:itemID="{17350935-ECAC-4169-8F34-A8726F3FA1F4}">
  <ds:schemaRefs>
    <ds:schemaRef ds:uri="http://www.imanage.com/work/xmlschema"/>
  </ds:schemaRefs>
</ds:datastoreItem>
</file>

<file path=customXml/itemProps3.xml><?xml version="1.0" encoding="utf-8"?>
<ds:datastoreItem xmlns:ds="http://schemas.openxmlformats.org/officeDocument/2006/customXml" ds:itemID="{D5A08A4F-E466-488A-9BA5-955EF887FA5C}">
  <ds:schemaRefs>
    <ds:schemaRef ds:uri="http://schemas.microsoft.com/sharepoint/v3/contenttype/forms"/>
  </ds:schemaRefs>
</ds:datastoreItem>
</file>

<file path=customXml/itemProps4.xml><?xml version="1.0" encoding="utf-8"?>
<ds:datastoreItem xmlns:ds="http://schemas.openxmlformats.org/officeDocument/2006/customXml" ds:itemID="{2E5DEBE9-051C-4C15-9B60-09A970943728}">
  <ds:schemaRefs>
    <ds:schemaRef ds:uri="http://www.imanage.com/work/xmlschema"/>
  </ds:schemaRefs>
</ds:datastoreItem>
</file>

<file path=customXml/itemProps5.xml><?xml version="1.0" encoding="utf-8"?>
<ds:datastoreItem xmlns:ds="http://schemas.openxmlformats.org/officeDocument/2006/customXml" ds:itemID="{62D3BFB8-4029-49F9-AE19-0FED448022FF}">
  <ds:schemaRefs>
    <ds:schemaRef ds:uri="http://schemas.microsoft.com/sharepoint/events"/>
  </ds:schemaRefs>
</ds:datastoreItem>
</file>

<file path=customXml/itemProps6.xml><?xml version="1.0" encoding="utf-8"?>
<ds:datastoreItem xmlns:ds="http://schemas.openxmlformats.org/officeDocument/2006/customXml" ds:itemID="{B380940C-5333-421B-B813-7920AC3B8222}">
  <ds:schemaRefs>
    <ds:schemaRef ds:uri="http://www.imanage.com/work/xmlschema"/>
  </ds:schemaRefs>
</ds:datastoreItem>
</file>

<file path=customXml/itemProps7.xml><?xml version="1.0" encoding="utf-8"?>
<ds:datastoreItem xmlns:ds="http://schemas.openxmlformats.org/officeDocument/2006/customXml" ds:itemID="{ED131323-2ECC-5941-BECD-6DD1557CA5DC}">
  <ds:schemaRefs>
    <ds:schemaRef ds:uri="http://schemas.openxmlformats.org/officeDocument/2006/bibliography"/>
  </ds:schemaRefs>
</ds:datastoreItem>
</file>

<file path=customXml/itemProps8.xml><?xml version="1.0" encoding="utf-8"?>
<ds:datastoreItem xmlns:ds="http://schemas.openxmlformats.org/officeDocument/2006/customXml" ds:itemID="{0F90EAFB-12C2-40D0-B6C3-A8387B3402F2}">
  <ds:schemaRefs>
    <ds:schemaRef ds:uri="office.server.policy"/>
  </ds:schemaRefs>
</ds:datastoreItem>
</file>

<file path=customXml/itemProps9.xml><?xml version="1.0" encoding="utf-8"?>
<ds:datastoreItem xmlns:ds="http://schemas.openxmlformats.org/officeDocument/2006/customXml" ds:itemID="{FAA01427-4D60-4308-890F-FC2AF43D4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152</Pages>
  <Words>53960</Words>
  <Characters>291386</Characters>
  <Application>Microsoft Office Word</Application>
  <DocSecurity>0</DocSecurity>
  <Lines>2428</Lines>
  <Paragraphs>689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344657</CharactersWithSpaces>
  <SharedDoc>false</SharedDoc>
  <HLinks>
    <vt:vector size="600" baseType="variant">
      <vt:variant>
        <vt:i4>3997790</vt:i4>
      </vt:variant>
      <vt:variant>
        <vt:i4>930</vt:i4>
      </vt:variant>
      <vt:variant>
        <vt:i4>0</vt:i4>
      </vt:variant>
      <vt:variant>
        <vt:i4>5</vt:i4>
      </vt:variant>
      <vt:variant>
        <vt:lpwstr>mailto:agentefiduciario@vortx.com.br</vt:lpwstr>
      </vt:variant>
      <vt:variant>
        <vt:lpwstr/>
      </vt:variant>
      <vt:variant>
        <vt:i4>1048635</vt:i4>
      </vt:variant>
      <vt:variant>
        <vt:i4>638</vt:i4>
      </vt:variant>
      <vt:variant>
        <vt:i4>0</vt:i4>
      </vt:variant>
      <vt:variant>
        <vt:i4>5</vt:i4>
      </vt:variant>
      <vt:variant>
        <vt:lpwstr/>
      </vt:variant>
      <vt:variant>
        <vt:lpwstr>_Toc90045172</vt:lpwstr>
      </vt:variant>
      <vt:variant>
        <vt:i4>1245243</vt:i4>
      </vt:variant>
      <vt:variant>
        <vt:i4>632</vt:i4>
      </vt:variant>
      <vt:variant>
        <vt:i4>0</vt:i4>
      </vt:variant>
      <vt:variant>
        <vt:i4>5</vt:i4>
      </vt:variant>
      <vt:variant>
        <vt:lpwstr/>
      </vt:variant>
      <vt:variant>
        <vt:lpwstr>_Toc90045171</vt:lpwstr>
      </vt:variant>
      <vt:variant>
        <vt:i4>1179707</vt:i4>
      </vt:variant>
      <vt:variant>
        <vt:i4>626</vt:i4>
      </vt:variant>
      <vt:variant>
        <vt:i4>0</vt:i4>
      </vt:variant>
      <vt:variant>
        <vt:i4>5</vt:i4>
      </vt:variant>
      <vt:variant>
        <vt:lpwstr/>
      </vt:variant>
      <vt:variant>
        <vt:lpwstr>_Toc90045170</vt:lpwstr>
      </vt:variant>
      <vt:variant>
        <vt:i4>1769530</vt:i4>
      </vt:variant>
      <vt:variant>
        <vt:i4>620</vt:i4>
      </vt:variant>
      <vt:variant>
        <vt:i4>0</vt:i4>
      </vt:variant>
      <vt:variant>
        <vt:i4>5</vt:i4>
      </vt:variant>
      <vt:variant>
        <vt:lpwstr/>
      </vt:variant>
      <vt:variant>
        <vt:lpwstr>_Toc90045169</vt:lpwstr>
      </vt:variant>
      <vt:variant>
        <vt:i4>1703994</vt:i4>
      </vt:variant>
      <vt:variant>
        <vt:i4>614</vt:i4>
      </vt:variant>
      <vt:variant>
        <vt:i4>0</vt:i4>
      </vt:variant>
      <vt:variant>
        <vt:i4>5</vt:i4>
      </vt:variant>
      <vt:variant>
        <vt:lpwstr/>
      </vt:variant>
      <vt:variant>
        <vt:lpwstr>_Toc90045168</vt:lpwstr>
      </vt:variant>
      <vt:variant>
        <vt:i4>1376314</vt:i4>
      </vt:variant>
      <vt:variant>
        <vt:i4>608</vt:i4>
      </vt:variant>
      <vt:variant>
        <vt:i4>0</vt:i4>
      </vt:variant>
      <vt:variant>
        <vt:i4>5</vt:i4>
      </vt:variant>
      <vt:variant>
        <vt:lpwstr/>
      </vt:variant>
      <vt:variant>
        <vt:lpwstr>_Toc90045167</vt:lpwstr>
      </vt:variant>
      <vt:variant>
        <vt:i4>1310778</vt:i4>
      </vt:variant>
      <vt:variant>
        <vt:i4>602</vt:i4>
      </vt:variant>
      <vt:variant>
        <vt:i4>0</vt:i4>
      </vt:variant>
      <vt:variant>
        <vt:i4>5</vt:i4>
      </vt:variant>
      <vt:variant>
        <vt:lpwstr/>
      </vt:variant>
      <vt:variant>
        <vt:lpwstr>_Toc90045166</vt:lpwstr>
      </vt:variant>
      <vt:variant>
        <vt:i4>1507386</vt:i4>
      </vt:variant>
      <vt:variant>
        <vt:i4>596</vt:i4>
      </vt:variant>
      <vt:variant>
        <vt:i4>0</vt:i4>
      </vt:variant>
      <vt:variant>
        <vt:i4>5</vt:i4>
      </vt:variant>
      <vt:variant>
        <vt:lpwstr/>
      </vt:variant>
      <vt:variant>
        <vt:lpwstr>_Toc90045165</vt:lpwstr>
      </vt:variant>
      <vt:variant>
        <vt:i4>1441850</vt:i4>
      </vt:variant>
      <vt:variant>
        <vt:i4>590</vt:i4>
      </vt:variant>
      <vt:variant>
        <vt:i4>0</vt:i4>
      </vt:variant>
      <vt:variant>
        <vt:i4>5</vt:i4>
      </vt:variant>
      <vt:variant>
        <vt:lpwstr/>
      </vt:variant>
      <vt:variant>
        <vt:lpwstr>_Toc90045164</vt:lpwstr>
      </vt:variant>
      <vt:variant>
        <vt:i4>1114170</vt:i4>
      </vt:variant>
      <vt:variant>
        <vt:i4>584</vt:i4>
      </vt:variant>
      <vt:variant>
        <vt:i4>0</vt:i4>
      </vt:variant>
      <vt:variant>
        <vt:i4>5</vt:i4>
      </vt:variant>
      <vt:variant>
        <vt:lpwstr/>
      </vt:variant>
      <vt:variant>
        <vt:lpwstr>_Toc90045163</vt:lpwstr>
      </vt:variant>
      <vt:variant>
        <vt:i4>1048634</vt:i4>
      </vt:variant>
      <vt:variant>
        <vt:i4>578</vt:i4>
      </vt:variant>
      <vt:variant>
        <vt:i4>0</vt:i4>
      </vt:variant>
      <vt:variant>
        <vt:i4>5</vt:i4>
      </vt:variant>
      <vt:variant>
        <vt:lpwstr/>
      </vt:variant>
      <vt:variant>
        <vt:lpwstr>_Toc90045162</vt:lpwstr>
      </vt:variant>
      <vt:variant>
        <vt:i4>1245242</vt:i4>
      </vt:variant>
      <vt:variant>
        <vt:i4>572</vt:i4>
      </vt:variant>
      <vt:variant>
        <vt:i4>0</vt:i4>
      </vt:variant>
      <vt:variant>
        <vt:i4>5</vt:i4>
      </vt:variant>
      <vt:variant>
        <vt:lpwstr/>
      </vt:variant>
      <vt:variant>
        <vt:lpwstr>_Toc90045161</vt:lpwstr>
      </vt:variant>
      <vt:variant>
        <vt:i4>1179706</vt:i4>
      </vt:variant>
      <vt:variant>
        <vt:i4>566</vt:i4>
      </vt:variant>
      <vt:variant>
        <vt:i4>0</vt:i4>
      </vt:variant>
      <vt:variant>
        <vt:i4>5</vt:i4>
      </vt:variant>
      <vt:variant>
        <vt:lpwstr/>
      </vt:variant>
      <vt:variant>
        <vt:lpwstr>_Toc90045160</vt:lpwstr>
      </vt:variant>
      <vt:variant>
        <vt:i4>1769529</vt:i4>
      </vt:variant>
      <vt:variant>
        <vt:i4>560</vt:i4>
      </vt:variant>
      <vt:variant>
        <vt:i4>0</vt:i4>
      </vt:variant>
      <vt:variant>
        <vt:i4>5</vt:i4>
      </vt:variant>
      <vt:variant>
        <vt:lpwstr/>
      </vt:variant>
      <vt:variant>
        <vt:lpwstr>_Toc90045159</vt:lpwstr>
      </vt:variant>
      <vt:variant>
        <vt:i4>1703993</vt:i4>
      </vt:variant>
      <vt:variant>
        <vt:i4>554</vt:i4>
      </vt:variant>
      <vt:variant>
        <vt:i4>0</vt:i4>
      </vt:variant>
      <vt:variant>
        <vt:i4>5</vt:i4>
      </vt:variant>
      <vt:variant>
        <vt:lpwstr/>
      </vt:variant>
      <vt:variant>
        <vt:lpwstr>_Toc90045158</vt:lpwstr>
      </vt:variant>
      <vt:variant>
        <vt:i4>1376313</vt:i4>
      </vt:variant>
      <vt:variant>
        <vt:i4>548</vt:i4>
      </vt:variant>
      <vt:variant>
        <vt:i4>0</vt:i4>
      </vt:variant>
      <vt:variant>
        <vt:i4>5</vt:i4>
      </vt:variant>
      <vt:variant>
        <vt:lpwstr/>
      </vt:variant>
      <vt:variant>
        <vt:lpwstr>_Toc90045157</vt:lpwstr>
      </vt:variant>
      <vt:variant>
        <vt:i4>1310777</vt:i4>
      </vt:variant>
      <vt:variant>
        <vt:i4>542</vt:i4>
      </vt:variant>
      <vt:variant>
        <vt:i4>0</vt:i4>
      </vt:variant>
      <vt:variant>
        <vt:i4>5</vt:i4>
      </vt:variant>
      <vt:variant>
        <vt:lpwstr/>
      </vt:variant>
      <vt:variant>
        <vt:lpwstr>_Toc90045156</vt:lpwstr>
      </vt:variant>
      <vt:variant>
        <vt:i4>1507385</vt:i4>
      </vt:variant>
      <vt:variant>
        <vt:i4>536</vt:i4>
      </vt:variant>
      <vt:variant>
        <vt:i4>0</vt:i4>
      </vt:variant>
      <vt:variant>
        <vt:i4>5</vt:i4>
      </vt:variant>
      <vt:variant>
        <vt:lpwstr/>
      </vt:variant>
      <vt:variant>
        <vt:lpwstr>_Toc90045155</vt:lpwstr>
      </vt:variant>
      <vt:variant>
        <vt:i4>1441849</vt:i4>
      </vt:variant>
      <vt:variant>
        <vt:i4>530</vt:i4>
      </vt:variant>
      <vt:variant>
        <vt:i4>0</vt:i4>
      </vt:variant>
      <vt:variant>
        <vt:i4>5</vt:i4>
      </vt:variant>
      <vt:variant>
        <vt:lpwstr/>
      </vt:variant>
      <vt:variant>
        <vt:lpwstr>_Toc90045154</vt:lpwstr>
      </vt:variant>
      <vt:variant>
        <vt:i4>1114169</vt:i4>
      </vt:variant>
      <vt:variant>
        <vt:i4>524</vt:i4>
      </vt:variant>
      <vt:variant>
        <vt:i4>0</vt:i4>
      </vt:variant>
      <vt:variant>
        <vt:i4>5</vt:i4>
      </vt:variant>
      <vt:variant>
        <vt:lpwstr/>
      </vt:variant>
      <vt:variant>
        <vt:lpwstr>_Toc90045153</vt:lpwstr>
      </vt:variant>
      <vt:variant>
        <vt:i4>1048633</vt:i4>
      </vt:variant>
      <vt:variant>
        <vt:i4>518</vt:i4>
      </vt:variant>
      <vt:variant>
        <vt:i4>0</vt:i4>
      </vt:variant>
      <vt:variant>
        <vt:i4>5</vt:i4>
      </vt:variant>
      <vt:variant>
        <vt:lpwstr/>
      </vt:variant>
      <vt:variant>
        <vt:lpwstr>_Toc90045152</vt:lpwstr>
      </vt:variant>
      <vt:variant>
        <vt:i4>1245241</vt:i4>
      </vt:variant>
      <vt:variant>
        <vt:i4>512</vt:i4>
      </vt:variant>
      <vt:variant>
        <vt:i4>0</vt:i4>
      </vt:variant>
      <vt:variant>
        <vt:i4>5</vt:i4>
      </vt:variant>
      <vt:variant>
        <vt:lpwstr/>
      </vt:variant>
      <vt:variant>
        <vt:lpwstr>_Toc90045151</vt:lpwstr>
      </vt:variant>
      <vt:variant>
        <vt:i4>1179705</vt:i4>
      </vt:variant>
      <vt:variant>
        <vt:i4>506</vt:i4>
      </vt:variant>
      <vt:variant>
        <vt:i4>0</vt:i4>
      </vt:variant>
      <vt:variant>
        <vt:i4>5</vt:i4>
      </vt:variant>
      <vt:variant>
        <vt:lpwstr/>
      </vt:variant>
      <vt:variant>
        <vt:lpwstr>_Toc90045150</vt:lpwstr>
      </vt:variant>
      <vt:variant>
        <vt:i4>1769528</vt:i4>
      </vt:variant>
      <vt:variant>
        <vt:i4>500</vt:i4>
      </vt:variant>
      <vt:variant>
        <vt:i4>0</vt:i4>
      </vt:variant>
      <vt:variant>
        <vt:i4>5</vt:i4>
      </vt:variant>
      <vt:variant>
        <vt:lpwstr/>
      </vt:variant>
      <vt:variant>
        <vt:lpwstr>_Toc90045149</vt:lpwstr>
      </vt:variant>
      <vt:variant>
        <vt:i4>1703992</vt:i4>
      </vt:variant>
      <vt:variant>
        <vt:i4>494</vt:i4>
      </vt:variant>
      <vt:variant>
        <vt:i4>0</vt:i4>
      </vt:variant>
      <vt:variant>
        <vt:i4>5</vt:i4>
      </vt:variant>
      <vt:variant>
        <vt:lpwstr/>
      </vt:variant>
      <vt:variant>
        <vt:lpwstr>_Toc90045148</vt:lpwstr>
      </vt:variant>
      <vt:variant>
        <vt:i4>1376312</vt:i4>
      </vt:variant>
      <vt:variant>
        <vt:i4>488</vt:i4>
      </vt:variant>
      <vt:variant>
        <vt:i4>0</vt:i4>
      </vt:variant>
      <vt:variant>
        <vt:i4>5</vt:i4>
      </vt:variant>
      <vt:variant>
        <vt:lpwstr/>
      </vt:variant>
      <vt:variant>
        <vt:lpwstr>_Toc90045147</vt:lpwstr>
      </vt:variant>
      <vt:variant>
        <vt:i4>1310776</vt:i4>
      </vt:variant>
      <vt:variant>
        <vt:i4>482</vt:i4>
      </vt:variant>
      <vt:variant>
        <vt:i4>0</vt:i4>
      </vt:variant>
      <vt:variant>
        <vt:i4>5</vt:i4>
      </vt:variant>
      <vt:variant>
        <vt:lpwstr/>
      </vt:variant>
      <vt:variant>
        <vt:lpwstr>_Toc90045146</vt:lpwstr>
      </vt:variant>
      <vt:variant>
        <vt:i4>1507384</vt:i4>
      </vt:variant>
      <vt:variant>
        <vt:i4>476</vt:i4>
      </vt:variant>
      <vt:variant>
        <vt:i4>0</vt:i4>
      </vt:variant>
      <vt:variant>
        <vt:i4>5</vt:i4>
      </vt:variant>
      <vt:variant>
        <vt:lpwstr/>
      </vt:variant>
      <vt:variant>
        <vt:lpwstr>_Toc90045145</vt:lpwstr>
      </vt:variant>
      <vt:variant>
        <vt:i4>1441848</vt:i4>
      </vt:variant>
      <vt:variant>
        <vt:i4>470</vt:i4>
      </vt:variant>
      <vt:variant>
        <vt:i4>0</vt:i4>
      </vt:variant>
      <vt:variant>
        <vt:i4>5</vt:i4>
      </vt:variant>
      <vt:variant>
        <vt:lpwstr/>
      </vt:variant>
      <vt:variant>
        <vt:lpwstr>_Toc90045144</vt:lpwstr>
      </vt:variant>
      <vt:variant>
        <vt:i4>1114168</vt:i4>
      </vt:variant>
      <vt:variant>
        <vt:i4>464</vt:i4>
      </vt:variant>
      <vt:variant>
        <vt:i4>0</vt:i4>
      </vt:variant>
      <vt:variant>
        <vt:i4>5</vt:i4>
      </vt:variant>
      <vt:variant>
        <vt:lpwstr/>
      </vt:variant>
      <vt:variant>
        <vt:lpwstr>_Toc90045143</vt:lpwstr>
      </vt:variant>
      <vt:variant>
        <vt:i4>1048632</vt:i4>
      </vt:variant>
      <vt:variant>
        <vt:i4>458</vt:i4>
      </vt:variant>
      <vt:variant>
        <vt:i4>0</vt:i4>
      </vt:variant>
      <vt:variant>
        <vt:i4>5</vt:i4>
      </vt:variant>
      <vt:variant>
        <vt:lpwstr/>
      </vt:variant>
      <vt:variant>
        <vt:lpwstr>_Toc90045142</vt:lpwstr>
      </vt:variant>
      <vt:variant>
        <vt:i4>1245240</vt:i4>
      </vt:variant>
      <vt:variant>
        <vt:i4>449</vt:i4>
      </vt:variant>
      <vt:variant>
        <vt:i4>0</vt:i4>
      </vt:variant>
      <vt:variant>
        <vt:i4>5</vt:i4>
      </vt:variant>
      <vt:variant>
        <vt:lpwstr/>
      </vt:variant>
      <vt:variant>
        <vt:lpwstr>_Toc90045141</vt:lpwstr>
      </vt:variant>
      <vt:variant>
        <vt:i4>1179704</vt:i4>
      </vt:variant>
      <vt:variant>
        <vt:i4>443</vt:i4>
      </vt:variant>
      <vt:variant>
        <vt:i4>0</vt:i4>
      </vt:variant>
      <vt:variant>
        <vt:i4>5</vt:i4>
      </vt:variant>
      <vt:variant>
        <vt:lpwstr/>
      </vt:variant>
      <vt:variant>
        <vt:lpwstr>_Toc90045140</vt:lpwstr>
      </vt:variant>
      <vt:variant>
        <vt:i4>1769535</vt:i4>
      </vt:variant>
      <vt:variant>
        <vt:i4>437</vt:i4>
      </vt:variant>
      <vt:variant>
        <vt:i4>0</vt:i4>
      </vt:variant>
      <vt:variant>
        <vt:i4>5</vt:i4>
      </vt:variant>
      <vt:variant>
        <vt:lpwstr/>
      </vt:variant>
      <vt:variant>
        <vt:lpwstr>_Toc90045139</vt:lpwstr>
      </vt:variant>
      <vt:variant>
        <vt:i4>1703999</vt:i4>
      </vt:variant>
      <vt:variant>
        <vt:i4>431</vt:i4>
      </vt:variant>
      <vt:variant>
        <vt:i4>0</vt:i4>
      </vt:variant>
      <vt:variant>
        <vt:i4>5</vt:i4>
      </vt:variant>
      <vt:variant>
        <vt:lpwstr/>
      </vt:variant>
      <vt:variant>
        <vt:lpwstr>_Toc90045138</vt:lpwstr>
      </vt:variant>
      <vt:variant>
        <vt:i4>1376319</vt:i4>
      </vt:variant>
      <vt:variant>
        <vt:i4>425</vt:i4>
      </vt:variant>
      <vt:variant>
        <vt:i4>0</vt:i4>
      </vt:variant>
      <vt:variant>
        <vt:i4>5</vt:i4>
      </vt:variant>
      <vt:variant>
        <vt:lpwstr/>
      </vt:variant>
      <vt:variant>
        <vt:lpwstr>_Toc90045137</vt:lpwstr>
      </vt:variant>
      <vt:variant>
        <vt:i4>1310783</vt:i4>
      </vt:variant>
      <vt:variant>
        <vt:i4>419</vt:i4>
      </vt:variant>
      <vt:variant>
        <vt:i4>0</vt:i4>
      </vt:variant>
      <vt:variant>
        <vt:i4>5</vt:i4>
      </vt:variant>
      <vt:variant>
        <vt:lpwstr/>
      </vt:variant>
      <vt:variant>
        <vt:lpwstr>_Toc90045136</vt:lpwstr>
      </vt:variant>
      <vt:variant>
        <vt:i4>1507391</vt:i4>
      </vt:variant>
      <vt:variant>
        <vt:i4>413</vt:i4>
      </vt:variant>
      <vt:variant>
        <vt:i4>0</vt:i4>
      </vt:variant>
      <vt:variant>
        <vt:i4>5</vt:i4>
      </vt:variant>
      <vt:variant>
        <vt:lpwstr/>
      </vt:variant>
      <vt:variant>
        <vt:lpwstr>_Toc90045135</vt:lpwstr>
      </vt:variant>
      <vt:variant>
        <vt:i4>1441855</vt:i4>
      </vt:variant>
      <vt:variant>
        <vt:i4>407</vt:i4>
      </vt:variant>
      <vt:variant>
        <vt:i4>0</vt:i4>
      </vt:variant>
      <vt:variant>
        <vt:i4>5</vt:i4>
      </vt:variant>
      <vt:variant>
        <vt:lpwstr/>
      </vt:variant>
      <vt:variant>
        <vt:lpwstr>_Toc90045134</vt:lpwstr>
      </vt:variant>
      <vt:variant>
        <vt:i4>1114175</vt:i4>
      </vt:variant>
      <vt:variant>
        <vt:i4>401</vt:i4>
      </vt:variant>
      <vt:variant>
        <vt:i4>0</vt:i4>
      </vt:variant>
      <vt:variant>
        <vt:i4>5</vt:i4>
      </vt:variant>
      <vt:variant>
        <vt:lpwstr/>
      </vt:variant>
      <vt:variant>
        <vt:lpwstr>_Toc90045133</vt:lpwstr>
      </vt:variant>
      <vt:variant>
        <vt:i4>1048639</vt:i4>
      </vt:variant>
      <vt:variant>
        <vt:i4>395</vt:i4>
      </vt:variant>
      <vt:variant>
        <vt:i4>0</vt:i4>
      </vt:variant>
      <vt:variant>
        <vt:i4>5</vt:i4>
      </vt:variant>
      <vt:variant>
        <vt:lpwstr/>
      </vt:variant>
      <vt:variant>
        <vt:lpwstr>_Toc90045132</vt:lpwstr>
      </vt:variant>
      <vt:variant>
        <vt:i4>1245247</vt:i4>
      </vt:variant>
      <vt:variant>
        <vt:i4>389</vt:i4>
      </vt:variant>
      <vt:variant>
        <vt:i4>0</vt:i4>
      </vt:variant>
      <vt:variant>
        <vt:i4>5</vt:i4>
      </vt:variant>
      <vt:variant>
        <vt:lpwstr/>
      </vt:variant>
      <vt:variant>
        <vt:lpwstr>_Toc90045131</vt:lpwstr>
      </vt:variant>
      <vt:variant>
        <vt:i4>1179711</vt:i4>
      </vt:variant>
      <vt:variant>
        <vt:i4>383</vt:i4>
      </vt:variant>
      <vt:variant>
        <vt:i4>0</vt:i4>
      </vt:variant>
      <vt:variant>
        <vt:i4>5</vt:i4>
      </vt:variant>
      <vt:variant>
        <vt:lpwstr/>
      </vt:variant>
      <vt:variant>
        <vt:lpwstr>_Toc90045130</vt:lpwstr>
      </vt:variant>
      <vt:variant>
        <vt:i4>1769534</vt:i4>
      </vt:variant>
      <vt:variant>
        <vt:i4>377</vt:i4>
      </vt:variant>
      <vt:variant>
        <vt:i4>0</vt:i4>
      </vt:variant>
      <vt:variant>
        <vt:i4>5</vt:i4>
      </vt:variant>
      <vt:variant>
        <vt:lpwstr/>
      </vt:variant>
      <vt:variant>
        <vt:lpwstr>_Toc90045129</vt:lpwstr>
      </vt:variant>
      <vt:variant>
        <vt:i4>1703998</vt:i4>
      </vt:variant>
      <vt:variant>
        <vt:i4>371</vt:i4>
      </vt:variant>
      <vt:variant>
        <vt:i4>0</vt:i4>
      </vt:variant>
      <vt:variant>
        <vt:i4>5</vt:i4>
      </vt:variant>
      <vt:variant>
        <vt:lpwstr/>
      </vt:variant>
      <vt:variant>
        <vt:lpwstr>_Toc90045128</vt:lpwstr>
      </vt:variant>
      <vt:variant>
        <vt:i4>1376318</vt:i4>
      </vt:variant>
      <vt:variant>
        <vt:i4>365</vt:i4>
      </vt:variant>
      <vt:variant>
        <vt:i4>0</vt:i4>
      </vt:variant>
      <vt:variant>
        <vt:i4>5</vt:i4>
      </vt:variant>
      <vt:variant>
        <vt:lpwstr/>
      </vt:variant>
      <vt:variant>
        <vt:lpwstr>_Toc90045127</vt:lpwstr>
      </vt:variant>
      <vt:variant>
        <vt:i4>1310782</vt:i4>
      </vt:variant>
      <vt:variant>
        <vt:i4>359</vt:i4>
      </vt:variant>
      <vt:variant>
        <vt:i4>0</vt:i4>
      </vt:variant>
      <vt:variant>
        <vt:i4>5</vt:i4>
      </vt:variant>
      <vt:variant>
        <vt:lpwstr/>
      </vt:variant>
      <vt:variant>
        <vt:lpwstr>_Toc90045126</vt:lpwstr>
      </vt:variant>
      <vt:variant>
        <vt:i4>1507390</vt:i4>
      </vt:variant>
      <vt:variant>
        <vt:i4>353</vt:i4>
      </vt:variant>
      <vt:variant>
        <vt:i4>0</vt:i4>
      </vt:variant>
      <vt:variant>
        <vt:i4>5</vt:i4>
      </vt:variant>
      <vt:variant>
        <vt:lpwstr/>
      </vt:variant>
      <vt:variant>
        <vt:lpwstr>_Toc90045125</vt:lpwstr>
      </vt:variant>
      <vt:variant>
        <vt:i4>1441854</vt:i4>
      </vt:variant>
      <vt:variant>
        <vt:i4>347</vt:i4>
      </vt:variant>
      <vt:variant>
        <vt:i4>0</vt:i4>
      </vt:variant>
      <vt:variant>
        <vt:i4>5</vt:i4>
      </vt:variant>
      <vt:variant>
        <vt:lpwstr/>
      </vt:variant>
      <vt:variant>
        <vt:lpwstr>_Toc90045124</vt:lpwstr>
      </vt:variant>
      <vt:variant>
        <vt:i4>1114174</vt:i4>
      </vt:variant>
      <vt:variant>
        <vt:i4>341</vt:i4>
      </vt:variant>
      <vt:variant>
        <vt:i4>0</vt:i4>
      </vt:variant>
      <vt:variant>
        <vt:i4>5</vt:i4>
      </vt:variant>
      <vt:variant>
        <vt:lpwstr/>
      </vt:variant>
      <vt:variant>
        <vt:lpwstr>_Toc90045123</vt:lpwstr>
      </vt:variant>
      <vt:variant>
        <vt:i4>1048638</vt:i4>
      </vt:variant>
      <vt:variant>
        <vt:i4>335</vt:i4>
      </vt:variant>
      <vt:variant>
        <vt:i4>0</vt:i4>
      </vt:variant>
      <vt:variant>
        <vt:i4>5</vt:i4>
      </vt:variant>
      <vt:variant>
        <vt:lpwstr/>
      </vt:variant>
      <vt:variant>
        <vt:lpwstr>_Toc90045122</vt:lpwstr>
      </vt:variant>
      <vt:variant>
        <vt:i4>1245246</vt:i4>
      </vt:variant>
      <vt:variant>
        <vt:i4>329</vt:i4>
      </vt:variant>
      <vt:variant>
        <vt:i4>0</vt:i4>
      </vt:variant>
      <vt:variant>
        <vt:i4>5</vt:i4>
      </vt:variant>
      <vt:variant>
        <vt:lpwstr/>
      </vt:variant>
      <vt:variant>
        <vt:lpwstr>_Toc90045121</vt:lpwstr>
      </vt:variant>
      <vt:variant>
        <vt:i4>1179710</vt:i4>
      </vt:variant>
      <vt:variant>
        <vt:i4>323</vt:i4>
      </vt:variant>
      <vt:variant>
        <vt:i4>0</vt:i4>
      </vt:variant>
      <vt:variant>
        <vt:i4>5</vt:i4>
      </vt:variant>
      <vt:variant>
        <vt:lpwstr/>
      </vt:variant>
      <vt:variant>
        <vt:lpwstr>_Toc90045120</vt:lpwstr>
      </vt:variant>
      <vt:variant>
        <vt:i4>1769533</vt:i4>
      </vt:variant>
      <vt:variant>
        <vt:i4>317</vt:i4>
      </vt:variant>
      <vt:variant>
        <vt:i4>0</vt:i4>
      </vt:variant>
      <vt:variant>
        <vt:i4>5</vt:i4>
      </vt:variant>
      <vt:variant>
        <vt:lpwstr/>
      </vt:variant>
      <vt:variant>
        <vt:lpwstr>_Toc90045119</vt:lpwstr>
      </vt:variant>
      <vt:variant>
        <vt:i4>1703997</vt:i4>
      </vt:variant>
      <vt:variant>
        <vt:i4>311</vt:i4>
      </vt:variant>
      <vt:variant>
        <vt:i4>0</vt:i4>
      </vt:variant>
      <vt:variant>
        <vt:i4>5</vt:i4>
      </vt:variant>
      <vt:variant>
        <vt:lpwstr/>
      </vt:variant>
      <vt:variant>
        <vt:lpwstr>_Toc90045118</vt:lpwstr>
      </vt:variant>
      <vt:variant>
        <vt:i4>1376317</vt:i4>
      </vt:variant>
      <vt:variant>
        <vt:i4>305</vt:i4>
      </vt:variant>
      <vt:variant>
        <vt:i4>0</vt:i4>
      </vt:variant>
      <vt:variant>
        <vt:i4>5</vt:i4>
      </vt:variant>
      <vt:variant>
        <vt:lpwstr/>
      </vt:variant>
      <vt:variant>
        <vt:lpwstr>_Toc90045117</vt:lpwstr>
      </vt:variant>
      <vt:variant>
        <vt:i4>1310781</vt:i4>
      </vt:variant>
      <vt:variant>
        <vt:i4>299</vt:i4>
      </vt:variant>
      <vt:variant>
        <vt:i4>0</vt:i4>
      </vt:variant>
      <vt:variant>
        <vt:i4>5</vt:i4>
      </vt:variant>
      <vt:variant>
        <vt:lpwstr/>
      </vt:variant>
      <vt:variant>
        <vt:lpwstr>_Toc90045116</vt:lpwstr>
      </vt:variant>
      <vt:variant>
        <vt:i4>1507389</vt:i4>
      </vt:variant>
      <vt:variant>
        <vt:i4>293</vt:i4>
      </vt:variant>
      <vt:variant>
        <vt:i4>0</vt:i4>
      </vt:variant>
      <vt:variant>
        <vt:i4>5</vt:i4>
      </vt:variant>
      <vt:variant>
        <vt:lpwstr/>
      </vt:variant>
      <vt:variant>
        <vt:lpwstr>_Toc90045115</vt:lpwstr>
      </vt:variant>
      <vt:variant>
        <vt:i4>1441853</vt:i4>
      </vt:variant>
      <vt:variant>
        <vt:i4>287</vt:i4>
      </vt:variant>
      <vt:variant>
        <vt:i4>0</vt:i4>
      </vt:variant>
      <vt:variant>
        <vt:i4>5</vt:i4>
      </vt:variant>
      <vt:variant>
        <vt:lpwstr/>
      </vt:variant>
      <vt:variant>
        <vt:lpwstr>_Toc90045114</vt:lpwstr>
      </vt:variant>
      <vt:variant>
        <vt:i4>1114173</vt:i4>
      </vt:variant>
      <vt:variant>
        <vt:i4>278</vt:i4>
      </vt:variant>
      <vt:variant>
        <vt:i4>0</vt:i4>
      </vt:variant>
      <vt:variant>
        <vt:i4>5</vt:i4>
      </vt:variant>
      <vt:variant>
        <vt:lpwstr/>
      </vt:variant>
      <vt:variant>
        <vt:lpwstr>_Toc90045113</vt:lpwstr>
      </vt:variant>
      <vt:variant>
        <vt:i4>1048637</vt:i4>
      </vt:variant>
      <vt:variant>
        <vt:i4>272</vt:i4>
      </vt:variant>
      <vt:variant>
        <vt:i4>0</vt:i4>
      </vt:variant>
      <vt:variant>
        <vt:i4>5</vt:i4>
      </vt:variant>
      <vt:variant>
        <vt:lpwstr/>
      </vt:variant>
      <vt:variant>
        <vt:lpwstr>_Toc90045112</vt:lpwstr>
      </vt:variant>
      <vt:variant>
        <vt:i4>1245245</vt:i4>
      </vt:variant>
      <vt:variant>
        <vt:i4>266</vt:i4>
      </vt:variant>
      <vt:variant>
        <vt:i4>0</vt:i4>
      </vt:variant>
      <vt:variant>
        <vt:i4>5</vt:i4>
      </vt:variant>
      <vt:variant>
        <vt:lpwstr/>
      </vt:variant>
      <vt:variant>
        <vt:lpwstr>_Toc90045111</vt:lpwstr>
      </vt:variant>
      <vt:variant>
        <vt:i4>1179709</vt:i4>
      </vt:variant>
      <vt:variant>
        <vt:i4>260</vt:i4>
      </vt:variant>
      <vt:variant>
        <vt:i4>0</vt:i4>
      </vt:variant>
      <vt:variant>
        <vt:i4>5</vt:i4>
      </vt:variant>
      <vt:variant>
        <vt:lpwstr/>
      </vt:variant>
      <vt:variant>
        <vt:lpwstr>_Toc90045110</vt:lpwstr>
      </vt:variant>
      <vt:variant>
        <vt:i4>1769532</vt:i4>
      </vt:variant>
      <vt:variant>
        <vt:i4>254</vt:i4>
      </vt:variant>
      <vt:variant>
        <vt:i4>0</vt:i4>
      </vt:variant>
      <vt:variant>
        <vt:i4>5</vt:i4>
      </vt:variant>
      <vt:variant>
        <vt:lpwstr/>
      </vt:variant>
      <vt:variant>
        <vt:lpwstr>_Toc90045109</vt:lpwstr>
      </vt:variant>
      <vt:variant>
        <vt:i4>1703996</vt:i4>
      </vt:variant>
      <vt:variant>
        <vt:i4>248</vt:i4>
      </vt:variant>
      <vt:variant>
        <vt:i4>0</vt:i4>
      </vt:variant>
      <vt:variant>
        <vt:i4>5</vt:i4>
      </vt:variant>
      <vt:variant>
        <vt:lpwstr/>
      </vt:variant>
      <vt:variant>
        <vt:lpwstr>_Toc90045108</vt:lpwstr>
      </vt:variant>
      <vt:variant>
        <vt:i4>1376316</vt:i4>
      </vt:variant>
      <vt:variant>
        <vt:i4>242</vt:i4>
      </vt:variant>
      <vt:variant>
        <vt:i4>0</vt:i4>
      </vt:variant>
      <vt:variant>
        <vt:i4>5</vt:i4>
      </vt:variant>
      <vt:variant>
        <vt:lpwstr/>
      </vt:variant>
      <vt:variant>
        <vt:lpwstr>_Toc90045107</vt:lpwstr>
      </vt:variant>
      <vt:variant>
        <vt:i4>1310780</vt:i4>
      </vt:variant>
      <vt:variant>
        <vt:i4>236</vt:i4>
      </vt:variant>
      <vt:variant>
        <vt:i4>0</vt:i4>
      </vt:variant>
      <vt:variant>
        <vt:i4>5</vt:i4>
      </vt:variant>
      <vt:variant>
        <vt:lpwstr/>
      </vt:variant>
      <vt:variant>
        <vt:lpwstr>_Toc90045106</vt:lpwstr>
      </vt:variant>
      <vt:variant>
        <vt:i4>1507388</vt:i4>
      </vt:variant>
      <vt:variant>
        <vt:i4>230</vt:i4>
      </vt:variant>
      <vt:variant>
        <vt:i4>0</vt:i4>
      </vt:variant>
      <vt:variant>
        <vt:i4>5</vt:i4>
      </vt:variant>
      <vt:variant>
        <vt:lpwstr/>
      </vt:variant>
      <vt:variant>
        <vt:lpwstr>_Toc90045105</vt:lpwstr>
      </vt:variant>
      <vt:variant>
        <vt:i4>1441852</vt:i4>
      </vt:variant>
      <vt:variant>
        <vt:i4>224</vt:i4>
      </vt:variant>
      <vt:variant>
        <vt:i4>0</vt:i4>
      </vt:variant>
      <vt:variant>
        <vt:i4>5</vt:i4>
      </vt:variant>
      <vt:variant>
        <vt:lpwstr/>
      </vt:variant>
      <vt:variant>
        <vt:lpwstr>_Toc90045104</vt:lpwstr>
      </vt:variant>
      <vt:variant>
        <vt:i4>1114172</vt:i4>
      </vt:variant>
      <vt:variant>
        <vt:i4>218</vt:i4>
      </vt:variant>
      <vt:variant>
        <vt:i4>0</vt:i4>
      </vt:variant>
      <vt:variant>
        <vt:i4>5</vt:i4>
      </vt:variant>
      <vt:variant>
        <vt:lpwstr/>
      </vt:variant>
      <vt:variant>
        <vt:lpwstr>_Toc90045103</vt:lpwstr>
      </vt:variant>
      <vt:variant>
        <vt:i4>1048636</vt:i4>
      </vt:variant>
      <vt:variant>
        <vt:i4>212</vt:i4>
      </vt:variant>
      <vt:variant>
        <vt:i4>0</vt:i4>
      </vt:variant>
      <vt:variant>
        <vt:i4>5</vt:i4>
      </vt:variant>
      <vt:variant>
        <vt:lpwstr/>
      </vt:variant>
      <vt:variant>
        <vt:lpwstr>_Toc90045102</vt:lpwstr>
      </vt:variant>
      <vt:variant>
        <vt:i4>1245244</vt:i4>
      </vt:variant>
      <vt:variant>
        <vt:i4>206</vt:i4>
      </vt:variant>
      <vt:variant>
        <vt:i4>0</vt:i4>
      </vt:variant>
      <vt:variant>
        <vt:i4>5</vt:i4>
      </vt:variant>
      <vt:variant>
        <vt:lpwstr/>
      </vt:variant>
      <vt:variant>
        <vt:lpwstr>_Toc90045101</vt:lpwstr>
      </vt:variant>
      <vt:variant>
        <vt:i4>1179708</vt:i4>
      </vt:variant>
      <vt:variant>
        <vt:i4>200</vt:i4>
      </vt:variant>
      <vt:variant>
        <vt:i4>0</vt:i4>
      </vt:variant>
      <vt:variant>
        <vt:i4>5</vt:i4>
      </vt:variant>
      <vt:variant>
        <vt:lpwstr/>
      </vt:variant>
      <vt:variant>
        <vt:lpwstr>_Toc90045100</vt:lpwstr>
      </vt:variant>
      <vt:variant>
        <vt:i4>1703989</vt:i4>
      </vt:variant>
      <vt:variant>
        <vt:i4>194</vt:i4>
      </vt:variant>
      <vt:variant>
        <vt:i4>0</vt:i4>
      </vt:variant>
      <vt:variant>
        <vt:i4>5</vt:i4>
      </vt:variant>
      <vt:variant>
        <vt:lpwstr/>
      </vt:variant>
      <vt:variant>
        <vt:lpwstr>_Toc90045099</vt:lpwstr>
      </vt:variant>
      <vt:variant>
        <vt:i4>1769525</vt:i4>
      </vt:variant>
      <vt:variant>
        <vt:i4>188</vt:i4>
      </vt:variant>
      <vt:variant>
        <vt:i4>0</vt:i4>
      </vt:variant>
      <vt:variant>
        <vt:i4>5</vt:i4>
      </vt:variant>
      <vt:variant>
        <vt:lpwstr/>
      </vt:variant>
      <vt:variant>
        <vt:lpwstr>_Toc90045098</vt:lpwstr>
      </vt:variant>
      <vt:variant>
        <vt:i4>1310773</vt:i4>
      </vt:variant>
      <vt:variant>
        <vt:i4>182</vt:i4>
      </vt:variant>
      <vt:variant>
        <vt:i4>0</vt:i4>
      </vt:variant>
      <vt:variant>
        <vt:i4>5</vt:i4>
      </vt:variant>
      <vt:variant>
        <vt:lpwstr/>
      </vt:variant>
      <vt:variant>
        <vt:lpwstr>_Toc90045097</vt:lpwstr>
      </vt:variant>
      <vt:variant>
        <vt:i4>1376309</vt:i4>
      </vt:variant>
      <vt:variant>
        <vt:i4>176</vt:i4>
      </vt:variant>
      <vt:variant>
        <vt:i4>0</vt:i4>
      </vt:variant>
      <vt:variant>
        <vt:i4>5</vt:i4>
      </vt:variant>
      <vt:variant>
        <vt:lpwstr/>
      </vt:variant>
      <vt:variant>
        <vt:lpwstr>_Toc90045096</vt:lpwstr>
      </vt:variant>
      <vt:variant>
        <vt:i4>1441845</vt:i4>
      </vt:variant>
      <vt:variant>
        <vt:i4>170</vt:i4>
      </vt:variant>
      <vt:variant>
        <vt:i4>0</vt:i4>
      </vt:variant>
      <vt:variant>
        <vt:i4>5</vt:i4>
      </vt:variant>
      <vt:variant>
        <vt:lpwstr/>
      </vt:variant>
      <vt:variant>
        <vt:lpwstr>_Toc90045095</vt:lpwstr>
      </vt:variant>
      <vt:variant>
        <vt:i4>1507381</vt:i4>
      </vt:variant>
      <vt:variant>
        <vt:i4>164</vt:i4>
      </vt:variant>
      <vt:variant>
        <vt:i4>0</vt:i4>
      </vt:variant>
      <vt:variant>
        <vt:i4>5</vt:i4>
      </vt:variant>
      <vt:variant>
        <vt:lpwstr/>
      </vt:variant>
      <vt:variant>
        <vt:lpwstr>_Toc90045094</vt:lpwstr>
      </vt:variant>
      <vt:variant>
        <vt:i4>1048629</vt:i4>
      </vt:variant>
      <vt:variant>
        <vt:i4>158</vt:i4>
      </vt:variant>
      <vt:variant>
        <vt:i4>0</vt:i4>
      </vt:variant>
      <vt:variant>
        <vt:i4>5</vt:i4>
      </vt:variant>
      <vt:variant>
        <vt:lpwstr/>
      </vt:variant>
      <vt:variant>
        <vt:lpwstr>_Toc90045093</vt:lpwstr>
      </vt:variant>
      <vt:variant>
        <vt:i4>1114165</vt:i4>
      </vt:variant>
      <vt:variant>
        <vt:i4>152</vt:i4>
      </vt:variant>
      <vt:variant>
        <vt:i4>0</vt:i4>
      </vt:variant>
      <vt:variant>
        <vt:i4>5</vt:i4>
      </vt:variant>
      <vt:variant>
        <vt:lpwstr/>
      </vt:variant>
      <vt:variant>
        <vt:lpwstr>_Toc90045092</vt:lpwstr>
      </vt:variant>
      <vt:variant>
        <vt:i4>1179701</vt:i4>
      </vt:variant>
      <vt:variant>
        <vt:i4>146</vt:i4>
      </vt:variant>
      <vt:variant>
        <vt:i4>0</vt:i4>
      </vt:variant>
      <vt:variant>
        <vt:i4>5</vt:i4>
      </vt:variant>
      <vt:variant>
        <vt:lpwstr/>
      </vt:variant>
      <vt:variant>
        <vt:lpwstr>_Toc90045091</vt:lpwstr>
      </vt:variant>
      <vt:variant>
        <vt:i4>1245237</vt:i4>
      </vt:variant>
      <vt:variant>
        <vt:i4>140</vt:i4>
      </vt:variant>
      <vt:variant>
        <vt:i4>0</vt:i4>
      </vt:variant>
      <vt:variant>
        <vt:i4>5</vt:i4>
      </vt:variant>
      <vt:variant>
        <vt:lpwstr/>
      </vt:variant>
      <vt:variant>
        <vt:lpwstr>_Toc90045090</vt:lpwstr>
      </vt:variant>
      <vt:variant>
        <vt:i4>1703988</vt:i4>
      </vt:variant>
      <vt:variant>
        <vt:i4>134</vt:i4>
      </vt:variant>
      <vt:variant>
        <vt:i4>0</vt:i4>
      </vt:variant>
      <vt:variant>
        <vt:i4>5</vt:i4>
      </vt:variant>
      <vt:variant>
        <vt:lpwstr/>
      </vt:variant>
      <vt:variant>
        <vt:lpwstr>_Toc90045089</vt:lpwstr>
      </vt:variant>
      <vt:variant>
        <vt:i4>1769524</vt:i4>
      </vt:variant>
      <vt:variant>
        <vt:i4>128</vt:i4>
      </vt:variant>
      <vt:variant>
        <vt:i4>0</vt:i4>
      </vt:variant>
      <vt:variant>
        <vt:i4>5</vt:i4>
      </vt:variant>
      <vt:variant>
        <vt:lpwstr/>
      </vt:variant>
      <vt:variant>
        <vt:lpwstr>_Toc90045088</vt:lpwstr>
      </vt:variant>
      <vt:variant>
        <vt:i4>1310772</vt:i4>
      </vt:variant>
      <vt:variant>
        <vt:i4>122</vt:i4>
      </vt:variant>
      <vt:variant>
        <vt:i4>0</vt:i4>
      </vt:variant>
      <vt:variant>
        <vt:i4>5</vt:i4>
      </vt:variant>
      <vt:variant>
        <vt:lpwstr/>
      </vt:variant>
      <vt:variant>
        <vt:lpwstr>_Toc90045087</vt:lpwstr>
      </vt:variant>
      <vt:variant>
        <vt:i4>1376308</vt:i4>
      </vt:variant>
      <vt:variant>
        <vt:i4>116</vt:i4>
      </vt:variant>
      <vt:variant>
        <vt:i4>0</vt:i4>
      </vt:variant>
      <vt:variant>
        <vt:i4>5</vt:i4>
      </vt:variant>
      <vt:variant>
        <vt:lpwstr/>
      </vt:variant>
      <vt:variant>
        <vt:lpwstr>_Toc90045086</vt:lpwstr>
      </vt:variant>
      <vt:variant>
        <vt:i4>1441844</vt:i4>
      </vt:variant>
      <vt:variant>
        <vt:i4>110</vt:i4>
      </vt:variant>
      <vt:variant>
        <vt:i4>0</vt:i4>
      </vt:variant>
      <vt:variant>
        <vt:i4>5</vt:i4>
      </vt:variant>
      <vt:variant>
        <vt:lpwstr/>
      </vt:variant>
      <vt:variant>
        <vt:lpwstr>_Toc90045085</vt:lpwstr>
      </vt:variant>
      <vt:variant>
        <vt:i4>1507380</vt:i4>
      </vt:variant>
      <vt:variant>
        <vt:i4>104</vt:i4>
      </vt:variant>
      <vt:variant>
        <vt:i4>0</vt:i4>
      </vt:variant>
      <vt:variant>
        <vt:i4>5</vt:i4>
      </vt:variant>
      <vt:variant>
        <vt:lpwstr/>
      </vt:variant>
      <vt:variant>
        <vt:lpwstr>_Toc90045084</vt:lpwstr>
      </vt:variant>
      <vt:variant>
        <vt:i4>1048628</vt:i4>
      </vt:variant>
      <vt:variant>
        <vt:i4>98</vt:i4>
      </vt:variant>
      <vt:variant>
        <vt:i4>0</vt:i4>
      </vt:variant>
      <vt:variant>
        <vt:i4>5</vt:i4>
      </vt:variant>
      <vt:variant>
        <vt:lpwstr/>
      </vt:variant>
      <vt:variant>
        <vt:lpwstr>_Toc90045083</vt:lpwstr>
      </vt:variant>
      <vt:variant>
        <vt:i4>1114164</vt:i4>
      </vt:variant>
      <vt:variant>
        <vt:i4>92</vt:i4>
      </vt:variant>
      <vt:variant>
        <vt:i4>0</vt:i4>
      </vt:variant>
      <vt:variant>
        <vt:i4>5</vt:i4>
      </vt:variant>
      <vt:variant>
        <vt:lpwstr/>
      </vt:variant>
      <vt:variant>
        <vt:lpwstr>_Toc90045082</vt:lpwstr>
      </vt:variant>
      <vt:variant>
        <vt:i4>1179700</vt:i4>
      </vt:variant>
      <vt:variant>
        <vt:i4>86</vt:i4>
      </vt:variant>
      <vt:variant>
        <vt:i4>0</vt:i4>
      </vt:variant>
      <vt:variant>
        <vt:i4>5</vt:i4>
      </vt:variant>
      <vt:variant>
        <vt:lpwstr/>
      </vt:variant>
      <vt:variant>
        <vt:lpwstr>_Toc90045081</vt:lpwstr>
      </vt:variant>
      <vt:variant>
        <vt:i4>1245236</vt:i4>
      </vt:variant>
      <vt:variant>
        <vt:i4>77</vt:i4>
      </vt:variant>
      <vt:variant>
        <vt:i4>0</vt:i4>
      </vt:variant>
      <vt:variant>
        <vt:i4>5</vt:i4>
      </vt:variant>
      <vt:variant>
        <vt:lpwstr/>
      </vt:variant>
      <vt:variant>
        <vt:lpwstr>_Toc90045080</vt:lpwstr>
      </vt:variant>
      <vt:variant>
        <vt:i4>1703995</vt:i4>
      </vt:variant>
      <vt:variant>
        <vt:i4>71</vt:i4>
      </vt:variant>
      <vt:variant>
        <vt:i4>0</vt:i4>
      </vt:variant>
      <vt:variant>
        <vt:i4>5</vt:i4>
      </vt:variant>
      <vt:variant>
        <vt:lpwstr/>
      </vt:variant>
      <vt:variant>
        <vt:lpwstr>_Toc90045079</vt:lpwstr>
      </vt:variant>
      <vt:variant>
        <vt:i4>1769531</vt:i4>
      </vt:variant>
      <vt:variant>
        <vt:i4>65</vt:i4>
      </vt:variant>
      <vt:variant>
        <vt:i4>0</vt:i4>
      </vt:variant>
      <vt:variant>
        <vt:i4>5</vt:i4>
      </vt:variant>
      <vt:variant>
        <vt:lpwstr/>
      </vt:variant>
      <vt:variant>
        <vt:lpwstr>_Toc90045078</vt:lpwstr>
      </vt:variant>
      <vt:variant>
        <vt:i4>1310779</vt:i4>
      </vt:variant>
      <vt:variant>
        <vt:i4>59</vt:i4>
      </vt:variant>
      <vt:variant>
        <vt:i4>0</vt:i4>
      </vt:variant>
      <vt:variant>
        <vt:i4>5</vt:i4>
      </vt:variant>
      <vt:variant>
        <vt:lpwstr/>
      </vt:variant>
      <vt:variant>
        <vt:lpwstr>_Toc90045077</vt:lpwstr>
      </vt:variant>
      <vt:variant>
        <vt:i4>1376315</vt:i4>
      </vt:variant>
      <vt:variant>
        <vt:i4>53</vt:i4>
      </vt:variant>
      <vt:variant>
        <vt:i4>0</vt:i4>
      </vt:variant>
      <vt:variant>
        <vt:i4>5</vt:i4>
      </vt:variant>
      <vt:variant>
        <vt:lpwstr/>
      </vt:variant>
      <vt:variant>
        <vt:lpwstr>_Toc90045076</vt:lpwstr>
      </vt:variant>
      <vt:variant>
        <vt:i4>1441851</vt:i4>
      </vt:variant>
      <vt:variant>
        <vt:i4>47</vt:i4>
      </vt:variant>
      <vt:variant>
        <vt:i4>0</vt:i4>
      </vt:variant>
      <vt:variant>
        <vt:i4>5</vt:i4>
      </vt:variant>
      <vt:variant>
        <vt:lpwstr/>
      </vt:variant>
      <vt:variant>
        <vt:lpwstr>_Toc90045075</vt:lpwstr>
      </vt:variant>
      <vt:variant>
        <vt:i4>1507387</vt:i4>
      </vt:variant>
      <vt:variant>
        <vt:i4>41</vt:i4>
      </vt:variant>
      <vt:variant>
        <vt:i4>0</vt:i4>
      </vt:variant>
      <vt:variant>
        <vt:i4>5</vt:i4>
      </vt:variant>
      <vt:variant>
        <vt:lpwstr/>
      </vt:variant>
      <vt:variant>
        <vt:lpwstr>_Toc90045074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Guenka;Caio Penitente;Thaís Mancini</dc:creator>
  <cp:keywords/>
  <dc:description/>
  <cp:lastModifiedBy>Caio Alves</cp:lastModifiedBy>
  <cp:revision>11</cp:revision>
  <cp:lastPrinted>2022-03-21T03:05:00Z</cp:lastPrinted>
  <dcterms:created xsi:type="dcterms:W3CDTF">2022-03-19T17:20:00Z</dcterms:created>
  <dcterms:modified xsi:type="dcterms:W3CDTF">2022-03-21T03:14:00Z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LDOC-3-230466</vt:lpwstr>
  </property>
  <property fmtid="{D5CDD505-2E9C-101B-9397-08002B2CF9AE}" pid="3" name="_dlc_DocIdItemGuid">
    <vt:lpwstr>1e095629-00c4-4f67-b0d9-d0a1c4604e55</vt:lpwstr>
  </property>
  <property fmtid="{D5CDD505-2E9C-101B-9397-08002B2CF9AE}" pid="4" name="_dlc_DocIdUrl">
    <vt:lpwstr>http://sharepoint/_layouts/15/DocIdRedir.aspx?ID=LDOC-3-230466, LDOC-3-230466</vt:lpwstr>
  </property>
  <property fmtid="{D5CDD505-2E9C-101B-9397-08002B2CF9AE}" pid="5" name="DLCPolicyLabelValue">
    <vt:lpwstr>{Identificador Único}/{Versão do Documento}</vt:lpwstr>
  </property>
  <property fmtid="{D5CDD505-2E9C-101B-9397-08002B2CF9AE}" pid="6" name="Cliente">
    <vt:lpwstr>894;#Banco Do Brasil:BB Banco de Investimento SA|6520fef4-723d-4f1e-8866-3d331518c3da</vt:lpwstr>
  </property>
  <property fmtid="{D5CDD505-2E9C-101B-9397-08002B2CF9AE}" pid="7" name="Keywords1">
    <vt:lpwstr/>
  </property>
  <property fmtid="{D5CDD505-2E9C-101B-9397-08002B2CF9AE}" pid="8" name="AutorDocumento">
    <vt:lpwstr/>
  </property>
  <property fmtid="{D5CDD505-2E9C-101B-9397-08002B2CF9AE}" pid="9" name="ContentTypeId">
    <vt:lpwstr>0x0101006EF17356CF70944FBC2751F899F610F400F0B6EB119FFDF04E826FAC6AE872118A</vt:lpwstr>
  </property>
  <property fmtid="{D5CDD505-2E9C-101B-9397-08002B2CF9AE}" pid="10" name="iManageCod">
    <vt:lpwstr>Lefosse - 746394v2</vt:lpwstr>
  </property>
  <property fmtid="{D5CDD505-2E9C-101B-9397-08002B2CF9AE}" pid="11" name="/bp_dc_modversion">
    <vt:lpwstr>CdcommP0Msn::aioaCropueS-1-_aopia*\noLlspcacn_#vDorremr*Uo\\\c\ rotT1-eãtPci_*sbAaTopseDDS16bSi_tl1!egpteDdcD\EE75__n-oe.Xr\pam\foosMR4940h__rDCsDpDcA90oPO</vt:lpwstr>
  </property>
  <property fmtid="{D5CDD505-2E9C-101B-9397-08002B2CF9AE}" pid="12" name="/bp_dc_orgversion">
    <vt:lpwstr>CdcommP-apa:aioaCropueS-6DMrsenr\noLlspcacn_#ve_toci.Uo\\\c\ rotT1-boirtmD:sbAaTopseDDS16_ãnPoiO*egpteDdcD\EE754Sh__lC*r\pam\foosMR490_o-PeX*sDpDcA90_r!</vt:lpwstr>
  </property>
  <property fmtid="{D5CDD505-2E9C-101B-9397-08002B2CF9AE}" pid="13" name="/bp_dc_filepath">
    <vt:lpwstr>CdcomuA90oPo:aioaCropptMR4940h__rdc\noLlspcat\EE75__n-oe.xUo\\\c\ ruDDS16bSi_tl1sbAaTopseOotT1-eãtPci_egpteDdcD\cn_#vDorremrr\pam\foosueS-1-_aopiasDpDcmP0Msn</vt:lpwstr>
  </property>
  <property fmtid="{D5CDD505-2E9C-101B-9397-08002B2CF9AE}" pid="14" name="bp_dc_comparedocs">
    <vt:lpwstr>5.0.200.14 _tc</vt:lpwstr>
  </property>
  <property fmtid="{D5CDD505-2E9C-101B-9397-08002B2CF9AE}" pid="15" name="DLCPolicyLabelClientValue">
    <vt:lpwstr>{Identificador Único}/{Versão do Documento}</vt:lpwstr>
  </property>
  <property fmtid="{D5CDD505-2E9C-101B-9397-08002B2CF9AE}" pid="16" name="CodigoSegmento">
    <vt:lpwstr/>
  </property>
  <property fmtid="{D5CDD505-2E9C-101B-9397-08002B2CF9AE}" pid="17" name="Area">
    <vt:lpwstr/>
  </property>
  <property fmtid="{D5CDD505-2E9C-101B-9397-08002B2CF9AE}" pid="18" name="LikesCount">
    <vt:lpwstr/>
  </property>
  <property fmtid="{D5CDD505-2E9C-101B-9397-08002B2CF9AE}" pid="19" name="TaxCatchAll">
    <vt:lpwstr/>
  </property>
  <property fmtid="{D5CDD505-2E9C-101B-9397-08002B2CF9AE}" pid="20" name="dbf937180b994812b3835ec56ddaea5f">
    <vt:lpwstr/>
  </property>
  <property fmtid="{D5CDD505-2E9C-101B-9397-08002B2CF9AE}" pid="21" name="o47f90c374aa42598c104dd08549f2b5">
    <vt:lpwstr/>
  </property>
  <property fmtid="{D5CDD505-2E9C-101B-9397-08002B2CF9AE}" pid="22" name="TipoDocumento">
    <vt:lpwstr/>
  </property>
  <property fmtid="{D5CDD505-2E9C-101B-9397-08002B2CF9AE}" pid="23" name="IDUnico">
    <vt:lpwstr/>
  </property>
  <property fmtid="{D5CDD505-2E9C-101B-9397-08002B2CF9AE}" pid="24" name="Ratings">
    <vt:lpwstr/>
  </property>
  <property fmtid="{D5CDD505-2E9C-101B-9397-08002B2CF9AE}" pid="25" name="d47f3fc68dc1429b8573eb2634792044">
    <vt:lpwstr/>
  </property>
  <property fmtid="{D5CDD505-2E9C-101B-9397-08002B2CF9AE}" pid="26" name="MatterAtivo">
    <vt:lpwstr>1</vt:lpwstr>
  </property>
  <property fmtid="{D5CDD505-2E9C-101B-9397-08002B2CF9AE}" pid="27" name="LikedBy">
    <vt:lpwstr/>
  </property>
  <property fmtid="{D5CDD505-2E9C-101B-9397-08002B2CF9AE}" pid="28" name="IdiomaDocumento">
    <vt:lpwstr>Português</vt:lpwstr>
  </property>
  <property fmtid="{D5CDD505-2E9C-101B-9397-08002B2CF9AE}" pid="29" name="Observacao">
    <vt:lpwstr/>
  </property>
  <property fmtid="{D5CDD505-2E9C-101B-9397-08002B2CF9AE}" pid="30" name="MatterManager">
    <vt:lpwstr/>
  </property>
  <property fmtid="{D5CDD505-2E9C-101B-9397-08002B2CF9AE}" pid="31" name="StatusDocumento">
    <vt:lpwstr>Não Iniciada</vt:lpwstr>
  </property>
  <property fmtid="{D5CDD505-2E9C-101B-9397-08002B2CF9AE}" pid="32" name="BillingPartner">
    <vt:lpwstr/>
  </property>
  <property fmtid="{D5CDD505-2E9C-101B-9397-08002B2CF9AE}" pid="33" name="DLCPolicyLabelLock">
    <vt:lpwstr/>
  </property>
  <property fmtid="{D5CDD505-2E9C-101B-9397-08002B2CF9AE}" pid="34" name="VersaoDocumento">
    <vt:lpwstr/>
  </property>
  <property fmtid="{D5CDD505-2E9C-101B-9397-08002B2CF9AE}" pid="35" name="Setor">
    <vt:lpwstr/>
  </property>
  <property fmtid="{D5CDD505-2E9C-101B-9397-08002B2CF9AE}" pid="36" name="Codigo">
    <vt:lpwstr/>
  </property>
  <property fmtid="{D5CDD505-2E9C-101B-9397-08002B2CF9AE}" pid="37" name="Knowhow">
    <vt:lpwstr>0</vt:lpwstr>
  </property>
  <property fmtid="{D5CDD505-2E9C-101B-9397-08002B2CF9AE}" pid="38" name="NumeroDocExplorer">
    <vt:lpwstr/>
  </property>
  <property fmtid="{D5CDD505-2E9C-101B-9397-08002B2CF9AE}" pid="39" name="RatedBy">
    <vt:lpwstr/>
  </property>
</Properties>
</file>