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7448" w14:textId="1518B94C" w:rsidR="00E80B84" w:rsidRPr="00D347EC" w:rsidRDefault="00943536" w:rsidP="002F519E">
      <w:pPr>
        <w:pStyle w:val="Ttulo"/>
        <w:jc w:val="center"/>
        <w:rPr>
          <w:rFonts w:ascii="Calibri" w:hAnsi="Calibri" w:cs="Calibri"/>
          <w:color w:val="203463"/>
          <w:sz w:val="28"/>
          <w:szCs w:val="28"/>
        </w:rPr>
      </w:pPr>
      <w:r w:rsidRPr="00D347EC">
        <w:rPr>
          <w:rFonts w:ascii="Calibri" w:hAnsi="Calibri" w:cs="Calibri"/>
          <w:color w:val="203463"/>
          <w:sz w:val="28"/>
          <w:szCs w:val="28"/>
        </w:rPr>
        <w:t>ANÚNCIO DE INÍC</w:t>
      </w:r>
      <w:r w:rsidR="006E1FFD" w:rsidRPr="00D347EC">
        <w:rPr>
          <w:rFonts w:ascii="Calibri" w:hAnsi="Calibri" w:cs="Calibri"/>
          <w:color w:val="203463"/>
          <w:sz w:val="28"/>
          <w:szCs w:val="28"/>
        </w:rPr>
        <w:t>I</w:t>
      </w:r>
      <w:r w:rsidRPr="00D347EC">
        <w:rPr>
          <w:rFonts w:ascii="Calibri" w:hAnsi="Calibri" w:cs="Calibri"/>
          <w:color w:val="203463"/>
          <w:sz w:val="28"/>
          <w:szCs w:val="28"/>
        </w:rPr>
        <w:t xml:space="preserve">O </w:t>
      </w:r>
      <w:r w:rsidR="00F90687" w:rsidRPr="00D347EC">
        <w:rPr>
          <w:rFonts w:ascii="Calibri" w:hAnsi="Calibri" w:cs="Calibri"/>
          <w:color w:val="203463"/>
          <w:sz w:val="28"/>
          <w:szCs w:val="28"/>
        </w:rPr>
        <w:t xml:space="preserve">DA OFERTA PÚBLICA DE DISTRIBUIÇÃO DE DEBÊNTURES SIMPLES, NÃO CONVERSÍVEIS EM AÇÕES, DA ESPÉCIE QUIROGRAFÁRIA, EM </w:t>
      </w:r>
      <w:r w:rsidR="00E16505" w:rsidRPr="00D347EC">
        <w:rPr>
          <w:rFonts w:ascii="Calibri" w:hAnsi="Calibri" w:cs="Calibri"/>
          <w:color w:val="203463"/>
          <w:sz w:val="28"/>
          <w:szCs w:val="28"/>
        </w:rPr>
        <w:t>DUAS SÉRIES</w:t>
      </w:r>
      <w:r w:rsidR="00F90687" w:rsidRPr="00D347EC">
        <w:rPr>
          <w:rFonts w:ascii="Calibri" w:hAnsi="Calibri" w:cs="Calibri"/>
          <w:color w:val="203463"/>
          <w:sz w:val="28"/>
          <w:szCs w:val="28"/>
        </w:rPr>
        <w:t xml:space="preserve">, DA </w:t>
      </w:r>
      <w:r w:rsidR="00E16505" w:rsidRPr="00D347EC">
        <w:rPr>
          <w:rFonts w:ascii="Calibri" w:hAnsi="Calibri" w:cs="Calibri"/>
          <w:color w:val="203463"/>
          <w:sz w:val="28"/>
          <w:szCs w:val="28"/>
        </w:rPr>
        <w:t>4</w:t>
      </w:r>
      <w:r w:rsidR="00F90687" w:rsidRPr="00D347EC">
        <w:rPr>
          <w:rFonts w:ascii="Calibri" w:hAnsi="Calibri" w:cs="Calibri"/>
          <w:color w:val="203463"/>
          <w:sz w:val="28"/>
          <w:szCs w:val="28"/>
        </w:rPr>
        <w:t>ª (</w:t>
      </w:r>
      <w:r w:rsidR="00E16505" w:rsidRPr="00D347EC">
        <w:rPr>
          <w:rFonts w:ascii="Calibri" w:hAnsi="Calibri" w:cs="Calibri"/>
          <w:color w:val="203463"/>
          <w:sz w:val="28"/>
          <w:szCs w:val="28"/>
        </w:rPr>
        <w:t>QUARTA</w:t>
      </w:r>
      <w:r w:rsidR="00F90687" w:rsidRPr="00D347EC">
        <w:rPr>
          <w:rFonts w:ascii="Calibri" w:hAnsi="Calibri" w:cs="Calibri"/>
          <w:color w:val="203463"/>
          <w:sz w:val="28"/>
          <w:szCs w:val="28"/>
        </w:rPr>
        <w:t>) EMISSÃO DA</w:t>
      </w:r>
      <w:r w:rsidR="00F90687" w:rsidRPr="00D347EC" w:rsidDel="00F90687">
        <w:rPr>
          <w:rFonts w:ascii="Calibri" w:hAnsi="Calibri" w:cs="Calibri"/>
          <w:color w:val="203463"/>
          <w:sz w:val="28"/>
          <w:szCs w:val="28"/>
        </w:rPr>
        <w:t xml:space="preserve"> </w:t>
      </w:r>
    </w:p>
    <w:p w14:paraId="74916D2E" w14:textId="14C1A102" w:rsidR="0087082D" w:rsidRDefault="0087082D" w:rsidP="00E16505">
      <w:pPr>
        <w:spacing w:after="140" w:line="290" w:lineRule="auto"/>
        <w:rPr>
          <w:rFonts w:ascii="Calibri" w:hAnsi="Calibri" w:cs="Calibri"/>
          <w:noProof/>
          <w:sz w:val="24"/>
          <w:lang w:eastAsia="zh-CN" w:bidi="hi-IN"/>
        </w:rPr>
      </w:pPr>
      <w:r w:rsidRPr="00945B8F">
        <w:rPr>
          <w:rFonts w:ascii="Calibri" w:hAnsi="Calibri" w:cs="Calibri"/>
          <w:noProof/>
          <w:sz w:val="24"/>
          <w:lang w:val="en-US" w:eastAsia="en-US"/>
        </w:rPr>
        <w:drawing>
          <wp:anchor distT="0" distB="0" distL="114300" distR="114300" simplePos="0" relativeHeight="251657728" behindDoc="0" locked="0" layoutInCell="1" allowOverlap="1" wp14:anchorId="5AFD88E8" wp14:editId="12E60FEE">
            <wp:simplePos x="0" y="0"/>
            <wp:positionH relativeFrom="margin">
              <wp:posOffset>1552575</wp:posOffset>
            </wp:positionH>
            <wp:positionV relativeFrom="paragraph">
              <wp:posOffset>12700</wp:posOffset>
            </wp:positionV>
            <wp:extent cx="2581910" cy="467360"/>
            <wp:effectExtent l="0" t="0" r="8890" b="0"/>
            <wp:wrapSquare wrapText="bothSides"/>
            <wp:docPr id="3" name="Imagem 3" descr="São Martinho - SMTO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ão Martinho - SMTO3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81910" cy="467360"/>
                    </a:xfrm>
                    <a:prstGeom prst="rect">
                      <a:avLst/>
                    </a:prstGeom>
                    <a:noFill/>
                    <a:ln>
                      <a:noFill/>
                    </a:ln>
                  </pic:spPr>
                </pic:pic>
              </a:graphicData>
            </a:graphic>
          </wp:anchor>
        </w:drawing>
      </w:r>
    </w:p>
    <w:p w14:paraId="0808E7AA" w14:textId="6BFE459E" w:rsidR="00E16505" w:rsidRPr="00365D60" w:rsidRDefault="00E16505" w:rsidP="00E16505">
      <w:pPr>
        <w:spacing w:after="140" w:line="290" w:lineRule="auto"/>
        <w:rPr>
          <w:rFonts w:ascii="Calibri" w:hAnsi="Calibri" w:cs="Calibri"/>
          <w:noProof/>
          <w:sz w:val="24"/>
          <w:lang w:eastAsia="zh-CN" w:bidi="hi-IN"/>
        </w:rPr>
      </w:pPr>
    </w:p>
    <w:p w14:paraId="11FC4EFF" w14:textId="16C956CD" w:rsidR="00F34126" w:rsidRPr="00C6089D" w:rsidRDefault="00E16505" w:rsidP="00945B8F">
      <w:pPr>
        <w:pStyle w:val="Body"/>
        <w:spacing w:line="240" w:lineRule="auto"/>
        <w:jc w:val="center"/>
        <w:rPr>
          <w:rFonts w:ascii="Calibri" w:hAnsi="Calibri" w:cs="Calibri"/>
          <w:sz w:val="24"/>
        </w:rPr>
      </w:pPr>
      <w:r w:rsidRPr="00365D60">
        <w:rPr>
          <w:rFonts w:ascii="Calibri" w:hAnsi="Calibri" w:cs="Calibri"/>
          <w:b/>
          <w:sz w:val="24"/>
        </w:rPr>
        <w:t>SÃO MARTINHO</w:t>
      </w:r>
      <w:r w:rsidR="00F90687" w:rsidRPr="00C6089D">
        <w:rPr>
          <w:rFonts w:ascii="Calibri" w:hAnsi="Calibri" w:cs="Calibri"/>
          <w:b/>
          <w:sz w:val="24"/>
        </w:rPr>
        <w:t xml:space="preserve"> S.A.</w:t>
      </w:r>
      <w:r w:rsidR="00F90687" w:rsidRPr="00C6089D">
        <w:rPr>
          <w:rFonts w:ascii="Calibri" w:hAnsi="Calibri" w:cs="Calibri"/>
          <w:b/>
          <w:sz w:val="24"/>
        </w:rPr>
        <w:br/>
      </w:r>
      <w:r w:rsidRPr="00C6089D">
        <w:rPr>
          <w:rFonts w:ascii="Calibri" w:hAnsi="Calibri" w:cs="Calibri"/>
          <w:sz w:val="24"/>
        </w:rPr>
        <w:t xml:space="preserve">Companhia Aberta – CVM nº </w:t>
      </w:r>
      <w:r w:rsidRPr="00365D60">
        <w:rPr>
          <w:rFonts w:ascii="Calibri" w:hAnsi="Calibri" w:cs="Calibri"/>
          <w:sz w:val="24"/>
        </w:rPr>
        <w:t>20516</w:t>
      </w:r>
      <w:r w:rsidR="00F90687" w:rsidRPr="00C6089D">
        <w:rPr>
          <w:rFonts w:ascii="Calibri" w:hAnsi="Calibri" w:cs="Calibri"/>
          <w:sz w:val="24"/>
        </w:rPr>
        <w:br/>
      </w:r>
      <w:r w:rsidRPr="00C6089D">
        <w:rPr>
          <w:rFonts w:ascii="Calibri" w:hAnsi="Calibri" w:cs="Calibri"/>
          <w:sz w:val="24"/>
        </w:rPr>
        <w:t xml:space="preserve">CNPJ nº </w:t>
      </w:r>
      <w:r w:rsidRPr="00365D60">
        <w:rPr>
          <w:rFonts w:ascii="Calibri" w:hAnsi="Calibri" w:cs="Calibri"/>
          <w:sz w:val="24"/>
        </w:rPr>
        <w:t>51.446.860</w:t>
      </w:r>
      <w:r w:rsidRPr="00C6089D">
        <w:rPr>
          <w:rFonts w:ascii="Calibri" w:hAnsi="Calibri" w:cs="Calibri"/>
          <w:sz w:val="24"/>
        </w:rPr>
        <w:t>/0001-</w:t>
      </w:r>
      <w:r w:rsidRPr="00365D60">
        <w:rPr>
          <w:rFonts w:ascii="Calibri" w:hAnsi="Calibri" w:cs="Calibri"/>
          <w:sz w:val="24"/>
        </w:rPr>
        <w:t>56</w:t>
      </w:r>
      <w:r w:rsidR="00F90687" w:rsidRPr="00C6089D">
        <w:rPr>
          <w:rFonts w:ascii="Calibri" w:hAnsi="Calibri" w:cs="Calibri"/>
          <w:sz w:val="24"/>
        </w:rPr>
        <w:br/>
      </w:r>
      <w:r w:rsidRPr="00C6089D">
        <w:rPr>
          <w:rFonts w:ascii="Calibri" w:hAnsi="Calibri" w:cs="Calibri"/>
          <w:sz w:val="24"/>
        </w:rPr>
        <w:t xml:space="preserve">NIRE </w:t>
      </w:r>
      <w:r w:rsidRPr="00365D60">
        <w:rPr>
          <w:rFonts w:ascii="Calibri" w:hAnsi="Calibri" w:cs="Calibri"/>
          <w:sz w:val="24"/>
        </w:rPr>
        <w:t>35.300.010.485</w:t>
      </w:r>
      <w:r w:rsidR="00F90687" w:rsidRPr="00365D60">
        <w:rPr>
          <w:rFonts w:ascii="Calibri" w:hAnsi="Calibri" w:cs="Calibri"/>
          <w:sz w:val="24"/>
        </w:rPr>
        <w:br/>
      </w:r>
      <w:r w:rsidRPr="00365D60">
        <w:rPr>
          <w:rFonts w:ascii="Calibri" w:hAnsi="Calibri" w:cs="Calibri"/>
          <w:sz w:val="24"/>
        </w:rPr>
        <w:t>Fazenda São Martinho, s/n</w:t>
      </w:r>
      <w:r w:rsidRPr="00C6089D">
        <w:rPr>
          <w:rFonts w:ascii="Calibri" w:hAnsi="Calibri" w:cs="Calibri"/>
          <w:sz w:val="24"/>
        </w:rPr>
        <w:t xml:space="preserve">, CEP </w:t>
      </w:r>
      <w:r w:rsidRPr="00365D60">
        <w:rPr>
          <w:rFonts w:ascii="Calibri" w:hAnsi="Calibri" w:cs="Calibri"/>
          <w:sz w:val="24"/>
        </w:rPr>
        <w:t>14850-000, Pradópolis, SP</w:t>
      </w:r>
    </w:p>
    <w:p w14:paraId="59459E05" w14:textId="7D530DD0" w:rsidR="00312F53" w:rsidRPr="00C6089D" w:rsidRDefault="00F34126" w:rsidP="00F90687">
      <w:pPr>
        <w:pStyle w:val="Body"/>
        <w:jc w:val="center"/>
        <w:rPr>
          <w:rFonts w:ascii="Calibri" w:hAnsi="Calibri" w:cs="Calibri"/>
          <w:b/>
          <w:sz w:val="24"/>
        </w:rPr>
      </w:pPr>
      <w:r w:rsidRPr="00C6089D">
        <w:rPr>
          <w:rFonts w:ascii="Calibri" w:hAnsi="Calibri" w:cs="Calibri"/>
          <w:b/>
          <w:sz w:val="24"/>
        </w:rPr>
        <w:t>Perfazendo o montante total de</w:t>
      </w:r>
      <w:r w:rsidR="00F90687" w:rsidRPr="00C6089D">
        <w:rPr>
          <w:rFonts w:ascii="Calibri" w:hAnsi="Calibri" w:cs="Calibri"/>
          <w:b/>
          <w:sz w:val="24"/>
        </w:rPr>
        <w:br/>
      </w:r>
      <w:r w:rsidR="00E16505" w:rsidRPr="00D347EC">
        <w:rPr>
          <w:rFonts w:ascii="Calibri" w:hAnsi="Calibri" w:cs="Calibri"/>
          <w:b/>
          <w:sz w:val="36"/>
          <w:szCs w:val="36"/>
        </w:rPr>
        <w:t>R$</w:t>
      </w:r>
      <w:r w:rsidR="00912BEB">
        <w:rPr>
          <w:rFonts w:ascii="Calibri" w:hAnsi="Calibri" w:cs="Calibri"/>
          <w:b/>
          <w:sz w:val="36"/>
          <w:szCs w:val="36"/>
        </w:rPr>
        <w:t>1</w:t>
      </w:r>
      <w:r w:rsidR="00E16505" w:rsidRPr="00D347EC">
        <w:rPr>
          <w:rFonts w:ascii="Calibri" w:hAnsi="Calibri" w:cs="Calibri"/>
          <w:b/>
          <w:sz w:val="36"/>
          <w:szCs w:val="36"/>
        </w:rPr>
        <w:t>.</w:t>
      </w:r>
      <w:r w:rsidR="00912BEB">
        <w:rPr>
          <w:rFonts w:ascii="Calibri" w:hAnsi="Calibri" w:cs="Calibri"/>
          <w:b/>
          <w:sz w:val="36"/>
          <w:szCs w:val="36"/>
        </w:rPr>
        <w:t>2</w:t>
      </w:r>
      <w:r w:rsidR="00E16505" w:rsidRPr="00D347EC">
        <w:rPr>
          <w:rFonts w:ascii="Calibri" w:hAnsi="Calibri" w:cs="Calibri"/>
          <w:b/>
          <w:sz w:val="36"/>
          <w:szCs w:val="36"/>
        </w:rPr>
        <w:t>00.000.000,00</w:t>
      </w:r>
      <w:r w:rsidR="00E16505" w:rsidRPr="00D347EC">
        <w:rPr>
          <w:rFonts w:ascii="Calibri" w:hAnsi="Calibri" w:cs="Calibri"/>
          <w:b/>
          <w:sz w:val="36"/>
          <w:szCs w:val="36"/>
        </w:rPr>
        <w:br/>
      </w:r>
      <w:r w:rsidR="00E16505" w:rsidRPr="00C6089D">
        <w:rPr>
          <w:rFonts w:ascii="Calibri" w:hAnsi="Calibri" w:cs="Calibri"/>
          <w:b/>
          <w:sz w:val="24"/>
        </w:rPr>
        <w:t>(</w:t>
      </w:r>
      <w:r w:rsidR="00E16505" w:rsidRPr="00365D60">
        <w:rPr>
          <w:rFonts w:ascii="Calibri" w:hAnsi="Calibri" w:cs="Calibri"/>
          <w:b/>
          <w:sz w:val="24"/>
        </w:rPr>
        <w:t>um bilhão</w:t>
      </w:r>
      <w:r w:rsidR="00912BEB">
        <w:rPr>
          <w:rFonts w:ascii="Calibri" w:hAnsi="Calibri" w:cs="Calibri"/>
          <w:b/>
          <w:sz w:val="24"/>
        </w:rPr>
        <w:t xml:space="preserve"> e duzentos milhões</w:t>
      </w:r>
      <w:r w:rsidR="00E16505" w:rsidRPr="00365D60">
        <w:rPr>
          <w:rFonts w:ascii="Calibri" w:hAnsi="Calibri" w:cs="Calibri"/>
          <w:b/>
          <w:sz w:val="24"/>
        </w:rPr>
        <w:t xml:space="preserve"> de </w:t>
      </w:r>
      <w:r w:rsidR="00E16505" w:rsidRPr="00C6089D">
        <w:rPr>
          <w:rFonts w:ascii="Calibri" w:hAnsi="Calibri" w:cs="Calibri"/>
          <w:b/>
          <w:sz w:val="24"/>
        </w:rPr>
        <w:t>reais)</w:t>
      </w:r>
    </w:p>
    <w:p w14:paraId="5257596C" w14:textId="2128BEA6" w:rsidR="00E16505" w:rsidRPr="00C6089D" w:rsidRDefault="00E16505" w:rsidP="008A2F1E">
      <w:pPr>
        <w:pStyle w:val="Level2"/>
        <w:numPr>
          <w:ilvl w:val="0"/>
          <w:numId w:val="0"/>
        </w:numPr>
        <w:spacing w:after="100" w:line="240" w:lineRule="auto"/>
        <w:jc w:val="center"/>
        <w:rPr>
          <w:rFonts w:ascii="Calibri" w:hAnsi="Calibri" w:cs="Calibri"/>
          <w:b/>
          <w:sz w:val="24"/>
          <w:szCs w:val="24"/>
        </w:rPr>
      </w:pPr>
      <w:r w:rsidRPr="00C6089D">
        <w:rPr>
          <w:rFonts w:ascii="Calibri" w:hAnsi="Calibri" w:cs="Calibri"/>
          <w:b/>
          <w:sz w:val="24"/>
          <w:szCs w:val="24"/>
        </w:rPr>
        <w:t>Código ISIN das Debêntures</w:t>
      </w:r>
      <w:r w:rsidRPr="00365D60">
        <w:rPr>
          <w:rFonts w:ascii="Calibri" w:hAnsi="Calibri" w:cs="Calibri"/>
          <w:b/>
          <w:sz w:val="24"/>
          <w:szCs w:val="24"/>
        </w:rPr>
        <w:t xml:space="preserve"> da Primeira Série: </w:t>
      </w:r>
      <w:bookmarkStart w:id="0" w:name="_Hlk89278606"/>
      <w:r w:rsidR="00365D60" w:rsidRPr="0021647B">
        <w:rPr>
          <w:rFonts w:ascii="Calibri" w:hAnsi="Calibri" w:cs="Calibri"/>
          <w:b/>
          <w:sz w:val="24"/>
          <w:szCs w:val="24"/>
        </w:rPr>
        <w:t>BRSMTODBS013</w:t>
      </w:r>
      <w:bookmarkEnd w:id="0"/>
    </w:p>
    <w:p w14:paraId="7C0E639D" w14:textId="2F060F63" w:rsidR="00E16505" w:rsidRPr="00365D60" w:rsidRDefault="00E16505" w:rsidP="008A2F1E">
      <w:pPr>
        <w:pStyle w:val="Level2"/>
        <w:numPr>
          <w:ilvl w:val="0"/>
          <w:numId w:val="0"/>
        </w:numPr>
        <w:spacing w:after="100" w:line="240" w:lineRule="auto"/>
        <w:jc w:val="center"/>
        <w:rPr>
          <w:rFonts w:ascii="Calibri" w:hAnsi="Calibri" w:cs="Calibri"/>
          <w:b/>
          <w:sz w:val="24"/>
          <w:szCs w:val="24"/>
        </w:rPr>
      </w:pPr>
      <w:r w:rsidRPr="00365D60">
        <w:rPr>
          <w:rFonts w:ascii="Calibri" w:hAnsi="Calibri" w:cs="Calibri"/>
          <w:b/>
          <w:sz w:val="24"/>
          <w:szCs w:val="24"/>
        </w:rPr>
        <w:t xml:space="preserve">Código ISIN das Debêntures da Segunda Série: </w:t>
      </w:r>
      <w:bookmarkStart w:id="1" w:name="_Hlk89278615"/>
      <w:r w:rsidR="00365D60" w:rsidRPr="0021647B">
        <w:rPr>
          <w:rFonts w:ascii="Calibri" w:hAnsi="Calibri" w:cs="Calibri"/>
          <w:b/>
          <w:sz w:val="24"/>
          <w:szCs w:val="24"/>
        </w:rPr>
        <w:t>BRSMTODBS021</w:t>
      </w:r>
      <w:bookmarkEnd w:id="1"/>
    </w:p>
    <w:p w14:paraId="4F108701" w14:textId="21569517" w:rsidR="00E16505" w:rsidRDefault="00E16505" w:rsidP="008A2F1E">
      <w:pPr>
        <w:pStyle w:val="Level2"/>
        <w:numPr>
          <w:ilvl w:val="0"/>
          <w:numId w:val="0"/>
        </w:numPr>
        <w:spacing w:after="100" w:line="240" w:lineRule="auto"/>
        <w:jc w:val="center"/>
        <w:rPr>
          <w:rFonts w:ascii="Calibri" w:hAnsi="Calibri" w:cs="Calibri"/>
          <w:b/>
          <w:sz w:val="24"/>
          <w:szCs w:val="24"/>
        </w:rPr>
      </w:pPr>
      <w:r w:rsidRPr="00C6089D">
        <w:rPr>
          <w:rFonts w:ascii="Calibri" w:hAnsi="Calibri" w:cs="Calibri"/>
          <w:b/>
          <w:sz w:val="24"/>
          <w:szCs w:val="24"/>
        </w:rPr>
        <w:t>Classificação de</w:t>
      </w:r>
      <w:r w:rsidR="00C6089D">
        <w:rPr>
          <w:rFonts w:ascii="Calibri" w:hAnsi="Calibri" w:cs="Calibri"/>
          <w:b/>
          <w:sz w:val="24"/>
          <w:szCs w:val="24"/>
        </w:rPr>
        <w:t xml:space="preserve"> </w:t>
      </w:r>
      <w:r w:rsidRPr="00C6089D">
        <w:rPr>
          <w:rFonts w:ascii="Calibri" w:hAnsi="Calibri" w:cs="Calibri"/>
          <w:b/>
          <w:sz w:val="24"/>
          <w:szCs w:val="24"/>
        </w:rPr>
        <w:t xml:space="preserve">Risco </w:t>
      </w:r>
      <w:r w:rsidR="00C6089D">
        <w:rPr>
          <w:rFonts w:ascii="Calibri" w:hAnsi="Calibri" w:cs="Calibri"/>
          <w:b/>
          <w:sz w:val="24"/>
          <w:szCs w:val="24"/>
        </w:rPr>
        <w:t>Preliminar</w:t>
      </w:r>
      <w:r w:rsidR="00C6089D" w:rsidRPr="00C6089D">
        <w:rPr>
          <w:rFonts w:ascii="Calibri" w:hAnsi="Calibri" w:cs="Calibri"/>
          <w:b/>
          <w:sz w:val="24"/>
          <w:szCs w:val="24"/>
        </w:rPr>
        <w:t xml:space="preserve"> </w:t>
      </w:r>
      <w:r w:rsidRPr="00C6089D">
        <w:rPr>
          <w:rFonts w:ascii="Calibri" w:hAnsi="Calibri" w:cs="Calibri"/>
          <w:b/>
          <w:sz w:val="24"/>
          <w:szCs w:val="24"/>
        </w:rPr>
        <w:t>da Emissão (</w:t>
      </w:r>
      <w:r w:rsidRPr="00C6089D">
        <w:rPr>
          <w:rFonts w:ascii="Calibri" w:hAnsi="Calibri" w:cs="Calibri"/>
          <w:b/>
          <w:i/>
          <w:sz w:val="24"/>
          <w:szCs w:val="24"/>
        </w:rPr>
        <w:t>Rating</w:t>
      </w:r>
      <w:r w:rsidRPr="00C6089D">
        <w:rPr>
          <w:rFonts w:ascii="Calibri" w:hAnsi="Calibri" w:cs="Calibri"/>
          <w:b/>
          <w:sz w:val="24"/>
          <w:szCs w:val="24"/>
        </w:rPr>
        <w:t xml:space="preserve">) </w:t>
      </w:r>
      <w:r w:rsidR="00143D5F">
        <w:rPr>
          <w:rFonts w:ascii="Calibri" w:hAnsi="Calibri" w:cs="Calibri"/>
          <w:b/>
          <w:sz w:val="24"/>
          <w:szCs w:val="24"/>
        </w:rPr>
        <w:br/>
      </w:r>
      <w:r w:rsidRPr="00C6089D">
        <w:rPr>
          <w:rFonts w:ascii="Calibri" w:hAnsi="Calibri" w:cs="Calibri"/>
          <w:b/>
          <w:sz w:val="24"/>
          <w:szCs w:val="24"/>
        </w:rPr>
        <w:t xml:space="preserve">pela </w:t>
      </w:r>
      <w:r w:rsidR="001A6D89">
        <w:rPr>
          <w:rFonts w:ascii="Calibri" w:hAnsi="Calibri" w:cs="Calibri"/>
          <w:b/>
          <w:sz w:val="24"/>
          <w:szCs w:val="24"/>
        </w:rPr>
        <w:t xml:space="preserve">Standard &amp; </w:t>
      </w:r>
      <w:proofErr w:type="spellStart"/>
      <w:r w:rsidR="001A6D89">
        <w:rPr>
          <w:rFonts w:ascii="Calibri" w:hAnsi="Calibri" w:cs="Calibri"/>
          <w:b/>
          <w:sz w:val="24"/>
          <w:szCs w:val="24"/>
        </w:rPr>
        <w:t>Poor’s</w:t>
      </w:r>
      <w:proofErr w:type="spellEnd"/>
      <w:r w:rsidR="001A6D89">
        <w:rPr>
          <w:rFonts w:ascii="Calibri" w:hAnsi="Calibri" w:cs="Calibri"/>
          <w:b/>
          <w:sz w:val="24"/>
          <w:szCs w:val="24"/>
        </w:rPr>
        <w:t xml:space="preserve"> Ratings do Brasil Ltda.</w:t>
      </w:r>
      <w:r w:rsidRPr="00365D60">
        <w:rPr>
          <w:rFonts w:ascii="Calibri" w:hAnsi="Calibri" w:cs="Calibri"/>
          <w:b/>
          <w:sz w:val="24"/>
          <w:szCs w:val="24"/>
        </w:rPr>
        <w:t>: “</w:t>
      </w:r>
      <w:proofErr w:type="spellStart"/>
      <w:r w:rsidR="00460B6D">
        <w:rPr>
          <w:rFonts w:ascii="Calibri" w:hAnsi="Calibri" w:cs="Calibri"/>
          <w:b/>
          <w:sz w:val="24"/>
          <w:szCs w:val="24"/>
        </w:rPr>
        <w:t>brAAA</w:t>
      </w:r>
      <w:proofErr w:type="spellEnd"/>
      <w:r w:rsidRPr="00365D60">
        <w:rPr>
          <w:rFonts w:ascii="Calibri" w:hAnsi="Calibri" w:cs="Calibri"/>
          <w:b/>
          <w:sz w:val="24"/>
          <w:szCs w:val="24"/>
        </w:rPr>
        <w:t>”</w:t>
      </w:r>
    </w:p>
    <w:p w14:paraId="627ABC73" w14:textId="0EF027C1" w:rsidR="001A6D89" w:rsidRPr="00C6089D" w:rsidRDefault="001A6D89" w:rsidP="001A6D89">
      <w:pPr>
        <w:pStyle w:val="Level2"/>
        <w:numPr>
          <w:ilvl w:val="0"/>
          <w:numId w:val="0"/>
        </w:numPr>
        <w:jc w:val="center"/>
        <w:rPr>
          <w:rFonts w:ascii="Calibri" w:hAnsi="Calibri" w:cs="Calibri"/>
          <w:b/>
          <w:sz w:val="24"/>
          <w:szCs w:val="24"/>
        </w:rPr>
      </w:pPr>
      <w:r>
        <w:rPr>
          <w:rFonts w:ascii="Calibri" w:hAnsi="Calibri" w:cs="Calibri"/>
          <w:b/>
          <w:sz w:val="24"/>
          <w:szCs w:val="24"/>
        </w:rPr>
        <w:t xml:space="preserve">REGISTRO DAS DEBÊNTURES DA PRIMEIRA SÉRIE: </w:t>
      </w:r>
      <w:r w:rsidR="00F60A78" w:rsidRPr="00F60A78">
        <w:rPr>
          <w:rFonts w:ascii="Calibri" w:hAnsi="Calibri" w:cs="Calibri"/>
          <w:b/>
          <w:sz w:val="24"/>
          <w:szCs w:val="24"/>
        </w:rPr>
        <w:t>CVM/SRE/DEB/2022/00</w:t>
      </w:r>
      <w:r w:rsidR="00F60A78">
        <w:rPr>
          <w:rFonts w:ascii="Calibri" w:hAnsi="Calibri" w:cs="Calibri"/>
          <w:b/>
          <w:sz w:val="24"/>
          <w:szCs w:val="24"/>
        </w:rPr>
        <w:t>3</w:t>
      </w:r>
      <w:r>
        <w:rPr>
          <w:rFonts w:ascii="Calibri" w:hAnsi="Calibri" w:cs="Calibri"/>
          <w:b/>
          <w:sz w:val="24"/>
          <w:szCs w:val="24"/>
        </w:rPr>
        <w:br/>
        <w:t xml:space="preserve">REGISTRO DAS DEBÊNTURES DA SEGUNDA SÉRIE: </w:t>
      </w:r>
      <w:r w:rsidR="00F60A78" w:rsidRPr="00F60A78">
        <w:rPr>
          <w:rFonts w:ascii="Calibri" w:hAnsi="Calibri" w:cs="Calibri"/>
          <w:b/>
          <w:sz w:val="24"/>
          <w:szCs w:val="24"/>
        </w:rPr>
        <w:t>CVM/SRE/DEB/2022/004</w:t>
      </w:r>
      <w:r>
        <w:rPr>
          <w:rFonts w:ascii="Calibri" w:hAnsi="Calibri" w:cs="Calibri"/>
          <w:b/>
          <w:sz w:val="24"/>
          <w:szCs w:val="24"/>
        </w:rPr>
        <w:br/>
        <w:t xml:space="preserve">EM </w:t>
      </w:r>
      <w:r w:rsidR="0060283D">
        <w:rPr>
          <w:rFonts w:ascii="Calibri" w:hAnsi="Calibri" w:cs="Calibri"/>
          <w:b/>
          <w:sz w:val="24"/>
          <w:szCs w:val="24"/>
        </w:rPr>
        <w:t xml:space="preserve">21 </w:t>
      </w:r>
      <w:r>
        <w:rPr>
          <w:rFonts w:ascii="Calibri" w:hAnsi="Calibri" w:cs="Calibri"/>
          <w:b/>
          <w:sz w:val="24"/>
          <w:szCs w:val="24"/>
        </w:rPr>
        <w:t xml:space="preserve">DE </w:t>
      </w:r>
      <w:r w:rsidR="0060283D">
        <w:rPr>
          <w:rFonts w:ascii="Calibri" w:hAnsi="Calibri" w:cs="Calibri"/>
          <w:b/>
          <w:sz w:val="24"/>
          <w:szCs w:val="24"/>
        </w:rPr>
        <w:t xml:space="preserve">MARÇO </w:t>
      </w:r>
      <w:r>
        <w:rPr>
          <w:rFonts w:ascii="Calibri" w:hAnsi="Calibri" w:cs="Calibri"/>
          <w:b/>
          <w:sz w:val="24"/>
          <w:szCs w:val="24"/>
        </w:rPr>
        <w:t>DE 202</w:t>
      </w:r>
      <w:r w:rsidR="00227649">
        <w:rPr>
          <w:rFonts w:ascii="Calibri" w:hAnsi="Calibri" w:cs="Calibri"/>
          <w:b/>
          <w:sz w:val="24"/>
          <w:szCs w:val="24"/>
        </w:rPr>
        <w:t>2</w:t>
      </w:r>
    </w:p>
    <w:p w14:paraId="5E163266" w14:textId="4B62F1E9" w:rsidR="00E80B84" w:rsidRPr="00C6089D" w:rsidRDefault="00F34126" w:rsidP="00E80B84">
      <w:pPr>
        <w:pStyle w:val="Body"/>
        <w:rPr>
          <w:rFonts w:ascii="Calibri" w:hAnsi="Calibri" w:cs="Calibri"/>
          <w:sz w:val="24"/>
        </w:rPr>
      </w:pPr>
      <w:r w:rsidRPr="00C6089D">
        <w:rPr>
          <w:rFonts w:ascii="Calibri" w:hAnsi="Calibri" w:cs="Calibri"/>
          <w:sz w:val="24"/>
        </w:rPr>
        <w:t>Nos termos do disposto no artigo 5</w:t>
      </w:r>
      <w:r w:rsidR="00943536" w:rsidRPr="00C6089D">
        <w:rPr>
          <w:rFonts w:ascii="Calibri" w:hAnsi="Calibri" w:cs="Calibri"/>
          <w:sz w:val="24"/>
        </w:rPr>
        <w:t>2</w:t>
      </w:r>
      <w:r w:rsidR="0066750C" w:rsidRPr="00C6089D">
        <w:rPr>
          <w:rFonts w:ascii="Calibri" w:hAnsi="Calibri" w:cs="Calibri"/>
          <w:sz w:val="24"/>
        </w:rPr>
        <w:t xml:space="preserve"> e 54-A</w:t>
      </w:r>
      <w:r w:rsidRPr="00C6089D">
        <w:rPr>
          <w:rFonts w:ascii="Calibri" w:hAnsi="Calibri" w:cs="Calibri"/>
          <w:sz w:val="24"/>
        </w:rPr>
        <w:t xml:space="preserve"> da Instrução da Comissão de Valores Mobiliários (</w:t>
      </w:r>
      <w:r w:rsidR="00270642" w:rsidRPr="00C6089D">
        <w:rPr>
          <w:rFonts w:ascii="Calibri" w:hAnsi="Calibri" w:cs="Calibri"/>
          <w:sz w:val="24"/>
        </w:rPr>
        <w:t>“</w:t>
      </w:r>
      <w:r w:rsidRPr="00C6089D">
        <w:rPr>
          <w:rFonts w:ascii="Calibri" w:hAnsi="Calibri" w:cs="Calibri"/>
          <w:sz w:val="24"/>
          <w:u w:val="single"/>
        </w:rPr>
        <w:t>CVM</w:t>
      </w:r>
      <w:r w:rsidR="00270642" w:rsidRPr="00C6089D">
        <w:rPr>
          <w:rFonts w:ascii="Calibri" w:hAnsi="Calibri" w:cs="Calibri"/>
          <w:sz w:val="24"/>
        </w:rPr>
        <w:t>”</w:t>
      </w:r>
      <w:r w:rsidRPr="00C6089D">
        <w:rPr>
          <w:rFonts w:ascii="Calibri" w:hAnsi="Calibri" w:cs="Calibri"/>
          <w:sz w:val="24"/>
        </w:rPr>
        <w:t>) nº 400, de 29 de dezembro de 2003, conforme alterada (</w:t>
      </w:r>
      <w:r w:rsidR="00270642" w:rsidRPr="00C6089D">
        <w:rPr>
          <w:rFonts w:ascii="Calibri" w:hAnsi="Calibri" w:cs="Calibri"/>
          <w:sz w:val="24"/>
        </w:rPr>
        <w:t>“</w:t>
      </w:r>
      <w:r w:rsidRPr="00C6089D">
        <w:rPr>
          <w:rFonts w:ascii="Calibri" w:hAnsi="Calibri" w:cs="Calibri"/>
          <w:sz w:val="24"/>
          <w:u w:val="single"/>
        </w:rPr>
        <w:t>Instrução</w:t>
      </w:r>
      <w:r w:rsidR="00D26F59" w:rsidRPr="00C6089D">
        <w:rPr>
          <w:rFonts w:ascii="Calibri" w:hAnsi="Calibri" w:cs="Calibri"/>
          <w:sz w:val="24"/>
          <w:u w:val="single"/>
        </w:rPr>
        <w:t xml:space="preserve"> </w:t>
      </w:r>
      <w:r w:rsidRPr="00C6089D">
        <w:rPr>
          <w:rFonts w:ascii="Calibri" w:hAnsi="Calibri" w:cs="Calibri"/>
          <w:sz w:val="24"/>
          <w:u w:val="single"/>
        </w:rPr>
        <w:t>CVM</w:t>
      </w:r>
      <w:r w:rsidR="00D26F59" w:rsidRPr="00C6089D">
        <w:rPr>
          <w:rFonts w:ascii="Calibri" w:hAnsi="Calibri" w:cs="Calibri"/>
          <w:sz w:val="24"/>
          <w:u w:val="single"/>
        </w:rPr>
        <w:t xml:space="preserve"> </w:t>
      </w:r>
      <w:r w:rsidRPr="00C6089D">
        <w:rPr>
          <w:rFonts w:ascii="Calibri" w:hAnsi="Calibri" w:cs="Calibri"/>
          <w:sz w:val="24"/>
          <w:u w:val="single"/>
        </w:rPr>
        <w:t>400</w:t>
      </w:r>
      <w:r w:rsidR="00F90687" w:rsidRPr="00C6089D">
        <w:rPr>
          <w:rFonts w:ascii="Calibri" w:hAnsi="Calibri" w:cs="Calibri"/>
          <w:sz w:val="24"/>
        </w:rPr>
        <w:t xml:space="preserve">”) e </w:t>
      </w:r>
      <w:r w:rsidR="00E16505" w:rsidRPr="00365D60">
        <w:rPr>
          <w:rFonts w:ascii="Calibri" w:hAnsi="Calibri" w:cs="Calibri"/>
          <w:sz w:val="24"/>
        </w:rPr>
        <w:t>do “Código ANBIMA de Regulação e Melhores Práticas para Estruturação, Coordenação e Distribuição de Ofertas Públicas de Valores Mobiliários e Ofertas Públicas de Aquisição de Valores Mobiliários”, em vigor desde 6 de maio de 2021 (“</w:t>
      </w:r>
      <w:r w:rsidR="00E16505" w:rsidRPr="00365D60">
        <w:rPr>
          <w:rFonts w:ascii="Calibri" w:hAnsi="Calibri" w:cs="Calibri"/>
          <w:sz w:val="24"/>
          <w:u w:val="single"/>
        </w:rPr>
        <w:t>Código ANBIMA de Ofertas Públicas</w:t>
      </w:r>
      <w:r w:rsidR="00E16505" w:rsidRPr="00365D60">
        <w:rPr>
          <w:rFonts w:ascii="Calibri" w:hAnsi="Calibri" w:cs="Calibri"/>
          <w:sz w:val="24"/>
        </w:rPr>
        <w:t>”),</w:t>
      </w:r>
      <w:r w:rsidRPr="00365D60">
        <w:rPr>
          <w:rFonts w:ascii="Calibri" w:hAnsi="Calibri" w:cs="Calibri"/>
          <w:sz w:val="24"/>
        </w:rPr>
        <w:t xml:space="preserve"> a </w:t>
      </w:r>
      <w:r w:rsidR="00A66F94" w:rsidRPr="00365D60">
        <w:rPr>
          <w:rFonts w:ascii="Calibri" w:hAnsi="Calibri" w:cs="Calibri"/>
          <w:b/>
          <w:sz w:val="24"/>
        </w:rPr>
        <w:t>SÃO MARTINHO S.A.</w:t>
      </w:r>
      <w:r w:rsidRPr="00365D60">
        <w:rPr>
          <w:rFonts w:ascii="Calibri" w:hAnsi="Calibri" w:cs="Calibri"/>
          <w:sz w:val="24"/>
        </w:rPr>
        <w:t>, na qualidade de emissora e ofertante (</w:t>
      </w:r>
      <w:r w:rsidR="00270642" w:rsidRPr="00365D60">
        <w:rPr>
          <w:rFonts w:ascii="Calibri" w:hAnsi="Calibri" w:cs="Calibri"/>
          <w:sz w:val="24"/>
        </w:rPr>
        <w:t>“</w:t>
      </w:r>
      <w:r w:rsidRPr="00365D60">
        <w:rPr>
          <w:rFonts w:ascii="Calibri" w:hAnsi="Calibri" w:cs="Calibri"/>
          <w:bCs/>
          <w:sz w:val="24"/>
          <w:u w:val="single"/>
        </w:rPr>
        <w:t>Emissora</w:t>
      </w:r>
      <w:r w:rsidR="00270642" w:rsidRPr="00365D60">
        <w:rPr>
          <w:rFonts w:ascii="Calibri" w:hAnsi="Calibri" w:cs="Calibri"/>
          <w:sz w:val="24"/>
        </w:rPr>
        <w:t>”</w:t>
      </w:r>
      <w:r w:rsidR="00A66F94" w:rsidRPr="00365D60">
        <w:rPr>
          <w:rFonts w:ascii="Calibri" w:hAnsi="Calibri" w:cs="Calibri"/>
          <w:sz w:val="24"/>
        </w:rPr>
        <w:t>) e</w:t>
      </w:r>
      <w:r w:rsidRPr="00365D60">
        <w:rPr>
          <w:rFonts w:ascii="Calibri" w:hAnsi="Calibri" w:cs="Calibri"/>
          <w:sz w:val="24"/>
        </w:rPr>
        <w:t xml:space="preserve"> </w:t>
      </w:r>
      <w:r w:rsidR="00A66F94" w:rsidRPr="00365D60">
        <w:rPr>
          <w:rFonts w:ascii="Calibri" w:hAnsi="Calibri" w:cs="Calibri"/>
          <w:sz w:val="24"/>
        </w:rPr>
        <w:t xml:space="preserve">a </w:t>
      </w:r>
      <w:r w:rsidR="00A66F94" w:rsidRPr="00365D60">
        <w:rPr>
          <w:rFonts w:ascii="Calibri" w:hAnsi="Calibri" w:cs="Calibri"/>
          <w:b/>
          <w:bCs/>
          <w:sz w:val="24"/>
        </w:rPr>
        <w:t>XP INVESTIMENTOS CORRETORA DE CÂMBIO, TÍTULOS E VALORES MOBILIÁRIOS S.A</w:t>
      </w:r>
      <w:r w:rsidR="00A66F94" w:rsidRPr="00365D60">
        <w:rPr>
          <w:rFonts w:ascii="Calibri" w:hAnsi="Calibri" w:cs="Calibri"/>
          <w:sz w:val="24"/>
        </w:rPr>
        <w:t xml:space="preserve"> (“</w:t>
      </w:r>
      <w:r w:rsidR="00A66F94" w:rsidRPr="00365D60">
        <w:rPr>
          <w:rFonts w:ascii="Calibri" w:hAnsi="Calibri" w:cs="Calibri"/>
          <w:sz w:val="24"/>
          <w:u w:val="single"/>
        </w:rPr>
        <w:t>XP</w:t>
      </w:r>
      <w:r w:rsidR="00A66F94" w:rsidRPr="00365D60">
        <w:rPr>
          <w:rFonts w:ascii="Calibri" w:hAnsi="Calibri" w:cs="Calibri"/>
          <w:sz w:val="24"/>
        </w:rPr>
        <w:t>” ou “</w:t>
      </w:r>
      <w:r w:rsidR="00A66F94" w:rsidRPr="00365D60">
        <w:rPr>
          <w:rFonts w:ascii="Calibri" w:hAnsi="Calibri" w:cs="Calibri"/>
          <w:sz w:val="24"/>
          <w:u w:val="single"/>
        </w:rPr>
        <w:t>Coordenador Líder</w:t>
      </w:r>
      <w:r w:rsidR="00A66F94" w:rsidRPr="00365D60">
        <w:rPr>
          <w:rFonts w:ascii="Calibri" w:hAnsi="Calibri" w:cs="Calibri"/>
          <w:sz w:val="24"/>
        </w:rPr>
        <w:t>”)</w:t>
      </w:r>
      <w:r w:rsidR="00F90687" w:rsidRPr="00365D60">
        <w:rPr>
          <w:rFonts w:ascii="Calibri" w:hAnsi="Calibri" w:cs="Calibri"/>
          <w:sz w:val="24"/>
        </w:rPr>
        <w:t xml:space="preserve">, </w:t>
      </w:r>
      <w:r w:rsidRPr="00365D60">
        <w:rPr>
          <w:rFonts w:ascii="Calibri" w:hAnsi="Calibri" w:cs="Calibri"/>
          <w:sz w:val="24"/>
        </w:rPr>
        <w:t>v</w:t>
      </w:r>
      <w:r w:rsidR="00A66F94" w:rsidRPr="00365D60">
        <w:rPr>
          <w:rFonts w:ascii="Calibri" w:hAnsi="Calibri" w:cs="Calibri"/>
          <w:sz w:val="24"/>
        </w:rPr>
        <w:t>e</w:t>
      </w:r>
      <w:r w:rsidRPr="00365D60">
        <w:rPr>
          <w:rFonts w:ascii="Calibri" w:hAnsi="Calibri" w:cs="Calibri"/>
          <w:sz w:val="24"/>
        </w:rPr>
        <w:t xml:space="preserve">m a público comunicar </w:t>
      </w:r>
      <w:r w:rsidR="00943536" w:rsidRPr="00365D60">
        <w:rPr>
          <w:rFonts w:ascii="Calibri" w:hAnsi="Calibri" w:cs="Calibri"/>
          <w:sz w:val="24"/>
        </w:rPr>
        <w:t>o início da</w:t>
      </w:r>
      <w:r w:rsidRPr="00365D60">
        <w:rPr>
          <w:rFonts w:ascii="Calibri" w:hAnsi="Calibri" w:cs="Calibri"/>
          <w:sz w:val="24"/>
        </w:rPr>
        <w:t xml:space="preserve"> oferta pública de distribuição de </w:t>
      </w:r>
      <w:r w:rsidR="00912BEB">
        <w:rPr>
          <w:rFonts w:ascii="Calibri" w:hAnsi="Calibri" w:cs="Calibri"/>
          <w:sz w:val="24"/>
        </w:rPr>
        <w:t>1.200.000</w:t>
      </w:r>
      <w:r w:rsidR="00912BEB" w:rsidRPr="00365D60">
        <w:rPr>
          <w:rFonts w:ascii="Calibri" w:hAnsi="Calibri" w:cs="Calibri"/>
          <w:sz w:val="24"/>
        </w:rPr>
        <w:t xml:space="preserve"> </w:t>
      </w:r>
      <w:r w:rsidR="00912BEB">
        <w:rPr>
          <w:rFonts w:ascii="Calibri" w:hAnsi="Calibri" w:cs="Calibri"/>
          <w:sz w:val="24"/>
        </w:rPr>
        <w:t>(um milhão e duzentas mil</w:t>
      </w:r>
      <w:r w:rsidR="00BB6FB0" w:rsidRPr="00365D60">
        <w:rPr>
          <w:rFonts w:ascii="Calibri" w:hAnsi="Calibri" w:cs="Calibri"/>
          <w:sz w:val="24"/>
        </w:rPr>
        <w:t>)</w:t>
      </w:r>
      <w:r w:rsidR="00F90687" w:rsidRPr="00C6089D">
        <w:rPr>
          <w:rFonts w:ascii="Calibri" w:hAnsi="Calibri" w:cs="Calibri"/>
          <w:sz w:val="24"/>
        </w:rPr>
        <w:t xml:space="preserve"> </w:t>
      </w:r>
      <w:r w:rsidRPr="00C6089D">
        <w:rPr>
          <w:rFonts w:ascii="Calibri" w:hAnsi="Calibri" w:cs="Calibri"/>
          <w:sz w:val="24"/>
        </w:rPr>
        <w:t xml:space="preserve">debêntures, </w:t>
      </w:r>
      <w:r w:rsidR="00943536" w:rsidRPr="00C6089D">
        <w:rPr>
          <w:rFonts w:ascii="Calibri" w:hAnsi="Calibri" w:cs="Calibri"/>
          <w:sz w:val="24"/>
        </w:rPr>
        <w:t>considerando</w:t>
      </w:r>
      <w:r w:rsidRPr="00C6089D">
        <w:rPr>
          <w:rFonts w:ascii="Calibri" w:hAnsi="Calibri" w:cs="Calibri"/>
          <w:sz w:val="24"/>
        </w:rPr>
        <w:t xml:space="preserve"> as Debêntures Adicionais (conforme </w:t>
      </w:r>
      <w:r w:rsidR="006A3A1B" w:rsidRPr="00C6089D">
        <w:rPr>
          <w:rFonts w:ascii="Calibri" w:hAnsi="Calibri" w:cs="Calibri"/>
          <w:sz w:val="24"/>
        </w:rPr>
        <w:t xml:space="preserve">definidas </w:t>
      </w:r>
      <w:r w:rsidR="00A740F3" w:rsidRPr="00C6089D">
        <w:rPr>
          <w:rFonts w:ascii="Calibri" w:hAnsi="Calibri" w:cs="Calibri"/>
          <w:sz w:val="24"/>
        </w:rPr>
        <w:t xml:space="preserve">no item </w:t>
      </w:r>
      <w:r w:rsidR="00937E4F">
        <w:rPr>
          <w:rFonts w:ascii="Calibri" w:hAnsi="Calibri" w:cs="Calibri"/>
          <w:sz w:val="24"/>
        </w:rPr>
        <w:t>3</w:t>
      </w:r>
      <w:r w:rsidR="00A740F3" w:rsidRPr="00C6089D">
        <w:rPr>
          <w:rFonts w:ascii="Calibri" w:hAnsi="Calibri" w:cs="Calibri"/>
          <w:sz w:val="24"/>
        </w:rPr>
        <w:t xml:space="preserve"> </w:t>
      </w:r>
      <w:r w:rsidRPr="00C6089D">
        <w:rPr>
          <w:rFonts w:ascii="Calibri" w:hAnsi="Calibri" w:cs="Calibri"/>
          <w:sz w:val="24"/>
        </w:rPr>
        <w:t>abaixo)</w:t>
      </w:r>
      <w:r w:rsidR="00A942D6" w:rsidRPr="00C6089D">
        <w:rPr>
          <w:rFonts w:ascii="Calibri" w:hAnsi="Calibri" w:cs="Calibri"/>
          <w:sz w:val="24"/>
        </w:rPr>
        <w:t xml:space="preserve"> (“</w:t>
      </w:r>
      <w:r w:rsidR="00A942D6" w:rsidRPr="00C6089D">
        <w:rPr>
          <w:rFonts w:ascii="Calibri" w:hAnsi="Calibri" w:cs="Calibri"/>
          <w:sz w:val="24"/>
          <w:u w:val="single"/>
        </w:rPr>
        <w:t>Debêntures</w:t>
      </w:r>
      <w:r w:rsidR="00A942D6" w:rsidRPr="00C6089D">
        <w:rPr>
          <w:rFonts w:ascii="Calibri" w:hAnsi="Calibri" w:cs="Calibri"/>
          <w:sz w:val="24"/>
        </w:rPr>
        <w:t>”)</w:t>
      </w:r>
      <w:r w:rsidRPr="00C6089D">
        <w:rPr>
          <w:rFonts w:ascii="Calibri" w:hAnsi="Calibri" w:cs="Calibri"/>
          <w:sz w:val="24"/>
        </w:rPr>
        <w:t xml:space="preserve">, todas nominativas, escriturais, simples, não conversíveis em ações, da espécie quirografária, em </w:t>
      </w:r>
      <w:r w:rsidR="00FE493B">
        <w:rPr>
          <w:rFonts w:ascii="Calibri" w:hAnsi="Calibri" w:cs="Calibri"/>
          <w:sz w:val="24"/>
        </w:rPr>
        <w:t>duas séries</w:t>
      </w:r>
      <w:r w:rsidRPr="00C6089D">
        <w:rPr>
          <w:rFonts w:ascii="Calibri" w:hAnsi="Calibri" w:cs="Calibri"/>
          <w:sz w:val="24"/>
        </w:rPr>
        <w:t xml:space="preserve">, da </w:t>
      </w:r>
      <w:r w:rsidR="00BB6FB0" w:rsidRPr="00365D60">
        <w:rPr>
          <w:rFonts w:ascii="Calibri" w:hAnsi="Calibri" w:cs="Calibri"/>
          <w:sz w:val="24"/>
        </w:rPr>
        <w:t>4</w:t>
      </w:r>
      <w:r w:rsidR="00F90687" w:rsidRPr="00365D60">
        <w:rPr>
          <w:rFonts w:ascii="Calibri" w:hAnsi="Calibri" w:cs="Calibri"/>
          <w:sz w:val="24"/>
        </w:rPr>
        <w:t xml:space="preserve">ª </w:t>
      </w:r>
      <w:r w:rsidRPr="00365D60">
        <w:rPr>
          <w:rFonts w:ascii="Calibri" w:hAnsi="Calibri" w:cs="Calibri"/>
          <w:sz w:val="24"/>
        </w:rPr>
        <w:t>(</w:t>
      </w:r>
      <w:r w:rsidR="00BB6FB0" w:rsidRPr="00365D60">
        <w:rPr>
          <w:rFonts w:ascii="Calibri" w:hAnsi="Calibri" w:cs="Calibri"/>
          <w:sz w:val="24"/>
        </w:rPr>
        <w:t>quarta</w:t>
      </w:r>
      <w:r w:rsidRPr="00C6089D">
        <w:rPr>
          <w:rFonts w:ascii="Calibri" w:hAnsi="Calibri" w:cs="Calibri"/>
          <w:sz w:val="24"/>
        </w:rPr>
        <w:t>) emissão da Emissora (</w:t>
      </w:r>
      <w:r w:rsidR="00270642" w:rsidRPr="00C6089D">
        <w:rPr>
          <w:rFonts w:ascii="Calibri" w:hAnsi="Calibri" w:cs="Calibri"/>
          <w:sz w:val="24"/>
        </w:rPr>
        <w:t>“</w:t>
      </w:r>
      <w:r w:rsidRPr="00C6089D">
        <w:rPr>
          <w:rFonts w:ascii="Calibri" w:hAnsi="Calibri" w:cs="Calibri"/>
          <w:sz w:val="24"/>
          <w:u w:val="single"/>
        </w:rPr>
        <w:t>Emissão</w:t>
      </w:r>
      <w:r w:rsidR="00270642" w:rsidRPr="00C6089D">
        <w:rPr>
          <w:rFonts w:ascii="Calibri" w:hAnsi="Calibri" w:cs="Calibri"/>
          <w:sz w:val="24"/>
        </w:rPr>
        <w:t>”</w:t>
      </w:r>
      <w:r w:rsidRPr="00C6089D">
        <w:rPr>
          <w:rFonts w:ascii="Calibri" w:hAnsi="Calibri" w:cs="Calibri"/>
          <w:sz w:val="24"/>
        </w:rPr>
        <w:t>), com valor nominal unitário de R$</w:t>
      </w:r>
      <w:r w:rsidR="00F90687" w:rsidRPr="00C6089D">
        <w:rPr>
          <w:rFonts w:ascii="Calibri" w:hAnsi="Calibri" w:cs="Calibri"/>
          <w:sz w:val="24"/>
        </w:rPr>
        <w:t> </w:t>
      </w:r>
      <w:r w:rsidR="00527CA0" w:rsidRPr="00C6089D">
        <w:rPr>
          <w:rFonts w:ascii="Calibri" w:hAnsi="Calibri" w:cs="Calibri"/>
          <w:sz w:val="24"/>
        </w:rPr>
        <w:t>1.000,00</w:t>
      </w:r>
      <w:r w:rsidRPr="00C6089D">
        <w:rPr>
          <w:rFonts w:ascii="Calibri" w:hAnsi="Calibri" w:cs="Calibri"/>
          <w:sz w:val="24"/>
        </w:rPr>
        <w:t xml:space="preserve"> (</w:t>
      </w:r>
      <w:r w:rsidR="00527CA0" w:rsidRPr="00C6089D">
        <w:rPr>
          <w:rFonts w:ascii="Calibri" w:hAnsi="Calibri" w:cs="Calibri"/>
          <w:sz w:val="24"/>
        </w:rPr>
        <w:t>mil</w:t>
      </w:r>
      <w:r w:rsidR="00073690" w:rsidRPr="00C6089D">
        <w:rPr>
          <w:rFonts w:ascii="Calibri" w:hAnsi="Calibri" w:cs="Calibri"/>
          <w:sz w:val="24"/>
        </w:rPr>
        <w:t xml:space="preserve"> </w:t>
      </w:r>
      <w:r w:rsidRPr="00C6089D">
        <w:rPr>
          <w:rFonts w:ascii="Calibri" w:hAnsi="Calibri" w:cs="Calibri"/>
          <w:sz w:val="24"/>
        </w:rPr>
        <w:t>reais), na data de emissão</w:t>
      </w:r>
      <w:r w:rsidR="00F35470" w:rsidRPr="00C6089D">
        <w:rPr>
          <w:rFonts w:ascii="Calibri" w:hAnsi="Calibri" w:cs="Calibri"/>
          <w:sz w:val="24"/>
        </w:rPr>
        <w:t xml:space="preserve"> das Debêntures</w:t>
      </w:r>
      <w:r w:rsidRPr="00C6089D">
        <w:rPr>
          <w:rFonts w:ascii="Calibri" w:hAnsi="Calibri" w:cs="Calibri"/>
          <w:sz w:val="24"/>
        </w:rPr>
        <w:t xml:space="preserve">, qual seja, </w:t>
      </w:r>
      <w:r w:rsidR="004D571A" w:rsidRPr="00C6089D">
        <w:rPr>
          <w:rFonts w:ascii="Calibri" w:hAnsi="Calibri" w:cs="Calibri"/>
          <w:sz w:val="24"/>
        </w:rPr>
        <w:t xml:space="preserve">15 de </w:t>
      </w:r>
      <w:r w:rsidR="00BB6FB0" w:rsidRPr="00365D60">
        <w:rPr>
          <w:rFonts w:ascii="Calibri" w:hAnsi="Calibri" w:cs="Calibri"/>
          <w:sz w:val="24"/>
        </w:rPr>
        <w:t>janeiro</w:t>
      </w:r>
      <w:r w:rsidR="00F31993" w:rsidRPr="00C6089D">
        <w:rPr>
          <w:rFonts w:ascii="Calibri" w:hAnsi="Calibri" w:cs="Calibri"/>
          <w:sz w:val="24"/>
        </w:rPr>
        <w:t xml:space="preserve"> </w:t>
      </w:r>
      <w:r w:rsidR="00527CA0" w:rsidRPr="00C6089D">
        <w:rPr>
          <w:rFonts w:ascii="Calibri" w:hAnsi="Calibri" w:cs="Calibri"/>
          <w:sz w:val="24"/>
        </w:rPr>
        <w:t>de</w:t>
      </w:r>
      <w:r w:rsidR="00073690" w:rsidRPr="00C6089D">
        <w:rPr>
          <w:rFonts w:ascii="Calibri" w:hAnsi="Calibri" w:cs="Calibri"/>
          <w:sz w:val="24"/>
        </w:rPr>
        <w:t xml:space="preserve"> </w:t>
      </w:r>
      <w:r w:rsidR="00F90687" w:rsidRPr="00365D60">
        <w:rPr>
          <w:rFonts w:ascii="Calibri" w:hAnsi="Calibri" w:cs="Calibri"/>
          <w:sz w:val="24"/>
        </w:rPr>
        <w:t>2</w:t>
      </w:r>
      <w:r w:rsidR="00BB6FB0" w:rsidRPr="00365D60">
        <w:rPr>
          <w:rFonts w:ascii="Calibri" w:hAnsi="Calibri" w:cs="Calibri"/>
          <w:sz w:val="24"/>
        </w:rPr>
        <w:t>022</w:t>
      </w:r>
      <w:r w:rsidR="00192FCA" w:rsidRPr="00C6089D">
        <w:rPr>
          <w:rFonts w:ascii="Calibri" w:hAnsi="Calibri" w:cs="Calibri"/>
          <w:sz w:val="24"/>
        </w:rPr>
        <w:t xml:space="preserve"> </w:t>
      </w:r>
      <w:r w:rsidRPr="00C6089D">
        <w:rPr>
          <w:rFonts w:ascii="Calibri" w:hAnsi="Calibri" w:cs="Calibri"/>
          <w:sz w:val="24"/>
        </w:rPr>
        <w:t>(</w:t>
      </w:r>
      <w:r w:rsidR="00270642" w:rsidRPr="00C6089D">
        <w:rPr>
          <w:rFonts w:ascii="Calibri" w:hAnsi="Calibri" w:cs="Calibri"/>
          <w:sz w:val="24"/>
        </w:rPr>
        <w:t>“</w:t>
      </w:r>
      <w:r w:rsidRPr="00C6089D">
        <w:rPr>
          <w:rFonts w:ascii="Calibri" w:hAnsi="Calibri" w:cs="Calibri"/>
          <w:sz w:val="24"/>
          <w:u w:val="single"/>
        </w:rPr>
        <w:t>Data de Emissão</w:t>
      </w:r>
      <w:r w:rsidR="00270642" w:rsidRPr="00C6089D">
        <w:rPr>
          <w:rFonts w:ascii="Calibri" w:hAnsi="Calibri" w:cs="Calibri"/>
          <w:sz w:val="24"/>
        </w:rPr>
        <w:t>”</w:t>
      </w:r>
      <w:r w:rsidRPr="00C6089D">
        <w:rPr>
          <w:rFonts w:ascii="Calibri" w:hAnsi="Calibri" w:cs="Calibri"/>
          <w:sz w:val="24"/>
        </w:rPr>
        <w:t>)</w:t>
      </w:r>
      <w:r w:rsidR="00F35470" w:rsidRPr="00C6089D">
        <w:rPr>
          <w:rFonts w:ascii="Calibri" w:hAnsi="Calibri" w:cs="Calibri"/>
          <w:sz w:val="24"/>
        </w:rPr>
        <w:t>,</w:t>
      </w:r>
      <w:r w:rsidRPr="00C6089D">
        <w:rPr>
          <w:rFonts w:ascii="Calibri" w:hAnsi="Calibri" w:cs="Calibri"/>
          <w:sz w:val="24"/>
        </w:rPr>
        <w:t xml:space="preserve"> </w:t>
      </w:r>
      <w:r w:rsidRPr="00C6089D">
        <w:rPr>
          <w:rFonts w:ascii="Calibri" w:hAnsi="Calibri" w:cs="Calibri"/>
          <w:sz w:val="24"/>
        </w:rPr>
        <w:lastRenderedPageBreak/>
        <w:t xml:space="preserve">perfazendo o montante total de </w:t>
      </w:r>
      <w:r w:rsidR="00FD7922" w:rsidRPr="00C6089D">
        <w:rPr>
          <w:rFonts w:ascii="Calibri" w:hAnsi="Calibri" w:cs="Calibri"/>
          <w:sz w:val="24"/>
        </w:rPr>
        <w:t>R$ </w:t>
      </w:r>
      <w:r w:rsidR="00912BEB">
        <w:rPr>
          <w:rFonts w:ascii="Calibri" w:hAnsi="Calibri" w:cs="Calibri"/>
          <w:sz w:val="24"/>
        </w:rPr>
        <w:t>1.200.000.000,00</w:t>
      </w:r>
      <w:r w:rsidR="00BB6FB0" w:rsidRPr="00365D60">
        <w:rPr>
          <w:rFonts w:ascii="Calibri" w:hAnsi="Calibri" w:cs="Calibri"/>
          <w:sz w:val="24"/>
        </w:rPr>
        <w:t xml:space="preserve"> </w:t>
      </w:r>
      <w:r w:rsidR="00912BEB" w:rsidRPr="00365D60">
        <w:rPr>
          <w:rFonts w:ascii="Calibri" w:hAnsi="Calibri" w:cs="Calibri"/>
          <w:sz w:val="24"/>
        </w:rPr>
        <w:t>(</w:t>
      </w:r>
      <w:r w:rsidR="00912BEB">
        <w:rPr>
          <w:rFonts w:ascii="Calibri" w:hAnsi="Calibri" w:cs="Calibri"/>
          <w:sz w:val="24"/>
        </w:rPr>
        <w:t>um bilhão e duzentos milhões de reais</w:t>
      </w:r>
      <w:r w:rsidR="00912BEB" w:rsidRPr="00365D60">
        <w:rPr>
          <w:rFonts w:ascii="Calibri" w:hAnsi="Calibri" w:cs="Calibri"/>
          <w:sz w:val="24"/>
        </w:rPr>
        <w:t xml:space="preserve">) </w:t>
      </w:r>
      <w:r w:rsidRPr="00365D60">
        <w:rPr>
          <w:rFonts w:ascii="Calibri" w:hAnsi="Calibri" w:cs="Calibri"/>
          <w:sz w:val="24"/>
        </w:rPr>
        <w:t>(</w:t>
      </w:r>
      <w:r w:rsidR="00270642" w:rsidRPr="00365D60">
        <w:rPr>
          <w:rFonts w:ascii="Calibri" w:hAnsi="Calibri" w:cs="Calibri"/>
          <w:sz w:val="24"/>
        </w:rPr>
        <w:t>“</w:t>
      </w:r>
      <w:r w:rsidRPr="00C6089D">
        <w:rPr>
          <w:rFonts w:ascii="Calibri" w:hAnsi="Calibri" w:cs="Calibri"/>
          <w:sz w:val="24"/>
          <w:u w:val="single"/>
        </w:rPr>
        <w:t>Oferta</w:t>
      </w:r>
      <w:r w:rsidR="00270642" w:rsidRPr="00C6089D">
        <w:rPr>
          <w:rFonts w:ascii="Calibri" w:hAnsi="Calibri" w:cs="Calibri"/>
          <w:sz w:val="24"/>
        </w:rPr>
        <w:t>”</w:t>
      </w:r>
      <w:r w:rsidRPr="00C6089D">
        <w:rPr>
          <w:rFonts w:ascii="Calibri" w:hAnsi="Calibri" w:cs="Calibri"/>
          <w:sz w:val="24"/>
        </w:rPr>
        <w:t>, respectivamente).</w:t>
      </w:r>
    </w:p>
    <w:p w14:paraId="6F0C164D" w14:textId="10E0C81F" w:rsidR="00192FCA" w:rsidRPr="00C6089D" w:rsidRDefault="008F59FA" w:rsidP="00192FCA">
      <w:pPr>
        <w:pStyle w:val="Body"/>
        <w:rPr>
          <w:rFonts w:ascii="Calibri" w:hAnsi="Calibri" w:cs="Calibri"/>
          <w:sz w:val="24"/>
        </w:rPr>
      </w:pPr>
      <w:r w:rsidRPr="00C6089D">
        <w:rPr>
          <w:rFonts w:ascii="Calibri" w:hAnsi="Calibri" w:cs="Calibri"/>
          <w:b/>
          <w:sz w:val="24"/>
        </w:rPr>
        <w:t>NOS TERMOS DA LEI Nº 12.431, DE 24 DE JUNHO DE 2011, CONFORME ALTERADA (“</w:t>
      </w:r>
      <w:r w:rsidRPr="00C6089D">
        <w:rPr>
          <w:rFonts w:ascii="Calibri" w:hAnsi="Calibri" w:cs="Calibri"/>
          <w:b/>
          <w:sz w:val="24"/>
          <w:u w:val="single"/>
        </w:rPr>
        <w:t>LEI 12.431</w:t>
      </w:r>
      <w:r w:rsidRPr="00C6089D">
        <w:rPr>
          <w:rFonts w:ascii="Calibri" w:hAnsi="Calibri" w:cs="Calibri"/>
          <w:b/>
          <w:sz w:val="24"/>
        </w:rPr>
        <w:t>”), FORAM EXPEDIDAS AS SEGUINTES PORTARIAS PELO MINISTÉRIO DE MINAS E ENERGIA PARA ENQUADRAMENTO DOS PROJETOS COMO PRIORITÁRIOS (“</w:t>
      </w:r>
      <w:r w:rsidRPr="00C6089D">
        <w:rPr>
          <w:rFonts w:ascii="Calibri" w:hAnsi="Calibri" w:cs="Calibri"/>
          <w:b/>
          <w:sz w:val="24"/>
          <w:u w:val="single"/>
        </w:rPr>
        <w:t>PROJETOS</w:t>
      </w:r>
      <w:r w:rsidRPr="00C6089D">
        <w:rPr>
          <w:rFonts w:ascii="Calibri" w:hAnsi="Calibri" w:cs="Calibri"/>
          <w:b/>
          <w:sz w:val="24"/>
        </w:rPr>
        <w:t xml:space="preserve">”): (I) </w:t>
      </w:r>
      <w:r w:rsidR="00570EFB" w:rsidRPr="00C6089D">
        <w:rPr>
          <w:rFonts w:ascii="Calibri" w:hAnsi="Calibri" w:cs="Calibri"/>
          <w:b/>
          <w:sz w:val="24"/>
        </w:rPr>
        <w:t xml:space="preserve">A PORTARIA Nº </w:t>
      </w:r>
      <w:r w:rsidR="00570EFB" w:rsidRPr="00365D60">
        <w:rPr>
          <w:rFonts w:ascii="Calibri" w:hAnsi="Calibri" w:cs="Calibri"/>
          <w:b/>
          <w:bCs/>
          <w:sz w:val="24"/>
        </w:rPr>
        <w:t>21</w:t>
      </w:r>
      <w:r w:rsidR="00570EFB" w:rsidRPr="00C6089D">
        <w:rPr>
          <w:rFonts w:ascii="Calibri" w:hAnsi="Calibri" w:cs="Calibri"/>
          <w:b/>
          <w:sz w:val="24"/>
        </w:rPr>
        <w:t xml:space="preserve">, DE </w:t>
      </w:r>
      <w:r w:rsidR="00570EFB" w:rsidRPr="00365D60">
        <w:rPr>
          <w:rFonts w:ascii="Calibri" w:hAnsi="Calibri" w:cs="Calibri"/>
          <w:b/>
          <w:bCs/>
          <w:sz w:val="24"/>
        </w:rPr>
        <w:t>MAIO</w:t>
      </w:r>
      <w:r w:rsidR="00570EFB" w:rsidRPr="00C6089D">
        <w:rPr>
          <w:rFonts w:ascii="Calibri" w:hAnsi="Calibri" w:cs="Calibri"/>
          <w:b/>
          <w:sz w:val="24"/>
        </w:rPr>
        <w:t xml:space="preserve"> DE </w:t>
      </w:r>
      <w:r w:rsidR="00570EFB" w:rsidRPr="00365D60">
        <w:rPr>
          <w:rFonts w:ascii="Calibri" w:hAnsi="Calibri" w:cs="Calibri"/>
          <w:b/>
          <w:bCs/>
          <w:sz w:val="24"/>
        </w:rPr>
        <w:t>2021, PUBLICADA NO DIÁRIO OFICIAL DA UNIÃO (“</w:t>
      </w:r>
      <w:r w:rsidR="00570EFB" w:rsidRPr="00365D60">
        <w:rPr>
          <w:rFonts w:ascii="Calibri" w:hAnsi="Calibri" w:cs="Calibri"/>
          <w:b/>
          <w:bCs/>
          <w:sz w:val="24"/>
          <w:u w:val="single"/>
        </w:rPr>
        <w:t>DOU</w:t>
      </w:r>
      <w:r w:rsidR="00570EFB" w:rsidRPr="00365D60">
        <w:rPr>
          <w:rFonts w:ascii="Calibri" w:hAnsi="Calibri" w:cs="Calibri"/>
          <w:b/>
          <w:bCs/>
          <w:sz w:val="24"/>
        </w:rPr>
        <w:t>”) EM 13</w:t>
      </w:r>
      <w:r w:rsidR="00570EFB" w:rsidRPr="00C6089D">
        <w:rPr>
          <w:rFonts w:ascii="Calibri" w:hAnsi="Calibri" w:cs="Calibri"/>
          <w:b/>
          <w:sz w:val="24"/>
        </w:rPr>
        <w:t xml:space="preserve"> DE </w:t>
      </w:r>
      <w:r w:rsidR="00570EFB" w:rsidRPr="00365D60">
        <w:rPr>
          <w:rFonts w:ascii="Calibri" w:hAnsi="Calibri" w:cs="Calibri"/>
          <w:b/>
          <w:bCs/>
          <w:sz w:val="24"/>
        </w:rPr>
        <w:t>MAIO DE 2021</w:t>
      </w:r>
      <w:r w:rsidRPr="00365D60">
        <w:rPr>
          <w:rFonts w:ascii="Calibri" w:hAnsi="Calibri" w:cs="Calibri"/>
          <w:b/>
          <w:sz w:val="24"/>
        </w:rPr>
        <w:t>,</w:t>
      </w:r>
      <w:r w:rsidRPr="00C6089D">
        <w:rPr>
          <w:rFonts w:ascii="Calibri" w:hAnsi="Calibri" w:cs="Calibri"/>
          <w:b/>
          <w:sz w:val="24"/>
        </w:rPr>
        <w:t xml:space="preserve"> PARA ENQUADRAMENTO DO PROJETO </w:t>
      </w:r>
      <w:r w:rsidR="00570EFB" w:rsidRPr="00365D60">
        <w:rPr>
          <w:rFonts w:ascii="Calibri" w:hAnsi="Calibri" w:cs="Calibri"/>
          <w:b/>
          <w:bCs/>
          <w:sz w:val="24"/>
        </w:rPr>
        <w:t>CAPEX BOA VISTA</w:t>
      </w:r>
      <w:r w:rsidRPr="00365D60">
        <w:rPr>
          <w:rFonts w:ascii="Calibri" w:hAnsi="Calibri" w:cs="Calibri"/>
          <w:b/>
          <w:bCs/>
          <w:sz w:val="24"/>
        </w:rPr>
        <w:t xml:space="preserve">; </w:t>
      </w:r>
      <w:r w:rsidR="00570EFB" w:rsidRPr="00365D60">
        <w:rPr>
          <w:rFonts w:ascii="Calibri" w:hAnsi="Calibri" w:cs="Calibri"/>
          <w:b/>
          <w:bCs/>
          <w:sz w:val="24"/>
        </w:rPr>
        <w:t xml:space="preserve">E </w:t>
      </w:r>
      <w:r w:rsidRPr="00365D60">
        <w:rPr>
          <w:rFonts w:ascii="Calibri" w:hAnsi="Calibri" w:cs="Calibri"/>
          <w:b/>
          <w:bCs/>
          <w:sz w:val="24"/>
        </w:rPr>
        <w:t>(</w:t>
      </w:r>
      <w:r w:rsidRPr="00C6089D">
        <w:rPr>
          <w:rFonts w:ascii="Calibri" w:hAnsi="Calibri" w:cs="Calibri"/>
          <w:b/>
          <w:sz w:val="24"/>
        </w:rPr>
        <w:t xml:space="preserve">II) </w:t>
      </w:r>
      <w:r w:rsidR="00570EFB" w:rsidRPr="00C6089D">
        <w:rPr>
          <w:rFonts w:ascii="Calibri" w:hAnsi="Calibri" w:cs="Calibri"/>
          <w:b/>
          <w:sz w:val="24"/>
        </w:rPr>
        <w:t xml:space="preserve">A PORTARIA Nº </w:t>
      </w:r>
      <w:r w:rsidR="00570EFB" w:rsidRPr="00365D60">
        <w:rPr>
          <w:rFonts w:ascii="Calibri" w:hAnsi="Calibri" w:cs="Calibri"/>
          <w:b/>
          <w:bCs/>
          <w:sz w:val="24"/>
        </w:rPr>
        <w:t>35/SPG/MME</w:t>
      </w:r>
      <w:r w:rsidR="00570EFB" w:rsidRPr="00C6089D">
        <w:rPr>
          <w:rFonts w:ascii="Calibri" w:hAnsi="Calibri" w:cs="Calibri"/>
          <w:b/>
          <w:sz w:val="24"/>
        </w:rPr>
        <w:t xml:space="preserve">, DE </w:t>
      </w:r>
      <w:r w:rsidR="00570EFB" w:rsidRPr="00365D60">
        <w:rPr>
          <w:rFonts w:ascii="Calibri" w:hAnsi="Calibri" w:cs="Calibri"/>
          <w:b/>
          <w:bCs/>
          <w:sz w:val="24"/>
        </w:rPr>
        <w:t>18</w:t>
      </w:r>
      <w:r w:rsidR="00570EFB" w:rsidRPr="00C6089D">
        <w:rPr>
          <w:rFonts w:ascii="Calibri" w:hAnsi="Calibri" w:cs="Calibri"/>
          <w:b/>
          <w:sz w:val="24"/>
        </w:rPr>
        <w:t xml:space="preserve"> DE OUTUBRO DE </w:t>
      </w:r>
      <w:r w:rsidR="00570EFB" w:rsidRPr="00365D60">
        <w:rPr>
          <w:rFonts w:ascii="Calibri" w:hAnsi="Calibri" w:cs="Calibri"/>
          <w:b/>
          <w:bCs/>
          <w:sz w:val="24"/>
        </w:rPr>
        <w:t>2021, PUBLICADA NO DOU EM 25 DE OUTUBRO DE 2021</w:t>
      </w:r>
      <w:r w:rsidR="00570EFB" w:rsidRPr="00365D60">
        <w:rPr>
          <w:rFonts w:ascii="Calibri" w:hAnsi="Calibri" w:cs="Calibri"/>
          <w:b/>
          <w:sz w:val="24"/>
        </w:rPr>
        <w:t>,</w:t>
      </w:r>
      <w:r w:rsidR="00570EFB" w:rsidRPr="00C6089D">
        <w:rPr>
          <w:rFonts w:ascii="Calibri" w:hAnsi="Calibri" w:cs="Calibri"/>
          <w:b/>
          <w:sz w:val="24"/>
        </w:rPr>
        <w:t xml:space="preserve"> </w:t>
      </w:r>
      <w:r w:rsidRPr="00C6089D">
        <w:rPr>
          <w:rFonts w:ascii="Calibri" w:hAnsi="Calibri" w:cs="Calibri"/>
          <w:b/>
          <w:sz w:val="24"/>
        </w:rPr>
        <w:t xml:space="preserve">PARA ENQUADRAMENTO DO </w:t>
      </w:r>
      <w:r w:rsidR="00570EFB" w:rsidRPr="00C6089D">
        <w:rPr>
          <w:rFonts w:ascii="Calibri" w:hAnsi="Calibri" w:cs="Calibri"/>
          <w:b/>
          <w:sz w:val="24"/>
        </w:rPr>
        <w:t xml:space="preserve">PROJETO </w:t>
      </w:r>
      <w:r w:rsidR="00570EFB" w:rsidRPr="00365D60">
        <w:rPr>
          <w:rFonts w:ascii="Calibri" w:hAnsi="Calibri" w:cs="Calibri"/>
          <w:b/>
          <w:sz w:val="24"/>
        </w:rPr>
        <w:t xml:space="preserve">CAPEX USINAS </w:t>
      </w:r>
      <w:r w:rsidRPr="00365D60">
        <w:rPr>
          <w:rFonts w:ascii="Calibri" w:hAnsi="Calibri" w:cs="Calibri"/>
          <w:b/>
          <w:sz w:val="24"/>
        </w:rPr>
        <w:t>(“</w:t>
      </w:r>
      <w:r w:rsidRPr="00C6089D">
        <w:rPr>
          <w:rFonts w:ascii="Calibri" w:hAnsi="Calibri" w:cs="Calibri"/>
          <w:b/>
          <w:sz w:val="24"/>
          <w:u w:val="single"/>
        </w:rPr>
        <w:t xml:space="preserve">PORTARIAS </w:t>
      </w:r>
      <w:r w:rsidR="00570EFB" w:rsidRPr="00C6089D">
        <w:rPr>
          <w:rFonts w:ascii="Calibri" w:hAnsi="Calibri" w:cs="Calibri"/>
          <w:b/>
          <w:sz w:val="24"/>
          <w:u w:val="single"/>
        </w:rPr>
        <w:t xml:space="preserve">DO </w:t>
      </w:r>
      <w:r w:rsidR="00570EFB" w:rsidRPr="00365D60">
        <w:rPr>
          <w:rFonts w:ascii="Calibri" w:hAnsi="Calibri" w:cs="Calibri"/>
          <w:b/>
          <w:sz w:val="24"/>
          <w:u w:val="single"/>
        </w:rPr>
        <w:t>MINISTÉRIO DE MINAS E ENERGIA</w:t>
      </w:r>
      <w:r w:rsidRPr="00365D60">
        <w:rPr>
          <w:rFonts w:ascii="Calibri" w:hAnsi="Calibri" w:cs="Calibri"/>
          <w:b/>
          <w:sz w:val="24"/>
        </w:rPr>
        <w:t>”).</w:t>
      </w:r>
    </w:p>
    <w:p w14:paraId="1498622D" w14:textId="08F6828D" w:rsidR="00A83F95" w:rsidRPr="00C6089D" w:rsidRDefault="008F59FA" w:rsidP="00E80B84">
      <w:pPr>
        <w:pStyle w:val="Body"/>
        <w:rPr>
          <w:rFonts w:ascii="Calibri" w:hAnsi="Calibri" w:cs="Calibri"/>
          <w:sz w:val="24"/>
        </w:rPr>
      </w:pPr>
      <w:r w:rsidRPr="00C6089D">
        <w:rPr>
          <w:rFonts w:ascii="Calibri" w:hAnsi="Calibri" w:cs="Calibri"/>
          <w:sz w:val="24"/>
        </w:rPr>
        <w:t>Exceto quando especificamente definidos neste Anúncio de Início, os termos aqui utilizados iniciados em letra maiúscula terão o significado a eles atribuído no “</w:t>
      </w:r>
      <w:r w:rsidRPr="00C6089D">
        <w:rPr>
          <w:rFonts w:ascii="Calibri" w:hAnsi="Calibri" w:cs="Calibri"/>
          <w:i/>
          <w:sz w:val="24"/>
        </w:rPr>
        <w:t xml:space="preserve">Prospecto Definitivo da Oferta Pública de Distribuição de Debêntures Simples, Não Conversíveis em Ações, da Espécie Quirografária, em </w:t>
      </w:r>
      <w:r w:rsidR="00AB066A" w:rsidRPr="00365D60">
        <w:rPr>
          <w:rFonts w:ascii="Calibri" w:hAnsi="Calibri" w:cs="Calibri"/>
          <w:i/>
          <w:sz w:val="24"/>
        </w:rPr>
        <w:t xml:space="preserve">Duas </w:t>
      </w:r>
      <w:r w:rsidRPr="00365D60">
        <w:rPr>
          <w:rFonts w:ascii="Calibri" w:hAnsi="Calibri" w:cs="Calibri"/>
          <w:i/>
          <w:sz w:val="24"/>
        </w:rPr>
        <w:t>Série</w:t>
      </w:r>
      <w:r w:rsidR="00AB066A" w:rsidRPr="00365D60">
        <w:rPr>
          <w:rFonts w:ascii="Calibri" w:hAnsi="Calibri" w:cs="Calibri"/>
          <w:i/>
          <w:sz w:val="24"/>
        </w:rPr>
        <w:t>s</w:t>
      </w:r>
      <w:r w:rsidRPr="00C6089D">
        <w:rPr>
          <w:rFonts w:ascii="Calibri" w:hAnsi="Calibri" w:cs="Calibri"/>
          <w:i/>
          <w:sz w:val="24"/>
        </w:rPr>
        <w:t xml:space="preserve">, da </w:t>
      </w:r>
      <w:r w:rsidR="00AB066A" w:rsidRPr="00365D60">
        <w:rPr>
          <w:rFonts w:ascii="Calibri" w:hAnsi="Calibri" w:cs="Calibri"/>
          <w:i/>
          <w:sz w:val="24"/>
        </w:rPr>
        <w:t>4</w:t>
      </w:r>
      <w:r w:rsidRPr="00365D60">
        <w:rPr>
          <w:rFonts w:ascii="Calibri" w:hAnsi="Calibri" w:cs="Calibri"/>
          <w:i/>
          <w:sz w:val="24"/>
        </w:rPr>
        <w:t>ª (</w:t>
      </w:r>
      <w:r w:rsidR="00AB066A" w:rsidRPr="00365D60">
        <w:rPr>
          <w:rFonts w:ascii="Calibri" w:hAnsi="Calibri" w:cs="Calibri"/>
          <w:i/>
          <w:sz w:val="24"/>
        </w:rPr>
        <w:t>Quarta</w:t>
      </w:r>
      <w:r w:rsidRPr="00C6089D">
        <w:rPr>
          <w:rFonts w:ascii="Calibri" w:hAnsi="Calibri" w:cs="Calibri"/>
          <w:i/>
          <w:sz w:val="24"/>
        </w:rPr>
        <w:t xml:space="preserve">) Emissão da </w:t>
      </w:r>
      <w:r w:rsidR="00AB066A" w:rsidRPr="00365D60">
        <w:rPr>
          <w:rFonts w:ascii="Calibri" w:hAnsi="Calibri" w:cs="Calibri"/>
          <w:i/>
          <w:sz w:val="24"/>
        </w:rPr>
        <w:t>São Martinho</w:t>
      </w:r>
      <w:r w:rsidRPr="00C6089D">
        <w:rPr>
          <w:rFonts w:ascii="Calibri" w:hAnsi="Calibri" w:cs="Calibri"/>
          <w:i/>
          <w:sz w:val="24"/>
        </w:rPr>
        <w:t xml:space="preserve"> S.A.</w:t>
      </w:r>
      <w:r w:rsidRPr="00C6089D">
        <w:rPr>
          <w:rFonts w:ascii="Calibri" w:hAnsi="Calibri" w:cs="Calibri"/>
          <w:sz w:val="24"/>
        </w:rPr>
        <w:t>” (“</w:t>
      </w:r>
      <w:r w:rsidRPr="00C6089D">
        <w:rPr>
          <w:rFonts w:ascii="Calibri" w:hAnsi="Calibri" w:cs="Calibri"/>
          <w:sz w:val="24"/>
          <w:u w:val="single"/>
        </w:rPr>
        <w:t>Prospecto Definitivo</w:t>
      </w:r>
      <w:r w:rsidRPr="00C6089D">
        <w:rPr>
          <w:rFonts w:ascii="Calibri" w:hAnsi="Calibri" w:cs="Calibri"/>
          <w:sz w:val="24"/>
        </w:rPr>
        <w:t>”, sendo que a definição de Prospecto Definitivo engloba todos os seus anexos e documentos a ele incorporados por referência)</w:t>
      </w:r>
      <w:r w:rsidR="000A631A">
        <w:rPr>
          <w:rFonts w:ascii="Calibri" w:hAnsi="Calibri" w:cs="Calibri"/>
          <w:sz w:val="24"/>
        </w:rPr>
        <w:t>,</w:t>
      </w:r>
      <w:r w:rsidRPr="00C6089D">
        <w:rPr>
          <w:rFonts w:ascii="Calibri" w:hAnsi="Calibri" w:cs="Calibri"/>
          <w:sz w:val="24"/>
        </w:rPr>
        <w:t xml:space="preserve"> no “</w:t>
      </w:r>
      <w:r w:rsidRPr="00C6089D">
        <w:rPr>
          <w:rFonts w:ascii="Calibri" w:hAnsi="Calibri" w:cs="Calibri"/>
          <w:i/>
          <w:sz w:val="24"/>
        </w:rPr>
        <w:t xml:space="preserve">Instrumento Particular de Escritura da </w:t>
      </w:r>
      <w:r w:rsidR="00AB066A" w:rsidRPr="00365D60">
        <w:rPr>
          <w:rFonts w:ascii="Calibri" w:hAnsi="Calibri" w:cs="Calibri"/>
          <w:i/>
          <w:sz w:val="24"/>
        </w:rPr>
        <w:t>4</w:t>
      </w:r>
      <w:r w:rsidRPr="00365D60">
        <w:rPr>
          <w:rFonts w:ascii="Calibri" w:hAnsi="Calibri" w:cs="Calibri"/>
          <w:i/>
          <w:sz w:val="24"/>
        </w:rPr>
        <w:t>ª (</w:t>
      </w:r>
      <w:r w:rsidR="00AB066A" w:rsidRPr="00365D60">
        <w:rPr>
          <w:rFonts w:ascii="Calibri" w:hAnsi="Calibri" w:cs="Calibri"/>
          <w:i/>
          <w:sz w:val="24"/>
        </w:rPr>
        <w:t>Quarta</w:t>
      </w:r>
      <w:r w:rsidRPr="00C6089D">
        <w:rPr>
          <w:rFonts w:ascii="Calibri" w:hAnsi="Calibri" w:cs="Calibri"/>
          <w:i/>
          <w:sz w:val="24"/>
        </w:rPr>
        <w:t xml:space="preserve">) Emissão de Debêntures Simples, Não Conversíveis em Ações, da Espécie Quirografária, em </w:t>
      </w:r>
      <w:r w:rsidR="00AB066A" w:rsidRPr="00365D60">
        <w:rPr>
          <w:rFonts w:ascii="Calibri" w:hAnsi="Calibri" w:cs="Calibri"/>
          <w:i/>
          <w:sz w:val="24"/>
        </w:rPr>
        <w:t xml:space="preserve">Até Duas </w:t>
      </w:r>
      <w:r w:rsidRPr="00365D60">
        <w:rPr>
          <w:rFonts w:ascii="Calibri" w:hAnsi="Calibri" w:cs="Calibri"/>
          <w:i/>
          <w:sz w:val="24"/>
        </w:rPr>
        <w:t>Série</w:t>
      </w:r>
      <w:r w:rsidR="00AB066A" w:rsidRPr="00365D60">
        <w:rPr>
          <w:rFonts w:ascii="Calibri" w:hAnsi="Calibri" w:cs="Calibri"/>
          <w:i/>
          <w:sz w:val="24"/>
        </w:rPr>
        <w:t>s</w:t>
      </w:r>
      <w:r w:rsidRPr="00C6089D">
        <w:rPr>
          <w:rFonts w:ascii="Calibri" w:hAnsi="Calibri" w:cs="Calibri"/>
          <w:i/>
          <w:sz w:val="24"/>
        </w:rPr>
        <w:t xml:space="preserve">, para Distribuição Pública, da </w:t>
      </w:r>
      <w:r w:rsidR="00AB066A" w:rsidRPr="00365D60">
        <w:rPr>
          <w:rFonts w:ascii="Calibri" w:hAnsi="Calibri" w:cs="Calibri"/>
          <w:i/>
          <w:sz w:val="24"/>
        </w:rPr>
        <w:t>São Martinho</w:t>
      </w:r>
      <w:r w:rsidRPr="00C6089D">
        <w:rPr>
          <w:rFonts w:ascii="Calibri" w:hAnsi="Calibri" w:cs="Calibri"/>
          <w:i/>
          <w:sz w:val="24"/>
        </w:rPr>
        <w:t xml:space="preserve"> S.A.</w:t>
      </w:r>
      <w:r w:rsidRPr="00C6089D">
        <w:rPr>
          <w:rFonts w:ascii="Calibri" w:hAnsi="Calibri" w:cs="Calibri"/>
          <w:sz w:val="24"/>
        </w:rPr>
        <w:t xml:space="preserve">”, celebrado em </w:t>
      </w:r>
      <w:r w:rsidR="009F3FD8">
        <w:rPr>
          <w:rFonts w:ascii="Calibri" w:hAnsi="Calibri" w:cs="Calibri"/>
          <w:sz w:val="24"/>
        </w:rPr>
        <w:t>13</w:t>
      </w:r>
      <w:r w:rsidR="00EC6D13" w:rsidRPr="00365D60">
        <w:rPr>
          <w:rFonts w:ascii="Calibri" w:hAnsi="Calibri" w:cs="Calibri"/>
          <w:sz w:val="24"/>
        </w:rPr>
        <w:t xml:space="preserve"> </w:t>
      </w:r>
      <w:r w:rsidRPr="00365D60">
        <w:rPr>
          <w:rFonts w:ascii="Calibri" w:hAnsi="Calibri" w:cs="Calibri"/>
          <w:sz w:val="24"/>
        </w:rPr>
        <w:t xml:space="preserve">de </w:t>
      </w:r>
      <w:r w:rsidR="00AB066A" w:rsidRPr="00365D60">
        <w:rPr>
          <w:rFonts w:ascii="Calibri" w:hAnsi="Calibri" w:cs="Calibri"/>
          <w:sz w:val="24"/>
        </w:rPr>
        <w:t>dezembro</w:t>
      </w:r>
      <w:r w:rsidR="00EC6D13" w:rsidRPr="00C6089D">
        <w:rPr>
          <w:rFonts w:ascii="Calibri" w:hAnsi="Calibri" w:cs="Calibri"/>
          <w:sz w:val="24"/>
        </w:rPr>
        <w:t xml:space="preserve"> </w:t>
      </w:r>
      <w:r w:rsidRPr="00C6089D">
        <w:rPr>
          <w:rFonts w:ascii="Calibri" w:hAnsi="Calibri" w:cs="Calibri"/>
          <w:sz w:val="24"/>
        </w:rPr>
        <w:t xml:space="preserve">de </w:t>
      </w:r>
      <w:r w:rsidRPr="00365D60">
        <w:rPr>
          <w:rFonts w:ascii="Calibri" w:hAnsi="Calibri" w:cs="Calibri"/>
          <w:sz w:val="24"/>
        </w:rPr>
        <w:t>20</w:t>
      </w:r>
      <w:r w:rsidR="00AB066A" w:rsidRPr="00365D60">
        <w:rPr>
          <w:rFonts w:ascii="Calibri" w:hAnsi="Calibri" w:cs="Calibri"/>
          <w:sz w:val="24"/>
        </w:rPr>
        <w:t>21</w:t>
      </w:r>
      <w:r w:rsidR="00550A4B">
        <w:rPr>
          <w:rFonts w:ascii="Calibri" w:hAnsi="Calibri" w:cs="Calibri"/>
          <w:sz w:val="24"/>
        </w:rPr>
        <w:t>, conforme alterad</w:t>
      </w:r>
      <w:r w:rsidR="009F20C2">
        <w:rPr>
          <w:rFonts w:ascii="Calibri" w:hAnsi="Calibri" w:cs="Calibri"/>
          <w:sz w:val="24"/>
        </w:rPr>
        <w:t>o</w:t>
      </w:r>
      <w:r w:rsidR="00550A4B">
        <w:rPr>
          <w:rFonts w:ascii="Calibri" w:hAnsi="Calibri" w:cs="Calibri"/>
          <w:sz w:val="24"/>
        </w:rPr>
        <w:t>,</w:t>
      </w:r>
      <w:r w:rsidRPr="00C6089D">
        <w:rPr>
          <w:rFonts w:ascii="Calibri" w:hAnsi="Calibri" w:cs="Calibri"/>
          <w:sz w:val="24"/>
        </w:rPr>
        <w:t xml:space="preserve"> entre a Emissora e a </w:t>
      </w:r>
      <w:r w:rsidR="00365D60" w:rsidRPr="00365D60">
        <w:rPr>
          <w:rFonts w:ascii="Calibri" w:hAnsi="Calibri" w:cs="Calibri"/>
          <w:b/>
          <w:sz w:val="24"/>
        </w:rPr>
        <w:t>SIMPLIFIC PAVARINI</w:t>
      </w:r>
      <w:r w:rsidR="00365D60" w:rsidRPr="00C6089D">
        <w:rPr>
          <w:rFonts w:ascii="Calibri" w:hAnsi="Calibri" w:cs="Calibri"/>
          <w:b/>
          <w:sz w:val="24"/>
        </w:rPr>
        <w:t xml:space="preserve"> DISTRIBUIDORA DE TÍTULOS E VALORES MOBILIÁRIOS</w:t>
      </w:r>
      <w:r w:rsidR="00365D60" w:rsidRPr="00365D60">
        <w:rPr>
          <w:rFonts w:ascii="Calibri" w:hAnsi="Calibri" w:cs="Calibri"/>
          <w:b/>
          <w:sz w:val="24"/>
        </w:rPr>
        <w:t xml:space="preserve"> LTDA.</w:t>
      </w:r>
      <w:r w:rsidRPr="00365D60">
        <w:rPr>
          <w:rFonts w:ascii="Calibri" w:hAnsi="Calibri" w:cs="Calibri"/>
          <w:sz w:val="24"/>
        </w:rPr>
        <w:t>,</w:t>
      </w:r>
      <w:r w:rsidRPr="00C6089D">
        <w:rPr>
          <w:rFonts w:ascii="Calibri" w:hAnsi="Calibri" w:cs="Calibri"/>
          <w:sz w:val="24"/>
        </w:rPr>
        <w:t xml:space="preserve"> representando a comunhão dos titulares das </w:t>
      </w:r>
      <w:r w:rsidR="002827FE" w:rsidRPr="00C6089D">
        <w:rPr>
          <w:rFonts w:ascii="Calibri" w:hAnsi="Calibri" w:cs="Calibri"/>
          <w:sz w:val="24"/>
        </w:rPr>
        <w:t>Debêntures</w:t>
      </w:r>
      <w:r w:rsidRPr="00C6089D">
        <w:rPr>
          <w:rFonts w:ascii="Calibri" w:hAnsi="Calibri" w:cs="Calibri"/>
          <w:sz w:val="24"/>
        </w:rPr>
        <w:t xml:space="preserve"> (“</w:t>
      </w:r>
      <w:r w:rsidRPr="00C6089D">
        <w:rPr>
          <w:rFonts w:ascii="Calibri" w:hAnsi="Calibri" w:cs="Calibri"/>
          <w:sz w:val="24"/>
          <w:u w:val="single"/>
        </w:rPr>
        <w:t>Escritura de Emissão</w:t>
      </w:r>
      <w:r w:rsidRPr="00C6089D">
        <w:rPr>
          <w:rFonts w:ascii="Calibri" w:hAnsi="Calibri" w:cs="Calibri"/>
          <w:sz w:val="24"/>
        </w:rPr>
        <w:t>”, “</w:t>
      </w:r>
      <w:r w:rsidRPr="00C6089D">
        <w:rPr>
          <w:rFonts w:ascii="Calibri" w:hAnsi="Calibri" w:cs="Calibri"/>
          <w:sz w:val="24"/>
          <w:u w:val="single"/>
        </w:rPr>
        <w:t>Agente Fiduciário</w:t>
      </w:r>
      <w:r w:rsidRPr="00C6089D">
        <w:rPr>
          <w:rFonts w:ascii="Calibri" w:hAnsi="Calibri" w:cs="Calibri"/>
          <w:sz w:val="24"/>
        </w:rPr>
        <w:t>” e “</w:t>
      </w:r>
      <w:r w:rsidRPr="00C6089D">
        <w:rPr>
          <w:rFonts w:ascii="Calibri" w:hAnsi="Calibri" w:cs="Calibri"/>
          <w:sz w:val="24"/>
          <w:u w:val="single"/>
        </w:rPr>
        <w:t>Debenturistas</w:t>
      </w:r>
      <w:r w:rsidRPr="00C6089D">
        <w:rPr>
          <w:rFonts w:ascii="Calibri" w:hAnsi="Calibri" w:cs="Calibri"/>
          <w:sz w:val="24"/>
        </w:rPr>
        <w:t>”, respectivamente).</w:t>
      </w:r>
    </w:p>
    <w:p w14:paraId="202676A0" w14:textId="3B16BDA0" w:rsidR="00A83F95" w:rsidRPr="00C6089D" w:rsidRDefault="008F59FA" w:rsidP="00E80B84">
      <w:pPr>
        <w:pStyle w:val="Body"/>
        <w:rPr>
          <w:rFonts w:ascii="Calibri" w:hAnsi="Calibri" w:cs="Calibri"/>
          <w:b/>
          <w:sz w:val="24"/>
        </w:rPr>
      </w:pPr>
      <w:r w:rsidRPr="00C6089D">
        <w:rPr>
          <w:rFonts w:ascii="Calibri" w:hAnsi="Calibri" w:cs="Calibri"/>
          <w:b/>
          <w:sz w:val="24"/>
        </w:rPr>
        <w:t>AS DEBÊNTURES CONTARÃO COM O INCENTIVO PREVISTO NO ARTIGO 2º DA LEI 12.431, DO DECRETO Nº 8.874, DE 11 DE OUTUBRO DE 2016 (“</w:t>
      </w:r>
      <w:r w:rsidRPr="00C6089D">
        <w:rPr>
          <w:rFonts w:ascii="Calibri" w:hAnsi="Calibri" w:cs="Calibri"/>
          <w:b/>
          <w:sz w:val="24"/>
          <w:u w:val="single"/>
        </w:rPr>
        <w:t>DECRETO 8.874</w:t>
      </w:r>
      <w:r w:rsidRPr="00C6089D">
        <w:rPr>
          <w:rFonts w:ascii="Calibri" w:hAnsi="Calibri" w:cs="Calibri"/>
          <w:b/>
          <w:sz w:val="24"/>
        </w:rPr>
        <w:t>”), DA RESOLUÇÃO DO CONSELHO MONETÁRIO NACIONAL (“</w:t>
      </w:r>
      <w:r w:rsidRPr="00C6089D">
        <w:rPr>
          <w:rFonts w:ascii="Calibri" w:hAnsi="Calibri" w:cs="Calibri"/>
          <w:b/>
          <w:sz w:val="24"/>
          <w:u w:val="single"/>
        </w:rPr>
        <w:t>CMN</w:t>
      </w:r>
      <w:r w:rsidRPr="00C6089D">
        <w:rPr>
          <w:rFonts w:ascii="Calibri" w:hAnsi="Calibri" w:cs="Calibri"/>
          <w:b/>
          <w:sz w:val="24"/>
        </w:rPr>
        <w:t>”) Nº 3.947, DE 27 DE JANEIRO DE 2011 (“</w:t>
      </w:r>
      <w:r w:rsidRPr="00C6089D">
        <w:rPr>
          <w:rFonts w:ascii="Calibri" w:hAnsi="Calibri" w:cs="Calibri"/>
          <w:b/>
          <w:sz w:val="24"/>
          <w:u w:val="single"/>
        </w:rPr>
        <w:t>RESOLUÇÃO CMN 3.947</w:t>
      </w:r>
      <w:r w:rsidRPr="00C6089D">
        <w:rPr>
          <w:rFonts w:ascii="Calibri" w:hAnsi="Calibri" w:cs="Calibri"/>
          <w:b/>
          <w:sz w:val="24"/>
        </w:rPr>
        <w:t>”) OU DE NORMA POSTERIOR QUE AS ALTEREM, SUBSTITUAM OU COMPLEMENTEM, CONFORME APLICÁVEIS, SENDO OS RECURSOS LÍQUIDOS CAPTADOS COM AS DEBÊNTURES APLICADOS INTEGRALMENTE NOS PROJETOS.</w:t>
      </w:r>
    </w:p>
    <w:p w14:paraId="3EE42C64" w14:textId="11EFCE7F" w:rsidR="00B273D9" w:rsidRPr="00C6089D" w:rsidRDefault="00B273D9" w:rsidP="00E80B84">
      <w:pPr>
        <w:pStyle w:val="Body"/>
        <w:rPr>
          <w:rFonts w:ascii="Calibri" w:hAnsi="Calibri" w:cs="Calibri"/>
          <w:sz w:val="24"/>
        </w:rPr>
      </w:pPr>
      <w:r w:rsidRPr="00C6089D">
        <w:rPr>
          <w:rFonts w:ascii="Calibri" w:hAnsi="Calibri" w:cs="Calibri"/>
          <w:b/>
          <w:sz w:val="24"/>
        </w:rPr>
        <w:t xml:space="preserve">O INVESTIMENTO NAS DEBÊNTURES NÃO É ADEQUADO A INVESTIDORES QUE: (I) NÃO TENHAM PROFUNDO CONHECIMENTO DOS RISCOS ENVOLVIDOS NA OPERAÇÃO OU QUE NÃO TENHAM ACESSO A CONSULTORIA ESPECIALIZADA; (II) NECESSITEM DE LIQUIDEZ COM RELAÇÃO ÀS DEBÊNTURES A SEREM SUBSCRITAS, TENDO EM VISTA A POSSIBILIDADE DE SEREM PEQUENAS OU INEXISTENTES AS NEGOCIAÇÕES DAS DEBÊNTURES NO MERCADO SECUNDÁRIO; E/OU (III) NÃO ESTEJAM DISPOSTOS A CORRER O RISCO DE CRÉDITO DE </w:t>
      </w:r>
      <w:r w:rsidRPr="00C6089D">
        <w:rPr>
          <w:rFonts w:ascii="Calibri" w:hAnsi="Calibri" w:cs="Calibri"/>
          <w:b/>
          <w:sz w:val="24"/>
        </w:rPr>
        <w:lastRenderedPageBreak/>
        <w:t>EMPRESA DO SETOR PRIVADO E/OU DOS SETORES EM QUE A EMISSORA ATUA, EM PARTICULAR N</w:t>
      </w:r>
      <w:r w:rsidR="00B10679" w:rsidRPr="00365D60">
        <w:rPr>
          <w:rFonts w:ascii="Calibri" w:hAnsi="Calibri" w:cs="Calibri"/>
          <w:b/>
          <w:sz w:val="24"/>
        </w:rPr>
        <w:t>O AGRONEGÓCIO</w:t>
      </w:r>
      <w:r w:rsidRPr="00C6089D">
        <w:rPr>
          <w:rFonts w:ascii="Calibri" w:hAnsi="Calibri" w:cs="Calibri"/>
          <w:b/>
          <w:sz w:val="24"/>
        </w:rPr>
        <w:t>. PARA UMA AVALIAÇÃO ADEQUADA DOS RISCOS ASSOCIADOS AO INVESTIMENTO NAS DEBÊNTURES, OS INVESTIDORES DEVERÃO LER A SEÇÃO “FATORES DE RISCO RELACIONADOS À OFERTA E ÀS DEBÊNTURES”, DO PROSPECTO DEFINITIVO, BEM COMO O ITEM “4. FATORES DE RISCO” DO FORMULÁRIO DE REFERÊNCIA (CONFORME ABAIXO DEFINIDO) ANTES DE ACEITAR A OFERTA.</w:t>
      </w:r>
    </w:p>
    <w:p w14:paraId="192A2574" w14:textId="77777777" w:rsidR="00417CB2" w:rsidRPr="00BE0E90" w:rsidRDefault="00BE7D37" w:rsidP="00143D5F">
      <w:pPr>
        <w:pStyle w:val="Level1"/>
        <w:tabs>
          <w:tab w:val="clear" w:pos="680"/>
          <w:tab w:val="num" w:pos="426"/>
        </w:tabs>
        <w:rPr>
          <w:rFonts w:ascii="Calibri" w:hAnsi="Calibri" w:cs="Calibri"/>
          <w:caps/>
          <w:color w:val="203463"/>
          <w:sz w:val="28"/>
          <w:szCs w:val="28"/>
        </w:rPr>
      </w:pPr>
      <w:r w:rsidRPr="00BE0E90">
        <w:rPr>
          <w:rFonts w:ascii="Calibri" w:hAnsi="Calibri" w:cs="Calibri"/>
          <w:caps/>
          <w:color w:val="203463"/>
          <w:sz w:val="28"/>
          <w:szCs w:val="28"/>
        </w:rPr>
        <w:t>Autorização</w:t>
      </w:r>
    </w:p>
    <w:p w14:paraId="00EB8A84" w14:textId="5C8F109B" w:rsidR="00417CB2" w:rsidRPr="00C6089D" w:rsidRDefault="008622D3" w:rsidP="00417CB2">
      <w:pPr>
        <w:pStyle w:val="Body"/>
        <w:rPr>
          <w:rFonts w:ascii="Calibri" w:hAnsi="Calibri" w:cs="Calibri"/>
          <w:sz w:val="24"/>
        </w:rPr>
      </w:pPr>
      <w:r w:rsidRPr="00C6089D">
        <w:rPr>
          <w:rFonts w:ascii="Calibri" w:hAnsi="Calibri" w:cs="Calibri"/>
          <w:sz w:val="24"/>
        </w:rPr>
        <w:t xml:space="preserve">A Escritura de Emissão foi celebrada com base nas deliberações tomadas pelo Conselho de Administração da Emissora, em reunião realizada em </w:t>
      </w:r>
      <w:r w:rsidR="00E90E22" w:rsidRPr="00365D60">
        <w:rPr>
          <w:rFonts w:ascii="Calibri" w:hAnsi="Calibri" w:cs="Calibri"/>
          <w:sz w:val="24"/>
        </w:rPr>
        <w:t>13</w:t>
      </w:r>
      <w:r w:rsidRPr="00C6089D">
        <w:rPr>
          <w:rFonts w:ascii="Calibri" w:hAnsi="Calibri" w:cs="Calibri"/>
          <w:sz w:val="24"/>
        </w:rPr>
        <w:t xml:space="preserve"> de </w:t>
      </w:r>
      <w:r w:rsidR="00E90E22" w:rsidRPr="00365D60">
        <w:rPr>
          <w:rFonts w:ascii="Calibri" w:hAnsi="Calibri" w:cs="Calibri"/>
          <w:sz w:val="24"/>
        </w:rPr>
        <w:t>dezembro</w:t>
      </w:r>
      <w:r w:rsidRPr="00C6089D">
        <w:rPr>
          <w:rFonts w:ascii="Calibri" w:hAnsi="Calibri" w:cs="Calibri"/>
          <w:sz w:val="24"/>
        </w:rPr>
        <w:t xml:space="preserve"> de </w:t>
      </w:r>
      <w:r w:rsidRPr="00365D60">
        <w:rPr>
          <w:rFonts w:ascii="Calibri" w:hAnsi="Calibri" w:cs="Calibri"/>
          <w:sz w:val="24"/>
        </w:rPr>
        <w:t>20</w:t>
      </w:r>
      <w:r w:rsidR="00E90E22" w:rsidRPr="00365D60">
        <w:rPr>
          <w:rFonts w:ascii="Calibri" w:hAnsi="Calibri" w:cs="Calibri"/>
          <w:sz w:val="24"/>
        </w:rPr>
        <w:t>21</w:t>
      </w:r>
      <w:r w:rsidRPr="00C6089D">
        <w:rPr>
          <w:rFonts w:ascii="Calibri" w:hAnsi="Calibri" w:cs="Calibri"/>
          <w:sz w:val="24"/>
        </w:rPr>
        <w:t xml:space="preserve"> (“</w:t>
      </w:r>
      <w:r w:rsidRPr="00C6089D">
        <w:rPr>
          <w:rFonts w:ascii="Calibri" w:hAnsi="Calibri" w:cs="Calibri"/>
          <w:bCs/>
          <w:sz w:val="24"/>
          <w:u w:val="single"/>
        </w:rPr>
        <w:t>RCA</w:t>
      </w:r>
      <w:r w:rsidRPr="00C6089D">
        <w:rPr>
          <w:rFonts w:ascii="Calibri" w:hAnsi="Calibri" w:cs="Calibri"/>
          <w:sz w:val="24"/>
        </w:rPr>
        <w:t>”), na qual foram deliberados e aprovados os termos e condições da Emissão de Debêntures, nos termos do artigo 59, parágrafo 1º, da Lei nº 6.404, de 15 de dezembro de 1976, conforme alterada (“</w:t>
      </w:r>
      <w:r w:rsidRPr="00C6089D">
        <w:rPr>
          <w:rFonts w:ascii="Calibri" w:hAnsi="Calibri" w:cs="Calibri"/>
          <w:sz w:val="24"/>
          <w:u w:val="single"/>
        </w:rPr>
        <w:t>Lei das Sociedades por Ações</w:t>
      </w:r>
      <w:r w:rsidRPr="00C6089D">
        <w:rPr>
          <w:rFonts w:ascii="Calibri" w:hAnsi="Calibri" w:cs="Calibri"/>
          <w:sz w:val="24"/>
        </w:rPr>
        <w:t xml:space="preserve">”), e da Lei 12.431, as quais serão objeto de distribuição pública, nos termos </w:t>
      </w:r>
      <w:r w:rsidRPr="00C6089D">
        <w:rPr>
          <w:rFonts w:ascii="Calibri" w:hAnsi="Calibri" w:cs="Calibri"/>
          <w:color w:val="000000"/>
          <w:sz w:val="24"/>
        </w:rPr>
        <w:t>da Lei nº 6.385, de 7 de dezembro de 1976, conforme alterada (“</w:t>
      </w:r>
      <w:r w:rsidRPr="00C6089D">
        <w:rPr>
          <w:rFonts w:ascii="Calibri" w:hAnsi="Calibri" w:cs="Calibri"/>
          <w:color w:val="000000"/>
          <w:sz w:val="24"/>
          <w:u w:val="single"/>
        </w:rPr>
        <w:t>Lei do Mercado de Valores Mobiliários</w:t>
      </w:r>
      <w:r w:rsidRPr="00C6089D">
        <w:rPr>
          <w:rFonts w:ascii="Calibri" w:hAnsi="Calibri" w:cs="Calibri"/>
          <w:color w:val="000000"/>
          <w:sz w:val="24"/>
        </w:rPr>
        <w:t xml:space="preserve">”), </w:t>
      </w:r>
      <w:r w:rsidRPr="00C6089D">
        <w:rPr>
          <w:rFonts w:ascii="Calibri" w:hAnsi="Calibri" w:cs="Calibri"/>
          <w:sz w:val="24"/>
        </w:rPr>
        <w:t>da Instrução CVM 400.</w:t>
      </w:r>
    </w:p>
    <w:p w14:paraId="09670888" w14:textId="7250A57A" w:rsidR="00026AA3" w:rsidRPr="00C6089D" w:rsidRDefault="008622D3" w:rsidP="00026AA3">
      <w:pPr>
        <w:pStyle w:val="Body"/>
        <w:rPr>
          <w:rFonts w:ascii="Calibri" w:hAnsi="Calibri" w:cs="Calibri"/>
          <w:sz w:val="24"/>
        </w:rPr>
      </w:pPr>
      <w:r w:rsidRPr="00C6089D">
        <w:rPr>
          <w:rFonts w:ascii="Calibri" w:hAnsi="Calibri" w:cs="Calibri"/>
          <w:sz w:val="24"/>
        </w:rPr>
        <w:t xml:space="preserve">A RCA </w:t>
      </w:r>
      <w:r w:rsidRPr="00365D60">
        <w:rPr>
          <w:rFonts w:ascii="Calibri" w:hAnsi="Calibri" w:cs="Calibri"/>
          <w:sz w:val="24"/>
        </w:rPr>
        <w:t>a</w:t>
      </w:r>
      <w:r w:rsidR="00E90E22" w:rsidRPr="00365D60">
        <w:rPr>
          <w:rFonts w:ascii="Calibri" w:hAnsi="Calibri" w:cs="Calibri"/>
          <w:sz w:val="24"/>
        </w:rPr>
        <w:t>utorizou a Diretoria</w:t>
      </w:r>
      <w:r w:rsidR="00E90E22" w:rsidRPr="00C6089D">
        <w:rPr>
          <w:rFonts w:ascii="Calibri" w:hAnsi="Calibri" w:cs="Calibri"/>
          <w:sz w:val="24"/>
        </w:rPr>
        <w:t xml:space="preserve"> da Emissora </w:t>
      </w:r>
      <w:r w:rsidRPr="00C6089D">
        <w:rPr>
          <w:rFonts w:ascii="Calibri" w:hAnsi="Calibri" w:cs="Calibri"/>
          <w:sz w:val="24"/>
        </w:rPr>
        <w:t xml:space="preserve">a </w:t>
      </w:r>
      <w:r w:rsidRPr="00C6089D">
        <w:rPr>
          <w:rFonts w:ascii="Calibri" w:hAnsi="Calibri" w:cs="Calibri"/>
          <w:b/>
          <w:sz w:val="24"/>
        </w:rPr>
        <w:t>(i)</w:t>
      </w:r>
      <w:r w:rsidRPr="00C6089D">
        <w:rPr>
          <w:rFonts w:ascii="Calibri" w:hAnsi="Calibri" w:cs="Calibri"/>
          <w:sz w:val="24"/>
        </w:rPr>
        <w:t xml:space="preserve"> praticar todos os atos necessários para efetivar as deliberações lá consubstanciadas, inclusive, celebrar </w:t>
      </w:r>
      <w:r w:rsidR="00E90E22" w:rsidRPr="00365D60">
        <w:rPr>
          <w:rFonts w:ascii="Calibri" w:hAnsi="Calibri" w:cs="Calibri"/>
          <w:sz w:val="24"/>
        </w:rPr>
        <w:t xml:space="preserve">todos os documentos indispensáveis à concretização da Emissão, dentre os quais </w:t>
      </w:r>
      <w:r w:rsidRPr="00C6089D">
        <w:rPr>
          <w:rFonts w:ascii="Calibri" w:hAnsi="Calibri" w:cs="Calibri"/>
          <w:sz w:val="24"/>
        </w:rPr>
        <w:t xml:space="preserve">o </w:t>
      </w:r>
      <w:r w:rsidR="00FE493B">
        <w:rPr>
          <w:rFonts w:ascii="Calibri" w:hAnsi="Calibri" w:cs="Calibri"/>
          <w:sz w:val="24"/>
        </w:rPr>
        <w:t>Primeiro A</w:t>
      </w:r>
      <w:r w:rsidRPr="00C6089D">
        <w:rPr>
          <w:rFonts w:ascii="Calibri" w:hAnsi="Calibri" w:cs="Calibri"/>
          <w:sz w:val="24"/>
        </w:rPr>
        <w:t xml:space="preserve">ditamento à Escritura de Emissão </w:t>
      </w:r>
      <w:r w:rsidR="00FE493B">
        <w:rPr>
          <w:rFonts w:ascii="Calibri" w:hAnsi="Calibri" w:cs="Calibri"/>
          <w:sz w:val="24"/>
        </w:rPr>
        <w:t>que refletiu</w:t>
      </w:r>
      <w:r w:rsidRPr="00C6089D">
        <w:rPr>
          <w:rFonts w:ascii="Calibri" w:hAnsi="Calibri" w:cs="Calibri"/>
          <w:sz w:val="24"/>
        </w:rPr>
        <w:t xml:space="preserve"> </w:t>
      </w:r>
      <w:r w:rsidR="00CB0B3E" w:rsidRPr="00365D60">
        <w:rPr>
          <w:rFonts w:ascii="Calibri" w:hAnsi="Calibri" w:cs="Calibri"/>
          <w:sz w:val="24"/>
        </w:rPr>
        <w:t>o resultado do</w:t>
      </w:r>
      <w:r w:rsidR="00CB0B3E" w:rsidRPr="00C6089D">
        <w:rPr>
          <w:rFonts w:ascii="Calibri" w:hAnsi="Calibri" w:cs="Calibri"/>
          <w:sz w:val="24"/>
        </w:rPr>
        <w:t xml:space="preserve"> Procedimento de </w:t>
      </w:r>
      <w:r w:rsidR="00CB0B3E" w:rsidRPr="00C6089D">
        <w:rPr>
          <w:rFonts w:ascii="Calibri" w:hAnsi="Calibri" w:cs="Calibri"/>
          <w:i/>
          <w:sz w:val="24"/>
        </w:rPr>
        <w:t xml:space="preserve">Bookbuilding </w:t>
      </w:r>
      <w:r w:rsidR="00CB0B3E" w:rsidRPr="00C6089D">
        <w:rPr>
          <w:rFonts w:ascii="Calibri" w:hAnsi="Calibri" w:cs="Calibri"/>
          <w:sz w:val="24"/>
        </w:rPr>
        <w:t>(conforme abaixo definido</w:t>
      </w:r>
      <w:r w:rsidR="00CB0B3E" w:rsidRPr="00365D60">
        <w:rPr>
          <w:rFonts w:ascii="Calibri" w:hAnsi="Calibri" w:cs="Calibri"/>
          <w:sz w:val="24"/>
        </w:rPr>
        <w:t>), e</w:t>
      </w:r>
      <w:r w:rsidR="00A00699">
        <w:rPr>
          <w:rFonts w:ascii="Calibri" w:hAnsi="Calibri" w:cs="Calibri"/>
          <w:sz w:val="24"/>
        </w:rPr>
        <w:t xml:space="preserve"> </w:t>
      </w:r>
      <w:r w:rsidR="00CB0B3E" w:rsidRPr="00365D60">
        <w:rPr>
          <w:rFonts w:ascii="Calibri" w:hAnsi="Calibri" w:cs="Calibri"/>
          <w:sz w:val="24"/>
        </w:rPr>
        <w:t>o aumento do valor da Oferta mediante a colocação das Debêntures Adicionais (conforme abaixo definidas</w:t>
      </w:r>
      <w:r w:rsidR="00CB0B3E" w:rsidRPr="00C6089D">
        <w:rPr>
          <w:rFonts w:ascii="Calibri" w:hAnsi="Calibri" w:cs="Calibri"/>
          <w:sz w:val="24"/>
        </w:rPr>
        <w:t xml:space="preserve">); </w:t>
      </w:r>
      <w:r w:rsidRPr="00C6089D">
        <w:rPr>
          <w:rFonts w:ascii="Calibri" w:hAnsi="Calibri" w:cs="Calibri"/>
          <w:sz w:val="24"/>
        </w:rPr>
        <w:t xml:space="preserve">e </w:t>
      </w:r>
      <w:r w:rsidRPr="00C6089D">
        <w:rPr>
          <w:rFonts w:ascii="Calibri" w:hAnsi="Calibri" w:cs="Calibri"/>
          <w:b/>
          <w:sz w:val="24"/>
        </w:rPr>
        <w:t>(ii)</w:t>
      </w:r>
      <w:r w:rsidRPr="00C6089D">
        <w:rPr>
          <w:rFonts w:ascii="Calibri" w:hAnsi="Calibri" w:cs="Calibri"/>
          <w:sz w:val="24"/>
        </w:rPr>
        <w:t xml:space="preserve"> formalizar e efetivar a contratação </w:t>
      </w:r>
      <w:r w:rsidRPr="00365D60">
        <w:rPr>
          <w:rFonts w:ascii="Calibri" w:hAnsi="Calibri" w:cs="Calibri"/>
          <w:sz w:val="24"/>
        </w:rPr>
        <w:t>do</w:t>
      </w:r>
      <w:r w:rsidR="00CB0B3E" w:rsidRPr="00365D60">
        <w:rPr>
          <w:rFonts w:ascii="Calibri" w:hAnsi="Calibri" w:cs="Calibri"/>
          <w:sz w:val="24"/>
        </w:rPr>
        <w:t xml:space="preserve"> Coordenador Líder</w:t>
      </w:r>
      <w:r w:rsidRPr="00C6089D">
        <w:rPr>
          <w:rFonts w:ascii="Calibri" w:hAnsi="Calibri" w:cs="Calibri"/>
          <w:sz w:val="24"/>
        </w:rPr>
        <w:t>, do Agente Fiduciário, e dos</w:t>
      </w:r>
      <w:r w:rsidR="00E43DAC" w:rsidRPr="00365D60">
        <w:rPr>
          <w:rFonts w:ascii="Calibri" w:hAnsi="Calibri" w:cs="Calibri"/>
          <w:sz w:val="24"/>
        </w:rPr>
        <w:t xml:space="preserve"> demais</w:t>
      </w:r>
      <w:r w:rsidRPr="00C6089D">
        <w:rPr>
          <w:rFonts w:ascii="Calibri" w:hAnsi="Calibri" w:cs="Calibri"/>
          <w:sz w:val="24"/>
        </w:rPr>
        <w:t xml:space="preserve"> prestadores de serviços necessários à implementação da Emissão e da Oferta, tais como Escriturador (conforme abaixo definido), </w:t>
      </w:r>
      <w:r w:rsidR="0088039A" w:rsidRPr="0088039A">
        <w:rPr>
          <w:rFonts w:ascii="Calibri" w:hAnsi="Calibri" w:cs="Calibri"/>
          <w:sz w:val="24"/>
        </w:rPr>
        <w:t>Agente de Liquidação</w:t>
      </w:r>
      <w:r w:rsidRPr="00C6089D">
        <w:rPr>
          <w:rFonts w:ascii="Calibri" w:hAnsi="Calibri" w:cs="Calibri"/>
          <w:sz w:val="24"/>
        </w:rPr>
        <w:t xml:space="preserve"> (conforme abaixo definido), a B3 S.A. – Brasil, Bolsa, Balcão– </w:t>
      </w:r>
      <w:r w:rsidR="001A6D89">
        <w:rPr>
          <w:rFonts w:ascii="Calibri" w:hAnsi="Calibri" w:cs="Calibri"/>
          <w:sz w:val="24"/>
        </w:rPr>
        <w:t>Balcão B3</w:t>
      </w:r>
      <w:r w:rsidRPr="00C6089D">
        <w:rPr>
          <w:rFonts w:ascii="Calibri" w:hAnsi="Calibri" w:cs="Calibri"/>
          <w:sz w:val="24"/>
        </w:rPr>
        <w:t xml:space="preserve"> (“</w:t>
      </w:r>
      <w:r w:rsidRPr="00C6089D">
        <w:rPr>
          <w:rFonts w:ascii="Calibri" w:hAnsi="Calibri" w:cs="Calibri"/>
          <w:sz w:val="24"/>
          <w:u w:val="single"/>
        </w:rPr>
        <w:t>B3</w:t>
      </w:r>
      <w:r w:rsidRPr="00C6089D">
        <w:rPr>
          <w:rFonts w:ascii="Calibri" w:hAnsi="Calibri" w:cs="Calibri"/>
          <w:sz w:val="24"/>
        </w:rPr>
        <w:t>”), dentre outros, podendo, para tanto, negociar e assinar os respectivos instrumentos de contratação e eventuais alterações em aditamentos.</w:t>
      </w:r>
    </w:p>
    <w:p w14:paraId="5D53673E" w14:textId="785850C1" w:rsidR="00490A83" w:rsidRPr="00BE0E90" w:rsidRDefault="00417CB2" w:rsidP="00143D5F">
      <w:pPr>
        <w:pStyle w:val="Level1"/>
        <w:tabs>
          <w:tab w:val="clear" w:pos="680"/>
          <w:tab w:val="num" w:pos="426"/>
        </w:tabs>
        <w:rPr>
          <w:rFonts w:ascii="Calibri" w:hAnsi="Calibri" w:cs="Calibri"/>
          <w:caps/>
          <w:color w:val="203463"/>
          <w:sz w:val="28"/>
          <w:szCs w:val="28"/>
        </w:rPr>
      </w:pPr>
      <w:bookmarkStart w:id="2" w:name="_Ref16169477"/>
      <w:r w:rsidRPr="00BE0E90">
        <w:rPr>
          <w:rFonts w:ascii="Calibri" w:hAnsi="Calibri" w:cs="Calibri"/>
          <w:caps/>
          <w:color w:val="203463"/>
          <w:sz w:val="28"/>
          <w:szCs w:val="28"/>
        </w:rPr>
        <w:t>Requisitos</w:t>
      </w:r>
      <w:bookmarkEnd w:id="2"/>
    </w:p>
    <w:p w14:paraId="63ACA2B1" w14:textId="4A27B91D" w:rsidR="00417CB2" w:rsidRPr="00C6089D" w:rsidRDefault="00490A83" w:rsidP="00417CB2">
      <w:pPr>
        <w:pStyle w:val="Body"/>
        <w:rPr>
          <w:rFonts w:ascii="Calibri" w:hAnsi="Calibri" w:cs="Calibri"/>
          <w:sz w:val="24"/>
        </w:rPr>
      </w:pPr>
      <w:r w:rsidRPr="00C6089D">
        <w:rPr>
          <w:rFonts w:ascii="Calibri" w:hAnsi="Calibri" w:cs="Calibri"/>
          <w:sz w:val="24"/>
        </w:rPr>
        <w:t xml:space="preserve">A Emissão e a Oferta </w:t>
      </w:r>
      <w:r w:rsidR="00B47328" w:rsidRPr="00C6089D">
        <w:rPr>
          <w:rFonts w:ascii="Calibri" w:hAnsi="Calibri" w:cs="Calibri"/>
          <w:sz w:val="24"/>
        </w:rPr>
        <w:t>foram</w:t>
      </w:r>
      <w:r w:rsidRPr="00C6089D">
        <w:rPr>
          <w:rFonts w:ascii="Calibri" w:hAnsi="Calibri" w:cs="Calibri"/>
          <w:sz w:val="24"/>
        </w:rPr>
        <w:t xml:space="preserve"> realizadas com observância dos seguintes requisitos:</w:t>
      </w:r>
    </w:p>
    <w:p w14:paraId="70EA5317" w14:textId="2244A465" w:rsidR="00490A83" w:rsidRPr="00C6089D" w:rsidRDefault="00302181" w:rsidP="00302181">
      <w:pPr>
        <w:pStyle w:val="Level2"/>
        <w:numPr>
          <w:ilvl w:val="0"/>
          <w:numId w:val="0"/>
        </w:numPr>
        <w:ind w:left="680" w:hanging="680"/>
        <w:rPr>
          <w:rFonts w:ascii="Calibri" w:hAnsi="Calibri" w:cs="Calibri"/>
          <w:b/>
          <w:sz w:val="24"/>
          <w:szCs w:val="24"/>
        </w:rPr>
      </w:pPr>
      <w:bookmarkStart w:id="3" w:name="_Toc428328008"/>
      <w:r>
        <w:rPr>
          <w:rFonts w:ascii="Calibri" w:hAnsi="Calibri" w:cs="Calibri"/>
          <w:b/>
          <w:sz w:val="24"/>
          <w:szCs w:val="24"/>
        </w:rPr>
        <w:t xml:space="preserve">(i) </w:t>
      </w:r>
      <w:r w:rsidR="00490A83" w:rsidRPr="00C6089D">
        <w:rPr>
          <w:rFonts w:ascii="Calibri" w:hAnsi="Calibri" w:cs="Calibri"/>
          <w:b/>
          <w:sz w:val="24"/>
          <w:szCs w:val="24"/>
        </w:rPr>
        <w:t xml:space="preserve">Arquivamento e Publicação </w:t>
      </w:r>
      <w:bookmarkEnd w:id="3"/>
      <w:r w:rsidR="00192FCA" w:rsidRPr="00C6089D">
        <w:rPr>
          <w:rFonts w:ascii="Calibri" w:hAnsi="Calibri" w:cs="Calibri"/>
          <w:b/>
          <w:sz w:val="24"/>
          <w:szCs w:val="24"/>
        </w:rPr>
        <w:t xml:space="preserve">da </w:t>
      </w:r>
      <w:r w:rsidR="008622D3" w:rsidRPr="00C6089D">
        <w:rPr>
          <w:rFonts w:ascii="Calibri" w:hAnsi="Calibri" w:cs="Calibri"/>
          <w:b/>
          <w:sz w:val="24"/>
          <w:szCs w:val="24"/>
        </w:rPr>
        <w:t>a</w:t>
      </w:r>
      <w:r w:rsidR="00192FCA" w:rsidRPr="00C6089D">
        <w:rPr>
          <w:rFonts w:ascii="Calibri" w:hAnsi="Calibri" w:cs="Calibri"/>
          <w:b/>
          <w:sz w:val="24"/>
          <w:szCs w:val="24"/>
        </w:rPr>
        <w:t xml:space="preserve">ta </w:t>
      </w:r>
      <w:r w:rsidR="001A4AD2" w:rsidRPr="00C6089D">
        <w:rPr>
          <w:rFonts w:ascii="Calibri" w:hAnsi="Calibri" w:cs="Calibri"/>
          <w:b/>
          <w:sz w:val="24"/>
          <w:szCs w:val="24"/>
        </w:rPr>
        <w:t>da</w:t>
      </w:r>
      <w:r w:rsidR="00887298" w:rsidRPr="00C6089D">
        <w:rPr>
          <w:rFonts w:ascii="Calibri" w:hAnsi="Calibri" w:cs="Calibri"/>
          <w:b/>
          <w:sz w:val="24"/>
          <w:szCs w:val="24"/>
        </w:rPr>
        <w:t xml:space="preserve"> RCA</w:t>
      </w:r>
    </w:p>
    <w:p w14:paraId="389DC1A3" w14:textId="7FF49F90" w:rsidR="00BD15BA" w:rsidRPr="00C6089D" w:rsidRDefault="008622D3" w:rsidP="00192FCA">
      <w:pPr>
        <w:pStyle w:val="Body"/>
        <w:rPr>
          <w:rFonts w:ascii="Calibri" w:hAnsi="Calibri" w:cs="Calibri"/>
          <w:sz w:val="24"/>
        </w:rPr>
      </w:pPr>
      <w:r w:rsidRPr="00C6089D">
        <w:rPr>
          <w:rFonts w:ascii="Calibri" w:hAnsi="Calibri" w:cs="Calibri"/>
          <w:sz w:val="24"/>
        </w:rPr>
        <w:t xml:space="preserve">A ata da RCA que deliberou a Emissão e a Oferta foi arquivada na </w:t>
      </w:r>
      <w:r w:rsidR="00652C72" w:rsidRPr="00C6089D">
        <w:rPr>
          <w:rFonts w:ascii="Calibri" w:hAnsi="Calibri" w:cs="Calibri"/>
          <w:sz w:val="24"/>
        </w:rPr>
        <w:t xml:space="preserve">Junta Comercial do Estado </w:t>
      </w:r>
      <w:r w:rsidR="00D26588" w:rsidRPr="00C6089D">
        <w:rPr>
          <w:rFonts w:ascii="Calibri" w:hAnsi="Calibri" w:cs="Calibri"/>
          <w:sz w:val="24"/>
        </w:rPr>
        <w:t xml:space="preserve">de </w:t>
      </w:r>
      <w:r w:rsidR="00D26588" w:rsidRPr="00365D60">
        <w:rPr>
          <w:rFonts w:ascii="Calibri" w:hAnsi="Calibri" w:cs="Calibri"/>
          <w:sz w:val="24"/>
        </w:rPr>
        <w:t>São Paulo</w:t>
      </w:r>
      <w:r w:rsidR="00652C72" w:rsidRPr="00365D60">
        <w:rPr>
          <w:rFonts w:ascii="Calibri" w:hAnsi="Calibri" w:cs="Calibri"/>
          <w:sz w:val="24"/>
        </w:rPr>
        <w:t xml:space="preserve"> (“</w:t>
      </w:r>
      <w:r w:rsidR="00652C72" w:rsidRPr="00365D60">
        <w:rPr>
          <w:rFonts w:ascii="Calibri" w:hAnsi="Calibri" w:cs="Calibri"/>
          <w:bCs/>
          <w:sz w:val="24"/>
          <w:u w:val="single"/>
        </w:rPr>
        <w:t>JUCE</w:t>
      </w:r>
      <w:r w:rsidR="00D26588" w:rsidRPr="00365D60">
        <w:rPr>
          <w:rFonts w:ascii="Calibri" w:hAnsi="Calibri" w:cs="Calibri"/>
          <w:bCs/>
          <w:sz w:val="24"/>
          <w:u w:val="single"/>
        </w:rPr>
        <w:t>SP</w:t>
      </w:r>
      <w:r w:rsidR="00652C72" w:rsidRPr="00C6089D">
        <w:rPr>
          <w:rFonts w:ascii="Calibri" w:hAnsi="Calibri" w:cs="Calibri"/>
          <w:sz w:val="24"/>
        </w:rPr>
        <w:t xml:space="preserve">”) </w:t>
      </w:r>
      <w:r w:rsidRPr="00C6089D">
        <w:rPr>
          <w:rFonts w:ascii="Calibri" w:eastAsia="Calibri" w:hAnsi="Calibri" w:cs="Calibri"/>
          <w:sz w:val="24"/>
        </w:rPr>
        <w:t xml:space="preserve">em </w:t>
      </w:r>
      <w:r w:rsidR="00B70791">
        <w:rPr>
          <w:rFonts w:ascii="Calibri" w:eastAsia="Calibri" w:hAnsi="Calibri" w:cs="Calibri"/>
          <w:sz w:val="24"/>
        </w:rPr>
        <w:t>20</w:t>
      </w:r>
      <w:r w:rsidR="007B21B3" w:rsidRPr="00C6089D">
        <w:rPr>
          <w:rFonts w:ascii="Calibri" w:eastAsia="Calibri" w:hAnsi="Calibri" w:cs="Calibri"/>
          <w:sz w:val="24"/>
        </w:rPr>
        <w:t xml:space="preserve"> de </w:t>
      </w:r>
      <w:r w:rsidR="00365D60">
        <w:rPr>
          <w:rFonts w:ascii="Calibri" w:eastAsia="Calibri" w:hAnsi="Calibri" w:cs="Calibri"/>
          <w:sz w:val="24"/>
        </w:rPr>
        <w:t>dezembro</w:t>
      </w:r>
      <w:r w:rsidR="007B21B3" w:rsidRPr="00C6089D">
        <w:rPr>
          <w:rFonts w:ascii="Calibri" w:eastAsia="Calibri" w:hAnsi="Calibri" w:cs="Calibri"/>
          <w:sz w:val="24"/>
        </w:rPr>
        <w:t xml:space="preserve"> de </w:t>
      </w:r>
      <w:r w:rsidR="007B21B3" w:rsidRPr="00365D60">
        <w:rPr>
          <w:rFonts w:ascii="Calibri" w:eastAsia="Calibri" w:hAnsi="Calibri" w:cs="Calibri"/>
          <w:sz w:val="24"/>
        </w:rPr>
        <w:t>20</w:t>
      </w:r>
      <w:r w:rsidR="00D26588" w:rsidRPr="00365D60">
        <w:rPr>
          <w:rFonts w:ascii="Calibri" w:eastAsia="Calibri" w:hAnsi="Calibri" w:cs="Calibri"/>
          <w:sz w:val="24"/>
        </w:rPr>
        <w:t>21</w:t>
      </w:r>
      <w:r w:rsidR="007B21B3" w:rsidRPr="00C6089D">
        <w:rPr>
          <w:rFonts w:ascii="Calibri" w:eastAsia="Calibri" w:hAnsi="Calibri" w:cs="Calibri"/>
          <w:sz w:val="24"/>
        </w:rPr>
        <w:t xml:space="preserve"> sob o nº </w:t>
      </w:r>
      <w:bookmarkStart w:id="4" w:name="_DV_M17"/>
      <w:bookmarkStart w:id="5" w:name="_DV_M18"/>
      <w:bookmarkEnd w:id="4"/>
      <w:bookmarkEnd w:id="5"/>
      <w:r w:rsidR="00B70791">
        <w:rPr>
          <w:rFonts w:ascii="Calibri" w:eastAsia="Calibri" w:hAnsi="Calibri" w:cs="Calibri"/>
          <w:sz w:val="24"/>
        </w:rPr>
        <w:t>596.724/21-4</w:t>
      </w:r>
      <w:r w:rsidRPr="00C6089D">
        <w:rPr>
          <w:rFonts w:ascii="Calibri" w:eastAsia="Calibri" w:hAnsi="Calibri" w:cs="Calibri"/>
          <w:sz w:val="24"/>
        </w:rPr>
        <w:t xml:space="preserve"> </w:t>
      </w:r>
      <w:r w:rsidRPr="00C6089D">
        <w:rPr>
          <w:rFonts w:ascii="Calibri" w:hAnsi="Calibri" w:cs="Calibri"/>
          <w:sz w:val="24"/>
        </w:rPr>
        <w:t xml:space="preserve">e publicada no </w:t>
      </w:r>
      <w:r w:rsidRPr="00C6089D">
        <w:rPr>
          <w:rFonts w:ascii="Calibri" w:hAnsi="Calibri" w:cs="Calibri"/>
          <w:b/>
          <w:sz w:val="24"/>
        </w:rPr>
        <w:t>(i)</w:t>
      </w:r>
      <w:r w:rsidRPr="00C6089D">
        <w:rPr>
          <w:rFonts w:ascii="Calibri" w:hAnsi="Calibri" w:cs="Calibri"/>
          <w:sz w:val="24"/>
        </w:rPr>
        <w:t> </w:t>
      </w:r>
      <w:r w:rsidR="00D26588" w:rsidRPr="00C6089D">
        <w:rPr>
          <w:rFonts w:ascii="Calibri" w:hAnsi="Calibri" w:cs="Calibri"/>
          <w:sz w:val="24"/>
        </w:rPr>
        <w:t xml:space="preserve">Diário Oficial do Estado de </w:t>
      </w:r>
      <w:r w:rsidR="00D26588" w:rsidRPr="00365D60">
        <w:rPr>
          <w:rFonts w:ascii="Calibri" w:hAnsi="Calibri" w:cs="Calibri"/>
          <w:sz w:val="24"/>
        </w:rPr>
        <w:t>São Paulo</w:t>
      </w:r>
      <w:r w:rsidRPr="00365D60">
        <w:rPr>
          <w:rFonts w:ascii="Calibri" w:hAnsi="Calibri" w:cs="Calibri"/>
          <w:sz w:val="24"/>
        </w:rPr>
        <w:t xml:space="preserve"> (“</w:t>
      </w:r>
      <w:r w:rsidRPr="00365D60">
        <w:rPr>
          <w:rFonts w:ascii="Calibri" w:hAnsi="Calibri" w:cs="Calibri"/>
          <w:bCs/>
          <w:sz w:val="24"/>
          <w:u w:val="single"/>
        </w:rPr>
        <w:t>DOE</w:t>
      </w:r>
      <w:r w:rsidR="00D26588" w:rsidRPr="00365D60">
        <w:rPr>
          <w:rFonts w:ascii="Calibri" w:hAnsi="Calibri" w:cs="Calibri"/>
          <w:bCs/>
          <w:sz w:val="24"/>
          <w:u w:val="single"/>
        </w:rPr>
        <w:t>SP</w:t>
      </w:r>
      <w:r w:rsidRPr="00C6089D">
        <w:rPr>
          <w:rFonts w:ascii="Calibri" w:hAnsi="Calibri" w:cs="Calibri"/>
          <w:sz w:val="24"/>
        </w:rPr>
        <w:t xml:space="preserve">”); e </w:t>
      </w:r>
      <w:r w:rsidRPr="00C6089D">
        <w:rPr>
          <w:rFonts w:ascii="Calibri" w:hAnsi="Calibri" w:cs="Calibri"/>
          <w:b/>
          <w:sz w:val="24"/>
        </w:rPr>
        <w:t>(ii)</w:t>
      </w:r>
      <w:r w:rsidRPr="00C6089D">
        <w:rPr>
          <w:rFonts w:ascii="Calibri" w:hAnsi="Calibri" w:cs="Calibri"/>
          <w:sz w:val="24"/>
        </w:rPr>
        <w:t> jornal “</w:t>
      </w:r>
      <w:r w:rsidRPr="00C6089D">
        <w:rPr>
          <w:rFonts w:ascii="Calibri" w:hAnsi="Calibri" w:cs="Calibri"/>
          <w:color w:val="000000"/>
          <w:sz w:val="24"/>
        </w:rPr>
        <w:t>Valor Econômico”</w:t>
      </w:r>
      <w:r w:rsidRPr="00C6089D">
        <w:rPr>
          <w:rFonts w:ascii="Calibri" w:hAnsi="Calibri" w:cs="Calibri"/>
          <w:sz w:val="24"/>
        </w:rPr>
        <w:t xml:space="preserve">, em </w:t>
      </w:r>
      <w:r w:rsidR="0051158F">
        <w:rPr>
          <w:rFonts w:ascii="Calibri" w:hAnsi="Calibri" w:cs="Calibri"/>
          <w:sz w:val="24"/>
        </w:rPr>
        <w:t>14</w:t>
      </w:r>
      <w:r w:rsidRPr="00C6089D">
        <w:rPr>
          <w:rFonts w:ascii="Calibri" w:hAnsi="Calibri" w:cs="Calibri"/>
          <w:sz w:val="24"/>
        </w:rPr>
        <w:t xml:space="preserve"> de </w:t>
      </w:r>
      <w:r w:rsidR="00365D60">
        <w:rPr>
          <w:rFonts w:ascii="Calibri" w:hAnsi="Calibri" w:cs="Calibri"/>
          <w:sz w:val="24"/>
        </w:rPr>
        <w:lastRenderedPageBreak/>
        <w:t>dezembro</w:t>
      </w:r>
      <w:r w:rsidRPr="00C6089D">
        <w:rPr>
          <w:rFonts w:ascii="Calibri" w:hAnsi="Calibri" w:cs="Calibri"/>
          <w:sz w:val="24"/>
        </w:rPr>
        <w:t xml:space="preserve"> de </w:t>
      </w:r>
      <w:r w:rsidR="00365D60">
        <w:rPr>
          <w:rFonts w:ascii="Calibri" w:hAnsi="Calibri" w:cs="Calibri"/>
          <w:sz w:val="24"/>
        </w:rPr>
        <w:t>2021</w:t>
      </w:r>
      <w:r w:rsidRPr="00365D60">
        <w:rPr>
          <w:rFonts w:ascii="Calibri" w:hAnsi="Calibri" w:cs="Calibri"/>
          <w:sz w:val="24"/>
        </w:rPr>
        <w:t>,</w:t>
      </w:r>
      <w:r w:rsidRPr="00C6089D">
        <w:rPr>
          <w:rFonts w:ascii="Calibri" w:hAnsi="Calibri" w:cs="Calibri"/>
          <w:sz w:val="24"/>
        </w:rPr>
        <w:t xml:space="preserve"> em atendimento ao disposto no inciso I do artigo 62 e no artigo 289 da Lei das Sociedades por Ações.</w:t>
      </w:r>
    </w:p>
    <w:p w14:paraId="711C84CD" w14:textId="68F90946" w:rsidR="003D3D39" w:rsidRPr="00C6089D" w:rsidRDefault="00302181" w:rsidP="00302181">
      <w:pPr>
        <w:pStyle w:val="Level2"/>
        <w:numPr>
          <w:ilvl w:val="0"/>
          <w:numId w:val="0"/>
        </w:numPr>
        <w:ind w:left="680" w:hanging="680"/>
        <w:rPr>
          <w:rFonts w:ascii="Calibri" w:hAnsi="Calibri" w:cs="Calibri"/>
          <w:b/>
          <w:sz w:val="24"/>
          <w:szCs w:val="24"/>
        </w:rPr>
      </w:pPr>
      <w:r>
        <w:rPr>
          <w:rFonts w:ascii="Calibri" w:hAnsi="Calibri" w:cs="Calibri"/>
          <w:b/>
          <w:sz w:val="24"/>
          <w:szCs w:val="24"/>
        </w:rPr>
        <w:t xml:space="preserve">(ii) </w:t>
      </w:r>
      <w:r w:rsidR="003D3D39" w:rsidRPr="00C6089D">
        <w:rPr>
          <w:rFonts w:ascii="Calibri" w:hAnsi="Calibri" w:cs="Calibri"/>
          <w:b/>
          <w:sz w:val="24"/>
          <w:szCs w:val="24"/>
        </w:rPr>
        <w:t>Inscrição da Escritura de Emissão e seus eventuais aditamentos</w:t>
      </w:r>
    </w:p>
    <w:p w14:paraId="6E1FB1B1" w14:textId="21D8533C" w:rsidR="003D3D39" w:rsidRPr="00C6089D" w:rsidRDefault="003D3D39" w:rsidP="00F51207">
      <w:pPr>
        <w:pStyle w:val="Body"/>
        <w:rPr>
          <w:rFonts w:ascii="Calibri" w:hAnsi="Calibri" w:cs="Calibri"/>
          <w:sz w:val="24"/>
        </w:rPr>
      </w:pPr>
      <w:r w:rsidRPr="00C6089D">
        <w:rPr>
          <w:rFonts w:ascii="Calibri" w:hAnsi="Calibri" w:cs="Calibri"/>
          <w:sz w:val="24"/>
        </w:rPr>
        <w:t>A Escritura de Emissão foi inscrita</w:t>
      </w:r>
      <w:r w:rsidR="00276DE6" w:rsidRPr="00C6089D">
        <w:rPr>
          <w:rFonts w:ascii="Calibri" w:hAnsi="Calibri" w:cs="Calibri"/>
          <w:sz w:val="24"/>
        </w:rPr>
        <w:t xml:space="preserve"> </w:t>
      </w:r>
      <w:r w:rsidRPr="00C6089D">
        <w:rPr>
          <w:rFonts w:ascii="Calibri" w:hAnsi="Calibri" w:cs="Calibri"/>
          <w:sz w:val="24"/>
        </w:rPr>
        <w:t xml:space="preserve">na </w:t>
      </w:r>
      <w:r w:rsidR="00913AA7" w:rsidRPr="00365D60">
        <w:rPr>
          <w:rFonts w:ascii="Calibri" w:hAnsi="Calibri" w:cs="Calibri"/>
          <w:sz w:val="24"/>
        </w:rPr>
        <w:t>JUCE</w:t>
      </w:r>
      <w:r w:rsidR="00D26588" w:rsidRPr="00365D60">
        <w:rPr>
          <w:rFonts w:ascii="Calibri" w:hAnsi="Calibri" w:cs="Calibri"/>
          <w:sz w:val="24"/>
        </w:rPr>
        <w:t>SP</w:t>
      </w:r>
      <w:r w:rsidRPr="00C6089D">
        <w:rPr>
          <w:rFonts w:ascii="Calibri" w:hAnsi="Calibri" w:cs="Calibri"/>
          <w:sz w:val="24"/>
        </w:rPr>
        <w:t xml:space="preserve">, </w:t>
      </w:r>
      <w:r w:rsidR="006F4101" w:rsidRPr="00C6089D">
        <w:rPr>
          <w:rFonts w:ascii="Calibri" w:hAnsi="Calibri" w:cs="Calibri"/>
          <w:sz w:val="24"/>
          <w:lang w:val="pt-PT"/>
        </w:rPr>
        <w:t xml:space="preserve">em </w:t>
      </w:r>
      <w:r w:rsidR="00B70791">
        <w:rPr>
          <w:rFonts w:ascii="Calibri" w:eastAsia="Calibri" w:hAnsi="Calibri" w:cs="Calibri"/>
          <w:sz w:val="24"/>
        </w:rPr>
        <w:t>20</w:t>
      </w:r>
      <w:r w:rsidR="006F4101" w:rsidRPr="00C6089D">
        <w:rPr>
          <w:rFonts w:ascii="Calibri" w:hAnsi="Calibri" w:cs="Calibri"/>
          <w:sz w:val="24"/>
          <w:lang w:val="pt-PT"/>
        </w:rPr>
        <w:t xml:space="preserve"> de </w:t>
      </w:r>
      <w:r w:rsidR="00365D60">
        <w:rPr>
          <w:rFonts w:ascii="Calibri" w:hAnsi="Calibri" w:cs="Calibri"/>
          <w:sz w:val="24"/>
          <w:lang w:val="pt-PT"/>
        </w:rPr>
        <w:t>dezembro</w:t>
      </w:r>
      <w:r w:rsidR="006F4101" w:rsidRPr="00C6089D">
        <w:rPr>
          <w:rFonts w:ascii="Calibri" w:hAnsi="Calibri" w:cs="Calibri"/>
          <w:sz w:val="24"/>
          <w:lang w:val="pt-PT"/>
        </w:rPr>
        <w:t xml:space="preserve"> de </w:t>
      </w:r>
      <w:r w:rsidR="006F4101" w:rsidRPr="00365D60">
        <w:rPr>
          <w:rFonts w:ascii="Calibri" w:hAnsi="Calibri" w:cs="Calibri"/>
          <w:sz w:val="24"/>
          <w:lang w:val="pt-PT"/>
        </w:rPr>
        <w:t>20</w:t>
      </w:r>
      <w:r w:rsidR="00D26588" w:rsidRPr="00365D60">
        <w:rPr>
          <w:rFonts w:ascii="Calibri" w:hAnsi="Calibri" w:cs="Calibri"/>
          <w:sz w:val="24"/>
          <w:lang w:val="pt-PT"/>
        </w:rPr>
        <w:t>21</w:t>
      </w:r>
      <w:r w:rsidR="006F4101" w:rsidRPr="00C6089D">
        <w:rPr>
          <w:rFonts w:ascii="Calibri" w:hAnsi="Calibri" w:cs="Calibri"/>
          <w:sz w:val="24"/>
          <w:lang w:val="pt-PT"/>
        </w:rPr>
        <w:t xml:space="preserve">, sob o nº </w:t>
      </w:r>
      <w:r w:rsidR="00B70791">
        <w:rPr>
          <w:rFonts w:ascii="Calibri" w:eastAsia="Calibri" w:hAnsi="Calibri" w:cs="Calibri"/>
          <w:sz w:val="24"/>
        </w:rPr>
        <w:t>ED004311-4/000</w:t>
      </w:r>
      <w:r w:rsidR="008622D3" w:rsidRPr="00365D60">
        <w:rPr>
          <w:rFonts w:ascii="Calibri" w:hAnsi="Calibri" w:cs="Calibri"/>
          <w:sz w:val="24"/>
        </w:rPr>
        <w:t>,</w:t>
      </w:r>
      <w:r w:rsidR="008622D3" w:rsidRPr="00C6089D">
        <w:rPr>
          <w:rFonts w:ascii="Calibri" w:hAnsi="Calibri" w:cs="Calibri"/>
          <w:sz w:val="24"/>
        </w:rPr>
        <w:t xml:space="preserve"> </w:t>
      </w:r>
      <w:r w:rsidRPr="00C6089D">
        <w:rPr>
          <w:rFonts w:ascii="Calibri" w:hAnsi="Calibri" w:cs="Calibri"/>
          <w:sz w:val="24"/>
        </w:rPr>
        <w:t xml:space="preserve">e seus eventuais aditamentos serão inscritos na </w:t>
      </w:r>
      <w:r w:rsidR="00913AA7" w:rsidRPr="00365D60">
        <w:rPr>
          <w:rFonts w:ascii="Calibri" w:hAnsi="Calibri" w:cs="Calibri"/>
          <w:sz w:val="24"/>
        </w:rPr>
        <w:t>JUCE</w:t>
      </w:r>
      <w:r w:rsidR="00D26588" w:rsidRPr="00365D60">
        <w:rPr>
          <w:rFonts w:ascii="Calibri" w:hAnsi="Calibri" w:cs="Calibri"/>
          <w:sz w:val="24"/>
        </w:rPr>
        <w:t>SP</w:t>
      </w:r>
      <w:r w:rsidR="00652D94" w:rsidRPr="00C6089D">
        <w:rPr>
          <w:rFonts w:ascii="Calibri" w:hAnsi="Calibri" w:cs="Calibri"/>
          <w:sz w:val="24"/>
        </w:rPr>
        <w:t>,</w:t>
      </w:r>
      <w:r w:rsidR="00913AA7" w:rsidRPr="00C6089D">
        <w:rPr>
          <w:rFonts w:ascii="Calibri" w:hAnsi="Calibri" w:cs="Calibri"/>
          <w:sz w:val="24"/>
        </w:rPr>
        <w:t xml:space="preserve"> </w:t>
      </w:r>
      <w:r w:rsidRPr="00C6089D">
        <w:rPr>
          <w:rFonts w:ascii="Calibri" w:hAnsi="Calibri" w:cs="Calibri"/>
          <w:sz w:val="24"/>
        </w:rPr>
        <w:t xml:space="preserve">de acordo com o </w:t>
      </w:r>
      <w:r w:rsidR="00681BEA" w:rsidRPr="00C6089D">
        <w:rPr>
          <w:rFonts w:ascii="Calibri" w:hAnsi="Calibri" w:cs="Calibri"/>
          <w:sz w:val="24"/>
        </w:rPr>
        <w:t>inciso II e o parágrafo 3º do artigo 62</w:t>
      </w:r>
      <w:r w:rsidRPr="00C6089D">
        <w:rPr>
          <w:rFonts w:ascii="Calibri" w:hAnsi="Calibri" w:cs="Calibri"/>
          <w:sz w:val="24"/>
        </w:rPr>
        <w:t xml:space="preserve"> da Lei das Sociedades por Ações.</w:t>
      </w:r>
      <w:r w:rsidR="00F51207" w:rsidRPr="00C6089D">
        <w:rPr>
          <w:rFonts w:ascii="Calibri" w:hAnsi="Calibri" w:cs="Calibri"/>
          <w:sz w:val="24"/>
        </w:rPr>
        <w:t xml:space="preserve"> </w:t>
      </w:r>
    </w:p>
    <w:p w14:paraId="50F0D201" w14:textId="04CC709C" w:rsidR="003D3D39" w:rsidRPr="00C6089D" w:rsidRDefault="003D3D39" w:rsidP="00417CB2">
      <w:pPr>
        <w:pStyle w:val="Body"/>
        <w:rPr>
          <w:rFonts w:ascii="Calibri" w:hAnsi="Calibri" w:cs="Calibri"/>
          <w:sz w:val="24"/>
        </w:rPr>
      </w:pPr>
      <w:r w:rsidRPr="00C6089D">
        <w:rPr>
          <w:rFonts w:ascii="Calibri" w:hAnsi="Calibri" w:cs="Calibri"/>
          <w:sz w:val="24"/>
        </w:rPr>
        <w:t xml:space="preserve">A Escritura de Emissão </w:t>
      </w:r>
      <w:r w:rsidR="00276DE6" w:rsidRPr="00C6089D">
        <w:rPr>
          <w:rFonts w:ascii="Calibri" w:hAnsi="Calibri" w:cs="Calibri"/>
          <w:sz w:val="24"/>
        </w:rPr>
        <w:t>foi</w:t>
      </w:r>
      <w:r w:rsidRPr="00C6089D">
        <w:rPr>
          <w:rFonts w:ascii="Calibri" w:hAnsi="Calibri" w:cs="Calibri"/>
          <w:sz w:val="24"/>
        </w:rPr>
        <w:t xml:space="preserve"> </w:t>
      </w:r>
      <w:r w:rsidR="006E1FFD" w:rsidRPr="00C6089D">
        <w:rPr>
          <w:rFonts w:ascii="Calibri" w:hAnsi="Calibri" w:cs="Calibri"/>
          <w:sz w:val="24"/>
        </w:rPr>
        <w:t>aditada</w:t>
      </w:r>
      <w:r w:rsidR="00276DE6" w:rsidRPr="00C6089D">
        <w:rPr>
          <w:rFonts w:ascii="Calibri" w:hAnsi="Calibri" w:cs="Calibri"/>
          <w:sz w:val="24"/>
        </w:rPr>
        <w:t xml:space="preserve"> pelo </w:t>
      </w:r>
      <w:r w:rsidR="00270642" w:rsidRPr="00C6089D">
        <w:rPr>
          <w:rFonts w:ascii="Calibri" w:hAnsi="Calibri" w:cs="Calibri"/>
          <w:sz w:val="24"/>
        </w:rPr>
        <w:t>“</w:t>
      </w:r>
      <w:r w:rsidR="00B75A48" w:rsidRPr="00C6089D">
        <w:rPr>
          <w:rFonts w:ascii="Calibri" w:hAnsi="Calibri" w:cs="Calibri"/>
          <w:i/>
          <w:sz w:val="24"/>
        </w:rPr>
        <w:t xml:space="preserve">Primeiro </w:t>
      </w:r>
      <w:r w:rsidR="00276DE6" w:rsidRPr="00C6089D">
        <w:rPr>
          <w:rFonts w:ascii="Calibri" w:hAnsi="Calibri" w:cs="Calibri"/>
          <w:i/>
          <w:sz w:val="24"/>
        </w:rPr>
        <w:t xml:space="preserve">Aditamento ao </w:t>
      </w:r>
      <w:r w:rsidR="001A4AD2" w:rsidRPr="00C6089D">
        <w:rPr>
          <w:rFonts w:ascii="Calibri" w:hAnsi="Calibri" w:cs="Calibri"/>
          <w:i/>
          <w:sz w:val="24"/>
        </w:rPr>
        <w:t xml:space="preserve">Instrumento Particular de Escritura da </w:t>
      </w:r>
      <w:r w:rsidR="00191FB6" w:rsidRPr="00365D60">
        <w:rPr>
          <w:rFonts w:ascii="Calibri" w:hAnsi="Calibri" w:cs="Calibri"/>
          <w:i/>
          <w:sz w:val="24"/>
        </w:rPr>
        <w:t>4</w:t>
      </w:r>
      <w:r w:rsidR="008622D3" w:rsidRPr="00365D60">
        <w:rPr>
          <w:rFonts w:ascii="Calibri" w:hAnsi="Calibri" w:cs="Calibri"/>
          <w:i/>
          <w:sz w:val="24"/>
        </w:rPr>
        <w:t xml:space="preserve">ª </w:t>
      </w:r>
      <w:r w:rsidR="001A4AD2" w:rsidRPr="00365D60">
        <w:rPr>
          <w:rFonts w:ascii="Calibri" w:hAnsi="Calibri" w:cs="Calibri"/>
          <w:i/>
          <w:sz w:val="24"/>
        </w:rPr>
        <w:t>(</w:t>
      </w:r>
      <w:r w:rsidR="00191FB6" w:rsidRPr="00365D60">
        <w:rPr>
          <w:rFonts w:ascii="Calibri" w:hAnsi="Calibri" w:cs="Calibri"/>
          <w:i/>
          <w:sz w:val="24"/>
        </w:rPr>
        <w:t>Quarta</w:t>
      </w:r>
      <w:r w:rsidR="001A4AD2" w:rsidRPr="00C6089D">
        <w:rPr>
          <w:rFonts w:ascii="Calibri" w:hAnsi="Calibri" w:cs="Calibri"/>
          <w:i/>
          <w:sz w:val="24"/>
        </w:rPr>
        <w:t xml:space="preserve">) Emissão de Debêntures Simples, Não Conversíveis em Ações, da Espécie Quirografária, em </w:t>
      </w:r>
      <w:r w:rsidR="00191FB6" w:rsidRPr="00365D60">
        <w:rPr>
          <w:rFonts w:ascii="Calibri" w:hAnsi="Calibri" w:cs="Calibri"/>
          <w:i/>
          <w:sz w:val="24"/>
        </w:rPr>
        <w:t>Até Duas Séries</w:t>
      </w:r>
      <w:r w:rsidR="001A4AD2" w:rsidRPr="00C6089D">
        <w:rPr>
          <w:rFonts w:ascii="Calibri" w:hAnsi="Calibri" w:cs="Calibri"/>
          <w:i/>
          <w:sz w:val="24"/>
        </w:rPr>
        <w:t xml:space="preserve">, para Distribuição Pública, da </w:t>
      </w:r>
      <w:r w:rsidR="00191FB6" w:rsidRPr="00365D60">
        <w:rPr>
          <w:rFonts w:ascii="Calibri" w:hAnsi="Calibri" w:cs="Calibri"/>
          <w:i/>
          <w:sz w:val="24"/>
        </w:rPr>
        <w:t>São Martinho</w:t>
      </w:r>
      <w:r w:rsidR="001A4AD2" w:rsidRPr="00C6089D">
        <w:rPr>
          <w:rFonts w:ascii="Calibri" w:hAnsi="Calibri" w:cs="Calibri"/>
          <w:i/>
          <w:sz w:val="24"/>
        </w:rPr>
        <w:t xml:space="preserve"> S.A.</w:t>
      </w:r>
      <w:r w:rsidR="00270642" w:rsidRPr="00C6089D">
        <w:rPr>
          <w:rFonts w:ascii="Calibri" w:hAnsi="Calibri" w:cs="Calibri"/>
          <w:sz w:val="24"/>
        </w:rPr>
        <w:t>”</w:t>
      </w:r>
      <w:r w:rsidR="00276DE6" w:rsidRPr="00C6089D">
        <w:rPr>
          <w:rFonts w:ascii="Calibri" w:hAnsi="Calibri" w:cs="Calibri"/>
          <w:sz w:val="24"/>
        </w:rPr>
        <w:t xml:space="preserve"> </w:t>
      </w:r>
      <w:r w:rsidR="00B75A48" w:rsidRPr="00C6089D">
        <w:rPr>
          <w:rFonts w:ascii="Calibri" w:hAnsi="Calibri" w:cs="Calibri"/>
          <w:sz w:val="24"/>
        </w:rPr>
        <w:t>(</w:t>
      </w:r>
      <w:r w:rsidR="00270642" w:rsidRPr="00C6089D">
        <w:rPr>
          <w:rFonts w:ascii="Calibri" w:hAnsi="Calibri" w:cs="Calibri"/>
          <w:sz w:val="24"/>
        </w:rPr>
        <w:t>“</w:t>
      </w:r>
      <w:r w:rsidR="00B75A48" w:rsidRPr="00C6089D">
        <w:rPr>
          <w:rFonts w:ascii="Calibri" w:hAnsi="Calibri" w:cs="Calibri"/>
          <w:sz w:val="24"/>
          <w:u w:val="single"/>
        </w:rPr>
        <w:t xml:space="preserve">Primeiro </w:t>
      </w:r>
      <w:r w:rsidR="00276DE6" w:rsidRPr="00C6089D">
        <w:rPr>
          <w:rFonts w:ascii="Calibri" w:hAnsi="Calibri" w:cs="Calibri"/>
          <w:sz w:val="24"/>
          <w:u w:val="single"/>
        </w:rPr>
        <w:t>Aditamento à Escritura</w:t>
      </w:r>
      <w:r w:rsidR="008622D3" w:rsidRPr="00C6089D">
        <w:rPr>
          <w:rFonts w:ascii="Calibri" w:hAnsi="Calibri" w:cs="Calibri"/>
          <w:sz w:val="24"/>
          <w:u w:val="single"/>
        </w:rPr>
        <w:t xml:space="preserve"> de Emissão</w:t>
      </w:r>
      <w:r w:rsidR="00270642" w:rsidRPr="00C6089D">
        <w:rPr>
          <w:rFonts w:ascii="Calibri" w:hAnsi="Calibri" w:cs="Calibri"/>
          <w:sz w:val="24"/>
        </w:rPr>
        <w:t>”</w:t>
      </w:r>
      <w:r w:rsidR="00276DE6" w:rsidRPr="00C6089D">
        <w:rPr>
          <w:rFonts w:ascii="Calibri" w:hAnsi="Calibri" w:cs="Calibri"/>
          <w:sz w:val="24"/>
        </w:rPr>
        <w:t xml:space="preserve">) </w:t>
      </w:r>
      <w:r w:rsidR="00B70791">
        <w:rPr>
          <w:rFonts w:ascii="Calibri" w:hAnsi="Calibri" w:cs="Calibri"/>
          <w:sz w:val="24"/>
        </w:rPr>
        <w:t>o qual ratificou</w:t>
      </w:r>
      <w:r w:rsidRPr="00C6089D">
        <w:rPr>
          <w:rFonts w:ascii="Calibri" w:hAnsi="Calibri" w:cs="Calibri"/>
          <w:sz w:val="24"/>
        </w:rPr>
        <w:t xml:space="preserve"> o resultado do Procedimento de </w:t>
      </w:r>
      <w:r w:rsidRPr="00C6089D">
        <w:rPr>
          <w:rFonts w:ascii="Calibri" w:hAnsi="Calibri" w:cs="Calibri"/>
          <w:i/>
          <w:sz w:val="24"/>
        </w:rPr>
        <w:t>Bookbuilding</w:t>
      </w:r>
      <w:r w:rsidR="00B70791">
        <w:rPr>
          <w:rFonts w:ascii="Calibri" w:hAnsi="Calibri" w:cs="Calibri"/>
          <w:i/>
          <w:sz w:val="24"/>
        </w:rPr>
        <w:t xml:space="preserve"> </w:t>
      </w:r>
      <w:r w:rsidR="00B70791">
        <w:rPr>
          <w:rFonts w:ascii="Calibri" w:hAnsi="Calibri" w:cs="Calibri"/>
          <w:iCs/>
          <w:sz w:val="24"/>
        </w:rPr>
        <w:t>que</w:t>
      </w:r>
      <w:r w:rsidR="009D1FF3" w:rsidRPr="00C6089D">
        <w:rPr>
          <w:rFonts w:ascii="Calibri" w:hAnsi="Calibri" w:cs="Calibri"/>
          <w:sz w:val="24"/>
        </w:rPr>
        <w:t xml:space="preserve"> definiu a taxa final da Remuneração e a quantidade de </w:t>
      </w:r>
      <w:r w:rsidR="001A4AD2" w:rsidRPr="00C6089D">
        <w:rPr>
          <w:rFonts w:ascii="Calibri" w:hAnsi="Calibri" w:cs="Calibri"/>
          <w:sz w:val="24"/>
        </w:rPr>
        <w:t>Debêntures efetivamente emitida</w:t>
      </w:r>
      <w:r w:rsidR="009D1FF3" w:rsidRPr="00C6089D">
        <w:rPr>
          <w:rFonts w:ascii="Calibri" w:hAnsi="Calibri" w:cs="Calibri"/>
          <w:sz w:val="24"/>
        </w:rPr>
        <w:t xml:space="preserve">, </w:t>
      </w:r>
      <w:r w:rsidR="00913AA7" w:rsidRPr="00C6089D">
        <w:rPr>
          <w:rFonts w:ascii="Calibri" w:hAnsi="Calibri" w:cs="Calibri"/>
          <w:sz w:val="24"/>
        </w:rPr>
        <w:t xml:space="preserve">em razão </w:t>
      </w:r>
      <w:r w:rsidR="00B70791">
        <w:rPr>
          <w:rFonts w:ascii="Calibri" w:hAnsi="Calibri" w:cs="Calibri"/>
          <w:sz w:val="24"/>
        </w:rPr>
        <w:t>da colocação das</w:t>
      </w:r>
      <w:r w:rsidR="009D1FF3" w:rsidRPr="00C6089D">
        <w:rPr>
          <w:rFonts w:ascii="Calibri" w:hAnsi="Calibri" w:cs="Calibri"/>
          <w:sz w:val="24"/>
        </w:rPr>
        <w:t xml:space="preserve"> Debêntures Adicionais (conforme definido no item </w:t>
      </w:r>
      <w:r w:rsidR="00937E4F">
        <w:rPr>
          <w:rFonts w:ascii="Calibri" w:hAnsi="Calibri" w:cs="Calibri"/>
          <w:sz w:val="24"/>
        </w:rPr>
        <w:t>3</w:t>
      </w:r>
      <w:r w:rsidR="009D1FF3" w:rsidRPr="00C6089D">
        <w:rPr>
          <w:rFonts w:ascii="Calibri" w:hAnsi="Calibri" w:cs="Calibri"/>
          <w:sz w:val="24"/>
        </w:rPr>
        <w:t xml:space="preserve"> abaixo), nos termos e condições aprovados </w:t>
      </w:r>
      <w:r w:rsidR="00A16D1B" w:rsidRPr="00C6089D">
        <w:rPr>
          <w:rFonts w:ascii="Calibri" w:hAnsi="Calibri" w:cs="Calibri"/>
          <w:sz w:val="24"/>
        </w:rPr>
        <w:t>na RCA</w:t>
      </w:r>
      <w:r w:rsidR="009D1FF3" w:rsidRPr="00C6089D">
        <w:rPr>
          <w:rFonts w:ascii="Calibri" w:hAnsi="Calibri" w:cs="Calibri"/>
          <w:sz w:val="24"/>
        </w:rPr>
        <w:t>, e, portanto, sem necessidade de nova aprovação societária pela Emissora</w:t>
      </w:r>
      <w:r w:rsidR="0029154B">
        <w:rPr>
          <w:rFonts w:ascii="Calibri" w:hAnsi="Calibri" w:cs="Calibri"/>
          <w:sz w:val="24"/>
        </w:rPr>
        <w:t xml:space="preserve"> e </w:t>
      </w:r>
      <w:r w:rsidR="00EC5B2B">
        <w:rPr>
          <w:rFonts w:ascii="Calibri" w:hAnsi="Calibri" w:cs="Calibri"/>
          <w:sz w:val="24"/>
        </w:rPr>
        <w:t xml:space="preserve">de modo </w:t>
      </w:r>
      <w:r w:rsidR="0029154B">
        <w:rPr>
          <w:rFonts w:ascii="Calibri" w:hAnsi="Calibri" w:cs="Calibri"/>
          <w:sz w:val="24"/>
        </w:rPr>
        <w:t xml:space="preserve">a demonstrar a modificação da Oferta para o rito de análise ordinário, </w:t>
      </w:r>
      <w:r w:rsidR="00182031">
        <w:rPr>
          <w:rFonts w:ascii="Calibri" w:hAnsi="Calibri" w:cs="Calibri"/>
          <w:sz w:val="24"/>
        </w:rPr>
        <w:t>o qual transcorreu conforme</w:t>
      </w:r>
      <w:r w:rsidR="0029154B">
        <w:rPr>
          <w:rFonts w:ascii="Calibri" w:hAnsi="Calibri" w:cs="Calibri"/>
          <w:sz w:val="24"/>
        </w:rPr>
        <w:t xml:space="preserve"> o prazo previsto no art. 8º, da Instrução CVM nº 400</w:t>
      </w:r>
      <w:r w:rsidRPr="00C6089D">
        <w:rPr>
          <w:rFonts w:ascii="Calibri" w:hAnsi="Calibri" w:cs="Calibri"/>
          <w:sz w:val="24"/>
        </w:rPr>
        <w:t>.</w:t>
      </w:r>
      <w:r w:rsidR="00276DE6" w:rsidRPr="00C6089D">
        <w:rPr>
          <w:rFonts w:ascii="Calibri" w:hAnsi="Calibri" w:cs="Calibri"/>
          <w:sz w:val="24"/>
        </w:rPr>
        <w:t xml:space="preserve"> O </w:t>
      </w:r>
      <w:r w:rsidR="00B75A48" w:rsidRPr="00C6089D">
        <w:rPr>
          <w:rFonts w:ascii="Calibri" w:hAnsi="Calibri" w:cs="Calibri"/>
          <w:sz w:val="24"/>
        </w:rPr>
        <w:t xml:space="preserve">Primeiro </w:t>
      </w:r>
      <w:r w:rsidR="00912BEB">
        <w:rPr>
          <w:rFonts w:ascii="Calibri" w:hAnsi="Calibri" w:cs="Calibri"/>
          <w:sz w:val="24"/>
        </w:rPr>
        <w:t>Aditamento</w:t>
      </w:r>
      <w:r w:rsidR="00EC5B2B" w:rsidRPr="00C6089D">
        <w:rPr>
          <w:rFonts w:ascii="Calibri" w:hAnsi="Calibri" w:cs="Calibri"/>
          <w:sz w:val="24"/>
        </w:rPr>
        <w:t xml:space="preserve"> </w:t>
      </w:r>
      <w:r w:rsidR="00276DE6" w:rsidRPr="00C6089D">
        <w:rPr>
          <w:rFonts w:ascii="Calibri" w:hAnsi="Calibri" w:cs="Calibri"/>
          <w:sz w:val="24"/>
        </w:rPr>
        <w:t>à Escritura</w:t>
      </w:r>
      <w:r w:rsidR="008622D3" w:rsidRPr="00C6089D">
        <w:rPr>
          <w:rFonts w:ascii="Calibri" w:hAnsi="Calibri" w:cs="Calibri"/>
          <w:sz w:val="24"/>
        </w:rPr>
        <w:t xml:space="preserve"> de Emissão</w:t>
      </w:r>
      <w:r w:rsidR="00276DE6" w:rsidRPr="00C6089D">
        <w:rPr>
          <w:rFonts w:ascii="Calibri" w:hAnsi="Calibri" w:cs="Calibri"/>
          <w:sz w:val="24"/>
        </w:rPr>
        <w:t xml:space="preserve"> </w:t>
      </w:r>
      <w:r w:rsidR="00527CA0" w:rsidRPr="00C6089D">
        <w:rPr>
          <w:rFonts w:ascii="Calibri" w:hAnsi="Calibri" w:cs="Calibri"/>
          <w:sz w:val="24"/>
        </w:rPr>
        <w:t xml:space="preserve">foi </w:t>
      </w:r>
      <w:r w:rsidR="0060283D">
        <w:rPr>
          <w:rFonts w:ascii="Calibri" w:hAnsi="Calibri" w:cs="Calibri"/>
          <w:sz w:val="24"/>
        </w:rPr>
        <w:t>inscrito</w:t>
      </w:r>
      <w:r w:rsidR="0060283D" w:rsidRPr="00C6089D">
        <w:rPr>
          <w:rFonts w:ascii="Calibri" w:hAnsi="Calibri" w:cs="Calibri"/>
          <w:sz w:val="24"/>
        </w:rPr>
        <w:t xml:space="preserve"> </w:t>
      </w:r>
      <w:r w:rsidR="00527CA0" w:rsidRPr="00C6089D">
        <w:rPr>
          <w:rFonts w:ascii="Calibri" w:hAnsi="Calibri" w:cs="Calibri"/>
          <w:sz w:val="24"/>
        </w:rPr>
        <w:t xml:space="preserve">na </w:t>
      </w:r>
      <w:r w:rsidR="00913AA7" w:rsidRPr="00365D60">
        <w:rPr>
          <w:rFonts w:ascii="Calibri" w:hAnsi="Calibri" w:cs="Calibri"/>
          <w:sz w:val="24"/>
        </w:rPr>
        <w:t>JUCE</w:t>
      </w:r>
      <w:r w:rsidR="00191FB6" w:rsidRPr="00365D60">
        <w:rPr>
          <w:rFonts w:ascii="Calibri" w:hAnsi="Calibri" w:cs="Calibri"/>
          <w:sz w:val="24"/>
        </w:rPr>
        <w:t>SP</w:t>
      </w:r>
      <w:r w:rsidR="00527CA0" w:rsidRPr="00C6089D">
        <w:rPr>
          <w:rFonts w:ascii="Calibri" w:hAnsi="Calibri" w:cs="Calibri"/>
          <w:sz w:val="24"/>
        </w:rPr>
        <w:t>,</w:t>
      </w:r>
      <w:r w:rsidR="00E870F2" w:rsidRPr="00C6089D">
        <w:rPr>
          <w:rFonts w:ascii="Calibri" w:hAnsi="Calibri" w:cs="Calibri"/>
          <w:sz w:val="24"/>
        </w:rPr>
        <w:t xml:space="preserve"> em </w:t>
      </w:r>
      <w:r w:rsidR="000A010A">
        <w:rPr>
          <w:rFonts w:ascii="Calibri" w:eastAsia="Calibri" w:hAnsi="Calibri" w:cs="Calibri"/>
          <w:sz w:val="24"/>
        </w:rPr>
        <w:t xml:space="preserve">24 </w:t>
      </w:r>
      <w:r w:rsidR="0060283D">
        <w:rPr>
          <w:rFonts w:ascii="Calibri" w:eastAsia="Calibri" w:hAnsi="Calibri" w:cs="Calibri"/>
          <w:sz w:val="24"/>
        </w:rPr>
        <w:t xml:space="preserve">de </w:t>
      </w:r>
      <w:r w:rsidR="000A010A">
        <w:rPr>
          <w:rFonts w:ascii="Calibri" w:eastAsia="Calibri" w:hAnsi="Calibri" w:cs="Calibri"/>
          <w:sz w:val="24"/>
        </w:rPr>
        <w:t>fevereiro</w:t>
      </w:r>
      <w:r w:rsidR="000A010A" w:rsidRPr="00C6089D">
        <w:rPr>
          <w:rFonts w:ascii="Calibri" w:hAnsi="Calibri" w:cs="Calibri"/>
          <w:sz w:val="24"/>
        </w:rPr>
        <w:t xml:space="preserve"> </w:t>
      </w:r>
      <w:r w:rsidR="00E870F2" w:rsidRPr="00C6089D">
        <w:rPr>
          <w:rFonts w:ascii="Calibri" w:hAnsi="Calibri" w:cs="Calibri"/>
          <w:sz w:val="24"/>
        </w:rPr>
        <w:t xml:space="preserve">de </w:t>
      </w:r>
      <w:r w:rsidR="00E870F2" w:rsidRPr="00365D60">
        <w:rPr>
          <w:rFonts w:ascii="Calibri" w:hAnsi="Calibri" w:cs="Calibri"/>
          <w:sz w:val="24"/>
        </w:rPr>
        <w:t>20</w:t>
      </w:r>
      <w:r w:rsidR="00191FB6" w:rsidRPr="00365D60">
        <w:rPr>
          <w:rFonts w:ascii="Calibri" w:hAnsi="Calibri" w:cs="Calibri"/>
          <w:sz w:val="24"/>
        </w:rPr>
        <w:t>2</w:t>
      </w:r>
      <w:r w:rsidR="001F4D9D">
        <w:rPr>
          <w:rFonts w:ascii="Calibri" w:hAnsi="Calibri" w:cs="Calibri"/>
          <w:sz w:val="24"/>
        </w:rPr>
        <w:t>2</w:t>
      </w:r>
      <w:r w:rsidR="00E870F2" w:rsidRPr="00C6089D">
        <w:rPr>
          <w:rFonts w:ascii="Calibri" w:hAnsi="Calibri" w:cs="Calibri"/>
          <w:sz w:val="24"/>
        </w:rPr>
        <w:t xml:space="preserve">, sob o nº </w:t>
      </w:r>
      <w:r w:rsidR="000A010A" w:rsidRPr="000A010A">
        <w:rPr>
          <w:rFonts w:ascii="Calibri" w:eastAsia="Calibri" w:hAnsi="Calibri" w:cs="Calibri"/>
          <w:sz w:val="24"/>
        </w:rPr>
        <w:t>AD004311-4/001</w:t>
      </w:r>
      <w:r w:rsidR="00276DE6" w:rsidRPr="00365D60">
        <w:rPr>
          <w:rFonts w:ascii="Calibri" w:hAnsi="Calibri" w:cs="Calibri"/>
          <w:sz w:val="24"/>
        </w:rPr>
        <w:t>.</w:t>
      </w:r>
    </w:p>
    <w:p w14:paraId="41B55032" w14:textId="379D7D94" w:rsidR="003D3D39" w:rsidRPr="00C6089D" w:rsidRDefault="00302181" w:rsidP="00302181">
      <w:pPr>
        <w:pStyle w:val="Level2"/>
        <w:numPr>
          <w:ilvl w:val="0"/>
          <w:numId w:val="0"/>
        </w:numPr>
        <w:ind w:left="426" w:hanging="426"/>
        <w:rPr>
          <w:rFonts w:ascii="Calibri" w:hAnsi="Calibri" w:cs="Calibri"/>
          <w:b/>
          <w:sz w:val="24"/>
          <w:szCs w:val="24"/>
        </w:rPr>
      </w:pPr>
      <w:r>
        <w:rPr>
          <w:rFonts w:ascii="Calibri" w:hAnsi="Calibri" w:cs="Calibri"/>
          <w:b/>
          <w:sz w:val="24"/>
          <w:szCs w:val="24"/>
        </w:rPr>
        <w:t xml:space="preserve">(iii) </w:t>
      </w:r>
      <w:r w:rsidR="008622D3" w:rsidRPr="00C6089D">
        <w:rPr>
          <w:rFonts w:ascii="Calibri" w:hAnsi="Calibri" w:cs="Calibri"/>
          <w:b/>
          <w:sz w:val="24"/>
          <w:szCs w:val="24"/>
        </w:rPr>
        <w:t xml:space="preserve">Registro na CVM e na Associação Brasileira das Entidades dos Mercados </w:t>
      </w:r>
      <w:r>
        <w:rPr>
          <w:rFonts w:ascii="Calibri" w:hAnsi="Calibri" w:cs="Calibri"/>
          <w:b/>
          <w:sz w:val="24"/>
          <w:szCs w:val="24"/>
        </w:rPr>
        <w:br/>
      </w:r>
      <w:r w:rsidR="008622D3" w:rsidRPr="00C6089D">
        <w:rPr>
          <w:rFonts w:ascii="Calibri" w:hAnsi="Calibri" w:cs="Calibri"/>
          <w:b/>
          <w:sz w:val="24"/>
          <w:szCs w:val="24"/>
        </w:rPr>
        <w:t>Financeiro e de Capitais</w:t>
      </w:r>
      <w:r w:rsidR="008622D3" w:rsidRPr="00C6089D" w:rsidDel="008622D3">
        <w:rPr>
          <w:rFonts w:ascii="Calibri" w:hAnsi="Calibri" w:cs="Calibri"/>
          <w:b/>
          <w:sz w:val="24"/>
          <w:szCs w:val="24"/>
        </w:rPr>
        <w:t xml:space="preserve"> </w:t>
      </w:r>
    </w:p>
    <w:p w14:paraId="63D27437" w14:textId="4A0FF3AE" w:rsidR="00563F42" w:rsidRPr="00C6089D" w:rsidRDefault="00563F42" w:rsidP="00563F42">
      <w:pPr>
        <w:pStyle w:val="Body"/>
        <w:rPr>
          <w:rFonts w:ascii="Calibri" w:hAnsi="Calibri" w:cs="Calibri"/>
          <w:sz w:val="24"/>
        </w:rPr>
      </w:pPr>
      <w:r w:rsidRPr="00C6089D">
        <w:rPr>
          <w:rFonts w:ascii="Calibri" w:hAnsi="Calibri" w:cs="Calibri"/>
          <w:sz w:val="24"/>
        </w:rPr>
        <w:t xml:space="preserve">A Oferta </w:t>
      </w:r>
      <w:r w:rsidR="00B70791">
        <w:rPr>
          <w:rFonts w:ascii="Calibri" w:hAnsi="Calibri" w:cs="Calibri"/>
          <w:sz w:val="24"/>
        </w:rPr>
        <w:t xml:space="preserve">das Debêntures da Primeira Série </w:t>
      </w:r>
      <w:r w:rsidR="00276DE6" w:rsidRPr="00C6089D">
        <w:rPr>
          <w:rFonts w:ascii="Calibri" w:hAnsi="Calibri" w:cs="Calibri"/>
          <w:sz w:val="24"/>
        </w:rPr>
        <w:t>foi</w:t>
      </w:r>
      <w:r w:rsidRPr="00C6089D">
        <w:rPr>
          <w:rFonts w:ascii="Calibri" w:hAnsi="Calibri" w:cs="Calibri"/>
          <w:sz w:val="24"/>
        </w:rPr>
        <w:t xml:space="preserve"> registrada </w:t>
      </w:r>
      <w:r w:rsidR="00AC7401" w:rsidRPr="00C6089D">
        <w:rPr>
          <w:rFonts w:ascii="Calibri" w:hAnsi="Calibri" w:cs="Calibri"/>
          <w:sz w:val="24"/>
        </w:rPr>
        <w:t xml:space="preserve">perante a </w:t>
      </w:r>
      <w:r w:rsidRPr="00C6089D">
        <w:rPr>
          <w:rFonts w:ascii="Calibri" w:hAnsi="Calibri" w:cs="Calibri"/>
          <w:sz w:val="24"/>
        </w:rPr>
        <w:t xml:space="preserve">CVM, </w:t>
      </w:r>
      <w:r w:rsidR="00D608E4" w:rsidRPr="00C6089D">
        <w:rPr>
          <w:rFonts w:ascii="Calibri" w:hAnsi="Calibri" w:cs="Calibri"/>
          <w:sz w:val="24"/>
        </w:rPr>
        <w:t xml:space="preserve">sob o nº </w:t>
      </w:r>
      <w:r w:rsidR="00365D60" w:rsidRPr="00DD7495">
        <w:rPr>
          <w:rFonts w:ascii="Calibri" w:hAnsi="Calibri" w:cs="Calibri"/>
          <w:sz w:val="24"/>
        </w:rPr>
        <w:t>CVM/SRE/DEB/2022/</w:t>
      </w:r>
      <w:r w:rsidR="00F60A78">
        <w:rPr>
          <w:rFonts w:ascii="Calibri" w:hAnsi="Calibri" w:cs="Calibri"/>
          <w:sz w:val="24"/>
        </w:rPr>
        <w:t>003</w:t>
      </w:r>
      <w:r w:rsidR="00B70791">
        <w:rPr>
          <w:rFonts w:ascii="Calibri" w:hAnsi="Calibri" w:cs="Calibri"/>
          <w:sz w:val="24"/>
        </w:rPr>
        <w:t xml:space="preserve"> e a </w:t>
      </w:r>
      <w:r w:rsidR="00B70791" w:rsidRPr="00C6089D">
        <w:rPr>
          <w:rFonts w:ascii="Calibri" w:hAnsi="Calibri" w:cs="Calibri"/>
          <w:sz w:val="24"/>
        </w:rPr>
        <w:t xml:space="preserve">Oferta </w:t>
      </w:r>
      <w:r w:rsidR="00B70791">
        <w:rPr>
          <w:rFonts w:ascii="Calibri" w:hAnsi="Calibri" w:cs="Calibri"/>
          <w:sz w:val="24"/>
        </w:rPr>
        <w:t xml:space="preserve">das Debêntures da Segunda Série </w:t>
      </w:r>
      <w:r w:rsidR="00B70791" w:rsidRPr="00C6089D">
        <w:rPr>
          <w:rFonts w:ascii="Calibri" w:hAnsi="Calibri" w:cs="Calibri"/>
          <w:sz w:val="24"/>
        </w:rPr>
        <w:t xml:space="preserve">foi registrada perante a CVM, sob o nº </w:t>
      </w:r>
      <w:r w:rsidR="00B70791" w:rsidRPr="00DD7495">
        <w:rPr>
          <w:rFonts w:ascii="Calibri" w:hAnsi="Calibri" w:cs="Calibri"/>
          <w:sz w:val="24"/>
        </w:rPr>
        <w:t>CVM/SRE/DEB/2022/</w:t>
      </w:r>
      <w:r w:rsidR="00F60A78">
        <w:rPr>
          <w:rFonts w:ascii="Calibri" w:hAnsi="Calibri" w:cs="Calibri"/>
          <w:sz w:val="24"/>
        </w:rPr>
        <w:t>004</w:t>
      </w:r>
      <w:r w:rsidR="00E870F2" w:rsidRPr="00365D60">
        <w:rPr>
          <w:rFonts w:ascii="Calibri" w:hAnsi="Calibri" w:cs="Calibri"/>
          <w:sz w:val="24"/>
        </w:rPr>
        <w:t>,</w:t>
      </w:r>
      <w:r w:rsidR="00E870F2" w:rsidRPr="00C6089D">
        <w:rPr>
          <w:rFonts w:ascii="Calibri" w:hAnsi="Calibri" w:cs="Calibri"/>
          <w:sz w:val="24"/>
        </w:rPr>
        <w:t xml:space="preserve"> </w:t>
      </w:r>
      <w:r w:rsidRPr="00C6089D">
        <w:rPr>
          <w:rFonts w:ascii="Calibri" w:hAnsi="Calibri" w:cs="Calibri"/>
          <w:sz w:val="24"/>
        </w:rPr>
        <w:t>na forma e nos termos da Lei do Mercado de Valores Mobiliários</w:t>
      </w:r>
      <w:r w:rsidR="008622D3" w:rsidRPr="00C6089D">
        <w:rPr>
          <w:rFonts w:ascii="Calibri" w:hAnsi="Calibri" w:cs="Calibri"/>
          <w:sz w:val="24"/>
        </w:rPr>
        <w:t xml:space="preserve"> e </w:t>
      </w:r>
      <w:r w:rsidRPr="00C6089D">
        <w:rPr>
          <w:rFonts w:ascii="Calibri" w:hAnsi="Calibri" w:cs="Calibri"/>
          <w:sz w:val="24"/>
        </w:rPr>
        <w:t xml:space="preserve">da Instrução CVM 400. </w:t>
      </w:r>
    </w:p>
    <w:p w14:paraId="1BC14AF5" w14:textId="13A0D24E" w:rsidR="00563F42" w:rsidRPr="00C6089D" w:rsidRDefault="008622D3" w:rsidP="00563F42">
      <w:pPr>
        <w:pStyle w:val="Body"/>
        <w:rPr>
          <w:rFonts w:ascii="Calibri" w:hAnsi="Calibri" w:cs="Calibri"/>
          <w:sz w:val="24"/>
        </w:rPr>
      </w:pPr>
      <w:r w:rsidRPr="00C6089D">
        <w:rPr>
          <w:rFonts w:ascii="Calibri" w:hAnsi="Calibri" w:cs="Calibri"/>
          <w:sz w:val="24"/>
        </w:rPr>
        <w:t>A Oferta será registrada na Associação Brasileira das Entidades dos Mercados Financeiro e de Capitais (“</w:t>
      </w:r>
      <w:r w:rsidRPr="00C6089D">
        <w:rPr>
          <w:rFonts w:ascii="Calibri" w:hAnsi="Calibri" w:cs="Calibri"/>
          <w:sz w:val="24"/>
          <w:u w:val="single"/>
        </w:rPr>
        <w:t>ANBIMA</w:t>
      </w:r>
      <w:r w:rsidRPr="00C6089D">
        <w:rPr>
          <w:rFonts w:ascii="Calibri" w:hAnsi="Calibri" w:cs="Calibri"/>
          <w:sz w:val="24"/>
        </w:rPr>
        <w:t xml:space="preserve">”), no prazo máximo de 15 (quinze) dias, a contar da data do encerramento da Oferta, nos termos do </w:t>
      </w:r>
      <w:r w:rsidR="001A6D89">
        <w:rPr>
          <w:rFonts w:ascii="Calibri" w:hAnsi="Calibri" w:cs="Calibri"/>
          <w:sz w:val="24"/>
        </w:rPr>
        <w:t xml:space="preserve">inciso I </w:t>
      </w:r>
      <w:r w:rsidR="0038396E">
        <w:rPr>
          <w:rFonts w:ascii="Calibri" w:hAnsi="Calibri" w:cs="Calibri"/>
          <w:sz w:val="24"/>
        </w:rPr>
        <w:t xml:space="preserve">do </w:t>
      </w:r>
      <w:r w:rsidRPr="00C6089D">
        <w:rPr>
          <w:rFonts w:ascii="Calibri" w:hAnsi="Calibri" w:cs="Calibri"/>
          <w:sz w:val="24"/>
        </w:rPr>
        <w:t xml:space="preserve">artigo 16 </w:t>
      </w:r>
      <w:r w:rsidR="001A6D89">
        <w:rPr>
          <w:rFonts w:ascii="Calibri" w:hAnsi="Calibri" w:cs="Calibri"/>
          <w:sz w:val="24"/>
        </w:rPr>
        <w:t xml:space="preserve">e do inciso I do artigo 18 </w:t>
      </w:r>
      <w:r w:rsidRPr="00C6089D">
        <w:rPr>
          <w:rFonts w:ascii="Calibri" w:hAnsi="Calibri" w:cs="Calibri"/>
          <w:sz w:val="24"/>
        </w:rPr>
        <w:t xml:space="preserve">do </w:t>
      </w:r>
      <w:r w:rsidR="00191FB6" w:rsidRPr="00365D60">
        <w:rPr>
          <w:rFonts w:ascii="Calibri" w:hAnsi="Calibri" w:cs="Calibri"/>
          <w:sz w:val="24"/>
        </w:rPr>
        <w:t>Código ANBIMA</w:t>
      </w:r>
      <w:r w:rsidRPr="00365D60">
        <w:rPr>
          <w:rFonts w:ascii="Calibri" w:hAnsi="Calibri" w:cs="Calibri"/>
          <w:sz w:val="24"/>
        </w:rPr>
        <w:t>, conforme em vigor.</w:t>
      </w:r>
    </w:p>
    <w:p w14:paraId="61655ED6" w14:textId="73FAFE10" w:rsidR="003D3D39" w:rsidRPr="00C6089D" w:rsidRDefault="00302181" w:rsidP="00302181">
      <w:pPr>
        <w:pStyle w:val="Level2"/>
        <w:numPr>
          <w:ilvl w:val="0"/>
          <w:numId w:val="0"/>
        </w:numPr>
        <w:ind w:left="680" w:hanging="680"/>
        <w:rPr>
          <w:rFonts w:ascii="Calibri" w:hAnsi="Calibri" w:cs="Calibri"/>
          <w:b/>
          <w:sz w:val="24"/>
          <w:szCs w:val="24"/>
        </w:rPr>
      </w:pPr>
      <w:r>
        <w:rPr>
          <w:rFonts w:ascii="Calibri" w:hAnsi="Calibri" w:cs="Calibri"/>
          <w:b/>
          <w:sz w:val="24"/>
          <w:szCs w:val="24"/>
        </w:rPr>
        <w:t xml:space="preserve">(iv) </w:t>
      </w:r>
      <w:r w:rsidR="007464F1" w:rsidRPr="00C6089D">
        <w:rPr>
          <w:rFonts w:ascii="Calibri" w:hAnsi="Calibri" w:cs="Calibri"/>
          <w:b/>
          <w:sz w:val="24"/>
          <w:szCs w:val="24"/>
        </w:rPr>
        <w:t>Distribuição, Negociação e Custódia Eletrônica</w:t>
      </w:r>
    </w:p>
    <w:p w14:paraId="08F41CAD" w14:textId="3B56D5F4" w:rsidR="003D3D39" w:rsidRPr="00C6089D" w:rsidRDefault="005735FD" w:rsidP="00417CB2">
      <w:pPr>
        <w:pStyle w:val="Body"/>
        <w:rPr>
          <w:rFonts w:ascii="Calibri" w:hAnsi="Calibri" w:cs="Calibri"/>
          <w:sz w:val="24"/>
        </w:rPr>
      </w:pPr>
      <w:r w:rsidRPr="00C6089D">
        <w:rPr>
          <w:rFonts w:ascii="Calibri" w:hAnsi="Calibri" w:cs="Calibri"/>
          <w:sz w:val="24"/>
        </w:rPr>
        <w:t>As Debêntures foram depositadas para distribuição no mercado primário por meio do MDA – Módulo de Distribuição de Ativos (“</w:t>
      </w:r>
      <w:r w:rsidRPr="00C6089D">
        <w:rPr>
          <w:rFonts w:ascii="Calibri" w:hAnsi="Calibri" w:cs="Calibri"/>
          <w:sz w:val="24"/>
          <w:u w:val="single"/>
        </w:rPr>
        <w:t>MDA</w:t>
      </w:r>
      <w:r w:rsidRPr="00C6089D">
        <w:rPr>
          <w:rFonts w:ascii="Calibri" w:hAnsi="Calibri" w:cs="Calibri"/>
          <w:sz w:val="24"/>
        </w:rPr>
        <w:t>”), administrado e operacionalizado pela B3, sendo a distribuição liquidada financeiramente por meio da B3.</w:t>
      </w:r>
    </w:p>
    <w:p w14:paraId="17FCBFAA" w14:textId="7028BB7D" w:rsidR="007464F1" w:rsidRPr="00C6089D" w:rsidRDefault="005735FD" w:rsidP="00417CB2">
      <w:pPr>
        <w:pStyle w:val="Body"/>
        <w:rPr>
          <w:rFonts w:ascii="Calibri" w:hAnsi="Calibri" w:cs="Calibri"/>
          <w:sz w:val="24"/>
        </w:rPr>
      </w:pPr>
      <w:r w:rsidRPr="00C6089D">
        <w:rPr>
          <w:rFonts w:ascii="Calibri" w:hAnsi="Calibri" w:cs="Calibri"/>
          <w:sz w:val="24"/>
        </w:rPr>
        <w:lastRenderedPageBreak/>
        <w:t>As Debêntures serão depositadas para negociação no mercado secundário por meio do CETIP21 – Títulos e Valores Mobiliários (“</w:t>
      </w:r>
      <w:r w:rsidRPr="00C6089D">
        <w:rPr>
          <w:rFonts w:ascii="Calibri" w:hAnsi="Calibri" w:cs="Calibri"/>
          <w:sz w:val="24"/>
          <w:u w:val="single"/>
        </w:rPr>
        <w:t>CETIP21</w:t>
      </w:r>
      <w:r w:rsidRPr="00C6089D">
        <w:rPr>
          <w:rFonts w:ascii="Calibri" w:hAnsi="Calibri" w:cs="Calibri"/>
          <w:sz w:val="24"/>
        </w:rPr>
        <w:t>”), administrado e operacionalizado pela B3, sendo as negociações liquidadas financeiramente e as Debêntures custodiadas eletronicamente na B3.</w:t>
      </w:r>
    </w:p>
    <w:p w14:paraId="565193AE" w14:textId="7EF19768" w:rsidR="007464F1" w:rsidRPr="00C6089D" w:rsidRDefault="00302181" w:rsidP="00302181">
      <w:pPr>
        <w:pStyle w:val="Level2"/>
        <w:numPr>
          <w:ilvl w:val="0"/>
          <w:numId w:val="0"/>
        </w:numPr>
        <w:ind w:left="284" w:hanging="284"/>
        <w:rPr>
          <w:rFonts w:ascii="Calibri" w:hAnsi="Calibri" w:cs="Calibri"/>
          <w:b/>
          <w:sz w:val="24"/>
          <w:szCs w:val="24"/>
        </w:rPr>
      </w:pPr>
      <w:r>
        <w:rPr>
          <w:rFonts w:ascii="Calibri" w:hAnsi="Calibri" w:cs="Calibri"/>
          <w:b/>
          <w:sz w:val="24"/>
          <w:szCs w:val="24"/>
        </w:rPr>
        <w:t xml:space="preserve">(v) </w:t>
      </w:r>
      <w:r w:rsidR="007464F1" w:rsidRPr="00C6089D">
        <w:rPr>
          <w:rFonts w:ascii="Calibri" w:hAnsi="Calibri" w:cs="Calibri"/>
          <w:b/>
          <w:sz w:val="24"/>
          <w:szCs w:val="24"/>
        </w:rPr>
        <w:t>Projeto</w:t>
      </w:r>
      <w:r w:rsidR="00913AA7" w:rsidRPr="00C6089D">
        <w:rPr>
          <w:rFonts w:ascii="Calibri" w:hAnsi="Calibri" w:cs="Calibri"/>
          <w:b/>
          <w:sz w:val="24"/>
          <w:szCs w:val="24"/>
        </w:rPr>
        <w:t>s</w:t>
      </w:r>
      <w:r w:rsidR="007464F1" w:rsidRPr="00C6089D">
        <w:rPr>
          <w:rFonts w:ascii="Calibri" w:hAnsi="Calibri" w:cs="Calibri"/>
          <w:b/>
          <w:sz w:val="24"/>
          <w:szCs w:val="24"/>
        </w:rPr>
        <w:t xml:space="preserve"> de Infraestrutura Considerado</w:t>
      </w:r>
      <w:r w:rsidR="00913AA7" w:rsidRPr="00C6089D">
        <w:rPr>
          <w:rFonts w:ascii="Calibri" w:hAnsi="Calibri" w:cs="Calibri"/>
          <w:b/>
          <w:sz w:val="24"/>
          <w:szCs w:val="24"/>
        </w:rPr>
        <w:t>s</w:t>
      </w:r>
      <w:r w:rsidR="007464F1" w:rsidRPr="00C6089D">
        <w:rPr>
          <w:rFonts w:ascii="Calibri" w:hAnsi="Calibri" w:cs="Calibri"/>
          <w:b/>
          <w:sz w:val="24"/>
          <w:szCs w:val="24"/>
        </w:rPr>
        <w:t xml:space="preserve"> como Prioritário</w:t>
      </w:r>
      <w:r w:rsidR="00913AA7" w:rsidRPr="00C6089D">
        <w:rPr>
          <w:rFonts w:ascii="Calibri" w:hAnsi="Calibri" w:cs="Calibri"/>
          <w:b/>
          <w:sz w:val="24"/>
          <w:szCs w:val="24"/>
        </w:rPr>
        <w:t>s</w:t>
      </w:r>
      <w:r w:rsidR="007464F1" w:rsidRPr="00C6089D">
        <w:rPr>
          <w:rFonts w:ascii="Calibri" w:hAnsi="Calibri" w:cs="Calibri"/>
          <w:b/>
          <w:sz w:val="24"/>
          <w:szCs w:val="24"/>
        </w:rPr>
        <w:t xml:space="preserve"> pelo </w:t>
      </w:r>
      <w:r w:rsidR="007464F1" w:rsidRPr="00365D60">
        <w:rPr>
          <w:rFonts w:ascii="Calibri" w:hAnsi="Calibri" w:cs="Calibri"/>
          <w:b/>
          <w:sz w:val="24"/>
          <w:szCs w:val="24"/>
        </w:rPr>
        <w:t>M</w:t>
      </w:r>
      <w:r w:rsidR="005B56F5" w:rsidRPr="00365D60">
        <w:rPr>
          <w:rFonts w:ascii="Calibri" w:hAnsi="Calibri" w:cs="Calibri"/>
          <w:b/>
          <w:sz w:val="24"/>
          <w:szCs w:val="24"/>
        </w:rPr>
        <w:t xml:space="preserve">inistério </w:t>
      </w:r>
      <w:r>
        <w:rPr>
          <w:rFonts w:ascii="Calibri" w:hAnsi="Calibri" w:cs="Calibri"/>
          <w:b/>
          <w:sz w:val="24"/>
          <w:szCs w:val="24"/>
        </w:rPr>
        <w:br/>
      </w:r>
      <w:r w:rsidR="005B56F5" w:rsidRPr="00365D60">
        <w:rPr>
          <w:rFonts w:ascii="Calibri" w:hAnsi="Calibri" w:cs="Calibri"/>
          <w:b/>
          <w:sz w:val="24"/>
          <w:szCs w:val="24"/>
        </w:rPr>
        <w:t xml:space="preserve">de </w:t>
      </w:r>
      <w:r w:rsidR="007464F1" w:rsidRPr="00365D60">
        <w:rPr>
          <w:rFonts w:ascii="Calibri" w:hAnsi="Calibri" w:cs="Calibri"/>
          <w:b/>
          <w:sz w:val="24"/>
          <w:szCs w:val="24"/>
        </w:rPr>
        <w:t>M</w:t>
      </w:r>
      <w:r w:rsidR="005B56F5" w:rsidRPr="00365D60">
        <w:rPr>
          <w:rFonts w:ascii="Calibri" w:hAnsi="Calibri" w:cs="Calibri"/>
          <w:b/>
          <w:sz w:val="24"/>
          <w:szCs w:val="24"/>
        </w:rPr>
        <w:t xml:space="preserve">inas e </w:t>
      </w:r>
      <w:r w:rsidR="007464F1" w:rsidRPr="00365D60">
        <w:rPr>
          <w:rFonts w:ascii="Calibri" w:hAnsi="Calibri" w:cs="Calibri"/>
          <w:b/>
          <w:sz w:val="24"/>
          <w:szCs w:val="24"/>
        </w:rPr>
        <w:t>E</w:t>
      </w:r>
      <w:r w:rsidR="005B56F5" w:rsidRPr="00365D60">
        <w:rPr>
          <w:rFonts w:ascii="Calibri" w:hAnsi="Calibri" w:cs="Calibri"/>
          <w:b/>
          <w:sz w:val="24"/>
          <w:szCs w:val="24"/>
        </w:rPr>
        <w:t>nergia</w:t>
      </w:r>
    </w:p>
    <w:p w14:paraId="129B5986" w14:textId="4D987ABE" w:rsidR="007464F1" w:rsidRPr="00C6089D" w:rsidRDefault="00C91203" w:rsidP="00417CB2">
      <w:pPr>
        <w:pStyle w:val="Body"/>
        <w:rPr>
          <w:rFonts w:ascii="Calibri" w:hAnsi="Calibri" w:cs="Calibri"/>
          <w:sz w:val="24"/>
        </w:rPr>
      </w:pPr>
      <w:r w:rsidRPr="00C6089D">
        <w:rPr>
          <w:rFonts w:ascii="Calibri" w:hAnsi="Calibri" w:cs="Calibri"/>
          <w:sz w:val="24"/>
        </w:rPr>
        <w:t>As Debêntures contam com o incentivo previsto no artigo 2º da Lei 12.431, do Decreto 8.874, da Resolução CMN 3.947 e da regulamentação aplicável, sendo os recursos líquidos captados por meio da emissão das Debêntures aplicados nos Projetos, conforme detalhado no item “Destinação dos Recursos” abaixo.</w:t>
      </w:r>
    </w:p>
    <w:p w14:paraId="2B5DE014" w14:textId="734E87A3" w:rsidR="00C91203" w:rsidRPr="00C6089D" w:rsidRDefault="00C91203" w:rsidP="00417CB2">
      <w:pPr>
        <w:pStyle w:val="Body"/>
        <w:rPr>
          <w:rFonts w:ascii="Calibri" w:hAnsi="Calibri" w:cs="Calibri"/>
          <w:sz w:val="24"/>
        </w:rPr>
      </w:pPr>
      <w:r w:rsidRPr="00C6089D">
        <w:rPr>
          <w:rFonts w:ascii="Calibri" w:hAnsi="Calibri" w:cs="Calibri"/>
          <w:sz w:val="24"/>
        </w:rPr>
        <w:t>Nos termos da Lei 12.431, os Projetos estão devidamente enquadrados, em caráter prioritário, nos termos das Portarias</w:t>
      </w:r>
      <w:r w:rsidR="005B56F5" w:rsidRPr="00C6089D">
        <w:rPr>
          <w:rFonts w:ascii="Calibri" w:hAnsi="Calibri" w:cs="Calibri"/>
          <w:sz w:val="24"/>
        </w:rPr>
        <w:t xml:space="preserve"> </w:t>
      </w:r>
      <w:r w:rsidR="005B56F5" w:rsidRPr="00365D60">
        <w:rPr>
          <w:rFonts w:ascii="Calibri" w:hAnsi="Calibri" w:cs="Calibri"/>
          <w:sz w:val="24"/>
        </w:rPr>
        <w:t>do Ministério de Minas e Energia</w:t>
      </w:r>
      <w:r w:rsidRPr="00C6089D">
        <w:rPr>
          <w:rFonts w:ascii="Calibri" w:hAnsi="Calibri" w:cs="Calibri"/>
          <w:sz w:val="24"/>
        </w:rPr>
        <w:t>, conforme detalhado no item “Destinação dos Recursos” abaixo.</w:t>
      </w:r>
    </w:p>
    <w:p w14:paraId="45263218" w14:textId="2F8712D5" w:rsidR="00C91203" w:rsidRPr="00C6089D" w:rsidRDefault="00302181" w:rsidP="00302181">
      <w:pPr>
        <w:pStyle w:val="Level2"/>
        <w:numPr>
          <w:ilvl w:val="0"/>
          <w:numId w:val="0"/>
        </w:numPr>
        <w:ind w:left="680" w:hanging="680"/>
        <w:rPr>
          <w:rFonts w:ascii="Calibri" w:hAnsi="Calibri" w:cs="Calibri"/>
          <w:sz w:val="24"/>
          <w:szCs w:val="24"/>
        </w:rPr>
      </w:pPr>
      <w:r>
        <w:rPr>
          <w:rFonts w:ascii="Calibri" w:hAnsi="Calibri" w:cs="Calibri"/>
          <w:b/>
          <w:sz w:val="24"/>
          <w:szCs w:val="24"/>
        </w:rPr>
        <w:t xml:space="preserve">(vi) </w:t>
      </w:r>
      <w:r w:rsidR="00C91203" w:rsidRPr="00C6089D">
        <w:rPr>
          <w:rFonts w:ascii="Calibri" w:hAnsi="Calibri" w:cs="Calibri"/>
          <w:b/>
          <w:sz w:val="24"/>
          <w:szCs w:val="24"/>
        </w:rPr>
        <w:t>Caracterização das Debêntures como “Debêntures Verdes”</w:t>
      </w:r>
    </w:p>
    <w:p w14:paraId="518752AC" w14:textId="30F489CD" w:rsidR="00C91203" w:rsidRPr="00C6089D" w:rsidRDefault="00C6089D" w:rsidP="00C91203">
      <w:pPr>
        <w:pStyle w:val="Body"/>
        <w:rPr>
          <w:rFonts w:ascii="Calibri" w:hAnsi="Calibri" w:cs="Calibri"/>
          <w:sz w:val="24"/>
        </w:rPr>
      </w:pPr>
      <w:r w:rsidRPr="00C6089D">
        <w:rPr>
          <w:rFonts w:ascii="Calibri" w:hAnsi="Calibri" w:cs="Calibri"/>
          <w:sz w:val="24"/>
        </w:rPr>
        <w:t>As Debêntures serão caracterizadas como “debêntures verdes” (“</w:t>
      </w:r>
      <w:r w:rsidRPr="00C6089D">
        <w:rPr>
          <w:rFonts w:ascii="Calibri" w:hAnsi="Calibri" w:cs="Calibri"/>
          <w:sz w:val="24"/>
          <w:u w:val="single"/>
        </w:rPr>
        <w:t>Debêntures Verdes</w:t>
      </w:r>
      <w:r w:rsidRPr="00C6089D">
        <w:rPr>
          <w:rFonts w:ascii="Calibri" w:hAnsi="Calibri" w:cs="Calibri"/>
          <w:sz w:val="24"/>
        </w:rPr>
        <w:t>”), nos termos do decreto nº 8.874, de 11 de outubro de 2016 (“</w:t>
      </w:r>
      <w:r w:rsidRPr="00C6089D">
        <w:rPr>
          <w:rFonts w:ascii="Calibri" w:hAnsi="Calibri" w:cs="Calibri"/>
          <w:sz w:val="24"/>
          <w:u w:val="single"/>
        </w:rPr>
        <w:t>Decreto nº 8.874/16</w:t>
      </w:r>
      <w:r w:rsidRPr="00C6089D">
        <w:rPr>
          <w:rFonts w:ascii="Calibri" w:hAnsi="Calibri" w:cs="Calibri"/>
          <w:sz w:val="24"/>
        </w:rPr>
        <w:t>”), conforme alterado pelo decreto nº 10.387, de 5 de junho de 2020 (“</w:t>
      </w:r>
      <w:r w:rsidRPr="00C6089D">
        <w:rPr>
          <w:rFonts w:ascii="Calibri" w:hAnsi="Calibri" w:cs="Calibri"/>
          <w:sz w:val="24"/>
          <w:u w:val="single"/>
        </w:rPr>
        <w:t>Decreto nº 10.387/20</w:t>
      </w:r>
      <w:r w:rsidRPr="00C6089D">
        <w:rPr>
          <w:rFonts w:ascii="Calibri" w:hAnsi="Calibri" w:cs="Calibri"/>
          <w:sz w:val="24"/>
        </w:rPr>
        <w:t>”), com base em: (i) parecer técnico independente (“</w:t>
      </w:r>
      <w:r w:rsidRPr="00C6089D">
        <w:rPr>
          <w:rFonts w:ascii="Calibri" w:hAnsi="Calibri" w:cs="Calibri"/>
          <w:sz w:val="24"/>
          <w:u w:val="single"/>
        </w:rPr>
        <w:t>Parecer Independente</w:t>
      </w:r>
      <w:r w:rsidRPr="00C6089D">
        <w:rPr>
          <w:rFonts w:ascii="Calibri" w:hAnsi="Calibri" w:cs="Calibri"/>
          <w:sz w:val="24"/>
        </w:rPr>
        <w:t xml:space="preserve">”), emitido por consultoria especializada, atestando que as Debêntures cumprem com as regras emitidas pela </w:t>
      </w:r>
      <w:proofErr w:type="spellStart"/>
      <w:r w:rsidRPr="00C6089D">
        <w:rPr>
          <w:rFonts w:ascii="Calibri" w:hAnsi="Calibri" w:cs="Calibri"/>
          <w:sz w:val="24"/>
        </w:rPr>
        <w:t>International</w:t>
      </w:r>
      <w:proofErr w:type="spellEnd"/>
      <w:r w:rsidRPr="00C6089D">
        <w:rPr>
          <w:rFonts w:ascii="Calibri" w:hAnsi="Calibri" w:cs="Calibri"/>
          <w:sz w:val="24"/>
        </w:rPr>
        <w:t xml:space="preserve"> Capital Market </w:t>
      </w:r>
      <w:proofErr w:type="spellStart"/>
      <w:r w:rsidRPr="00C6089D">
        <w:rPr>
          <w:rFonts w:ascii="Calibri" w:hAnsi="Calibri" w:cs="Calibri"/>
          <w:sz w:val="24"/>
        </w:rPr>
        <w:t>Association</w:t>
      </w:r>
      <w:proofErr w:type="spellEnd"/>
      <w:r w:rsidRPr="00C6089D">
        <w:rPr>
          <w:rFonts w:ascii="Calibri" w:hAnsi="Calibri" w:cs="Calibri"/>
          <w:sz w:val="24"/>
        </w:rPr>
        <w:t xml:space="preserve"> (“</w:t>
      </w:r>
      <w:r w:rsidRPr="00C6089D">
        <w:rPr>
          <w:rFonts w:ascii="Calibri" w:hAnsi="Calibri" w:cs="Calibri"/>
          <w:sz w:val="24"/>
          <w:u w:val="single"/>
        </w:rPr>
        <w:t>ICMA</w:t>
      </w:r>
      <w:r w:rsidRPr="00C6089D">
        <w:rPr>
          <w:rFonts w:ascii="Calibri" w:hAnsi="Calibri" w:cs="Calibri"/>
          <w:sz w:val="24"/>
        </w:rPr>
        <w:t xml:space="preserve">”) e constantes do </w:t>
      </w:r>
      <w:r w:rsidRPr="00C6089D">
        <w:rPr>
          <w:rFonts w:ascii="Calibri" w:hAnsi="Calibri" w:cs="Calibri"/>
          <w:i/>
          <w:sz w:val="24"/>
        </w:rPr>
        <w:t xml:space="preserve">Green Bond </w:t>
      </w:r>
      <w:proofErr w:type="spellStart"/>
      <w:r w:rsidRPr="00C6089D">
        <w:rPr>
          <w:rFonts w:ascii="Calibri" w:hAnsi="Calibri" w:cs="Calibri"/>
          <w:i/>
          <w:sz w:val="24"/>
        </w:rPr>
        <w:t>Principles</w:t>
      </w:r>
      <w:proofErr w:type="spellEnd"/>
      <w:r w:rsidRPr="00C6089D">
        <w:rPr>
          <w:rFonts w:ascii="Calibri" w:hAnsi="Calibri" w:cs="Calibri"/>
          <w:i/>
          <w:sz w:val="24"/>
        </w:rPr>
        <w:t xml:space="preserve"> (GBP) </w:t>
      </w:r>
      <w:r w:rsidRPr="00C6089D">
        <w:rPr>
          <w:rFonts w:ascii="Calibri" w:hAnsi="Calibri" w:cs="Calibri"/>
          <w:sz w:val="24"/>
        </w:rPr>
        <w:t>de 2021, conforme atualizado, para caracterização da emissão na categoria de “energia renovável”; e (ii) marcação nos sistemas da B3 como título verde, observados os procedimentos adotados pela B3 (“</w:t>
      </w:r>
      <w:r w:rsidRPr="00C6089D">
        <w:rPr>
          <w:rFonts w:ascii="Calibri" w:hAnsi="Calibri" w:cs="Calibri"/>
          <w:sz w:val="24"/>
          <w:u w:val="single"/>
        </w:rPr>
        <w:t>Marcação ESG</w:t>
      </w:r>
      <w:r w:rsidRPr="00C6089D">
        <w:rPr>
          <w:rFonts w:ascii="Calibri" w:hAnsi="Calibri" w:cs="Calibri"/>
          <w:sz w:val="24"/>
        </w:rPr>
        <w:t>”). A Companhia poderá, mas não estará obrigada, a buscar outras certificações para as Debêntures em adição ao Parecer Independente e a Marcação ESG (“</w:t>
      </w:r>
      <w:r w:rsidRPr="00C6089D">
        <w:rPr>
          <w:rFonts w:ascii="Calibri" w:hAnsi="Calibri" w:cs="Calibri"/>
          <w:sz w:val="24"/>
          <w:u w:val="single"/>
        </w:rPr>
        <w:t>Certificação</w:t>
      </w:r>
      <w:r w:rsidRPr="00C6089D">
        <w:rPr>
          <w:rFonts w:ascii="Calibri" w:hAnsi="Calibri" w:cs="Calibri"/>
          <w:sz w:val="24"/>
        </w:rPr>
        <w:t>”).</w:t>
      </w:r>
    </w:p>
    <w:p w14:paraId="30574A5A" w14:textId="391C29B1" w:rsidR="00C6089D" w:rsidRPr="00C6089D" w:rsidRDefault="00C6089D" w:rsidP="00C91203">
      <w:pPr>
        <w:pStyle w:val="Body"/>
        <w:rPr>
          <w:rFonts w:ascii="Calibri" w:hAnsi="Calibri" w:cs="Calibri"/>
          <w:sz w:val="24"/>
        </w:rPr>
      </w:pPr>
      <w:r w:rsidRPr="00C6089D">
        <w:rPr>
          <w:rFonts w:ascii="Calibri" w:hAnsi="Calibri" w:cs="Calibri"/>
          <w:sz w:val="24"/>
        </w:rPr>
        <w:t>O Parecer Independente elaborado pela consultoria especializada será disponibilizado na íntegra na página da rede mundial de computadores da Emissora (https://www.saomartinho.com.br/), bem como será enviada uma cópia eletrônica (</w:t>
      </w:r>
      <w:proofErr w:type="spellStart"/>
      <w:r w:rsidRPr="00C6089D">
        <w:rPr>
          <w:rFonts w:ascii="Calibri" w:hAnsi="Calibri" w:cs="Calibri"/>
          <w:sz w:val="24"/>
        </w:rPr>
        <w:t>pdf</w:t>
      </w:r>
      <w:proofErr w:type="spellEnd"/>
      <w:r w:rsidRPr="00C6089D">
        <w:rPr>
          <w:rFonts w:ascii="Calibri" w:hAnsi="Calibri" w:cs="Calibri"/>
          <w:sz w:val="24"/>
        </w:rPr>
        <w:t>) para o Agente Fiduciário, em conjunto com os demais documentos da Oferta até a Primeira Data de Integralização.</w:t>
      </w:r>
    </w:p>
    <w:p w14:paraId="087847D7" w14:textId="559FEAA7" w:rsidR="00C6089D" w:rsidRPr="00C6089D" w:rsidRDefault="00C6089D" w:rsidP="00C91203">
      <w:pPr>
        <w:pStyle w:val="Body"/>
        <w:rPr>
          <w:rFonts w:ascii="Calibri" w:hAnsi="Calibri" w:cs="Calibri"/>
          <w:sz w:val="24"/>
        </w:rPr>
      </w:pPr>
      <w:r w:rsidRPr="00C6089D">
        <w:rPr>
          <w:rFonts w:ascii="Calibri" w:hAnsi="Calibri" w:cs="Calibri"/>
          <w:sz w:val="24"/>
        </w:rPr>
        <w:t xml:space="preserve">Adicionalmente, a Emissora realizará reporte anual, sendo que o primeiro será realizado em até 24 (vinte e quatro) meses da data da publicação do Parecer Independente, a respeito da alocação dos recursos nos Projetos de Investimento e dos impactos ambientais associados à </w:t>
      </w:r>
      <w:r w:rsidRPr="00C6089D">
        <w:rPr>
          <w:rFonts w:ascii="Calibri" w:hAnsi="Calibri" w:cs="Calibri"/>
          <w:sz w:val="24"/>
        </w:rPr>
        <w:lastRenderedPageBreak/>
        <w:t>presente Emissão, de forma a manter a classificação das Debêntures Verdes, o qual deverá ser publicado para conhecimento dos Debenturistas seguindo o disposto na Cláusula 9.1, item (</w:t>
      </w:r>
      <w:proofErr w:type="spellStart"/>
      <w:r w:rsidRPr="00C6089D">
        <w:rPr>
          <w:rFonts w:ascii="Calibri" w:hAnsi="Calibri" w:cs="Calibri"/>
          <w:sz w:val="24"/>
        </w:rPr>
        <w:t>xli</w:t>
      </w:r>
      <w:proofErr w:type="spellEnd"/>
      <w:r w:rsidRPr="00C6089D">
        <w:rPr>
          <w:rFonts w:ascii="Calibri" w:hAnsi="Calibri" w:cs="Calibri"/>
          <w:sz w:val="24"/>
        </w:rPr>
        <w:t xml:space="preserve">), </w:t>
      </w:r>
      <w:r>
        <w:rPr>
          <w:rFonts w:ascii="Calibri" w:hAnsi="Calibri" w:cs="Calibri"/>
          <w:sz w:val="24"/>
        </w:rPr>
        <w:t>da Escritura de Emissão</w:t>
      </w:r>
      <w:r w:rsidRPr="00C6089D">
        <w:rPr>
          <w:rFonts w:ascii="Calibri" w:hAnsi="Calibri" w:cs="Calibri"/>
          <w:sz w:val="24"/>
        </w:rPr>
        <w:t xml:space="preserve"> (“</w:t>
      </w:r>
      <w:r w:rsidRPr="00C6089D">
        <w:rPr>
          <w:rFonts w:ascii="Calibri" w:hAnsi="Calibri" w:cs="Calibri"/>
          <w:sz w:val="24"/>
          <w:u w:val="single"/>
        </w:rPr>
        <w:t>Reporte Anual de Título Verde</w:t>
      </w:r>
      <w:r w:rsidRPr="00C6089D">
        <w:rPr>
          <w:rFonts w:ascii="Calibri" w:hAnsi="Calibri" w:cs="Calibri"/>
          <w:sz w:val="24"/>
        </w:rPr>
        <w:t>”).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Cláusula 9.1, item (</w:t>
      </w:r>
      <w:proofErr w:type="spellStart"/>
      <w:r w:rsidRPr="00C6089D">
        <w:rPr>
          <w:rFonts w:ascii="Calibri" w:hAnsi="Calibri" w:cs="Calibri"/>
          <w:sz w:val="24"/>
        </w:rPr>
        <w:t>xli</w:t>
      </w:r>
      <w:proofErr w:type="spellEnd"/>
      <w:r w:rsidRPr="00C6089D">
        <w:rPr>
          <w:rFonts w:ascii="Calibri" w:hAnsi="Calibri" w:cs="Calibri"/>
          <w:sz w:val="24"/>
        </w:rPr>
        <w:t xml:space="preserve">), </w:t>
      </w:r>
      <w:r>
        <w:rPr>
          <w:rFonts w:ascii="Calibri" w:hAnsi="Calibri" w:cs="Calibri"/>
          <w:sz w:val="24"/>
        </w:rPr>
        <w:t>da Escritura de Emissão</w:t>
      </w:r>
      <w:r w:rsidRPr="00C6089D">
        <w:rPr>
          <w:rFonts w:ascii="Calibri" w:hAnsi="Calibri" w:cs="Calibri"/>
          <w:sz w:val="24"/>
        </w:rPr>
        <w:t>; ou (ii) a Data de Vencimento das Debêntures, das duas a que ocorrer primeiro.</w:t>
      </w:r>
    </w:p>
    <w:p w14:paraId="5973058F" w14:textId="72F9F623" w:rsidR="00C6089D" w:rsidRPr="00C6089D" w:rsidRDefault="00C6089D" w:rsidP="00C91203">
      <w:pPr>
        <w:pStyle w:val="Body"/>
        <w:rPr>
          <w:rFonts w:ascii="Calibri" w:hAnsi="Calibri" w:cs="Calibri"/>
          <w:sz w:val="24"/>
          <w:highlight w:val="yellow"/>
        </w:rPr>
      </w:pPr>
      <w:r w:rsidRPr="00C6089D">
        <w:rPr>
          <w:rFonts w:ascii="Calibri" w:hAnsi="Calibri" w:cs="Calibri"/>
          <w:sz w:val="24"/>
        </w:rPr>
        <w:t>Não obstante a caracterização das Debêntures como “debêntures verdes”,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a perda da caracterização como “debênture verde”, caso haja o seu desenquadramento, não irá gerar a perda da isenção das Debêntures decorrentes da Lei 12.431.</w:t>
      </w:r>
    </w:p>
    <w:p w14:paraId="079E561A" w14:textId="72D5C034" w:rsidR="00FF1036" w:rsidRPr="00BE0E90" w:rsidRDefault="00FF1036" w:rsidP="00143D5F">
      <w:pPr>
        <w:pStyle w:val="Level1"/>
        <w:tabs>
          <w:tab w:val="clear" w:pos="680"/>
          <w:tab w:val="num" w:pos="426"/>
        </w:tabs>
        <w:rPr>
          <w:rFonts w:ascii="Calibri" w:hAnsi="Calibri" w:cs="Calibri"/>
          <w:caps/>
          <w:color w:val="203463"/>
          <w:sz w:val="28"/>
          <w:szCs w:val="28"/>
        </w:rPr>
      </w:pPr>
      <w:bookmarkStart w:id="6" w:name="_Toc428306466"/>
      <w:bookmarkStart w:id="7" w:name="_Toc428328015"/>
      <w:bookmarkStart w:id="8" w:name="_Ref429062719"/>
      <w:bookmarkStart w:id="9" w:name="_Ref429490839"/>
      <w:bookmarkStart w:id="10" w:name="_Ref460003680"/>
      <w:r w:rsidRPr="00BE0E90">
        <w:rPr>
          <w:rFonts w:ascii="Calibri" w:hAnsi="Calibri" w:cs="Calibri"/>
          <w:caps/>
          <w:color w:val="203463"/>
          <w:sz w:val="28"/>
          <w:szCs w:val="28"/>
        </w:rPr>
        <w:t>Características da Emissão e das Debêntures</w:t>
      </w:r>
      <w:bookmarkEnd w:id="6"/>
      <w:bookmarkEnd w:id="7"/>
      <w:bookmarkEnd w:id="8"/>
      <w:bookmarkEnd w:id="9"/>
      <w:bookmarkEnd w:id="10"/>
    </w:p>
    <w:tbl>
      <w:tblPr>
        <w:tblW w:w="8730" w:type="dxa"/>
        <w:jc w:val="center"/>
        <w:tblCellMar>
          <w:top w:w="57" w:type="dxa"/>
          <w:left w:w="57" w:type="dxa"/>
          <w:bottom w:w="57" w:type="dxa"/>
          <w:right w:w="57" w:type="dxa"/>
        </w:tblCellMar>
        <w:tblLook w:val="0000" w:firstRow="0" w:lastRow="0" w:firstColumn="0" w:lastColumn="0" w:noHBand="0" w:noVBand="0"/>
      </w:tblPr>
      <w:tblGrid>
        <w:gridCol w:w="3119"/>
        <w:gridCol w:w="5611"/>
      </w:tblGrid>
      <w:tr w:rsidR="00720C65" w:rsidRPr="00365D60" w14:paraId="186E38FE" w14:textId="77777777" w:rsidTr="009955CC">
        <w:trPr>
          <w:jc w:val="center"/>
        </w:trPr>
        <w:tc>
          <w:tcPr>
            <w:tcW w:w="3119" w:type="dxa"/>
          </w:tcPr>
          <w:p w14:paraId="6059E6CE" w14:textId="77777777" w:rsidR="00AB0823" w:rsidRPr="00C6089D" w:rsidRDefault="00AB0823" w:rsidP="00AB0823">
            <w:pPr>
              <w:pStyle w:val="Body"/>
              <w:jc w:val="left"/>
              <w:rPr>
                <w:rFonts w:ascii="Calibri" w:hAnsi="Calibri" w:cs="Calibri"/>
                <w:b/>
                <w:sz w:val="24"/>
              </w:rPr>
            </w:pPr>
            <w:r w:rsidRPr="00C6089D">
              <w:rPr>
                <w:rFonts w:ascii="Calibri" w:hAnsi="Calibri" w:cs="Calibri"/>
                <w:b/>
                <w:sz w:val="24"/>
              </w:rPr>
              <w:t>Valor Total da Emissão</w:t>
            </w:r>
          </w:p>
        </w:tc>
        <w:tc>
          <w:tcPr>
            <w:tcW w:w="5611" w:type="dxa"/>
          </w:tcPr>
          <w:p w14:paraId="73F851FC" w14:textId="5BA9EFFA" w:rsidR="00AB0823" w:rsidRPr="00C6089D" w:rsidRDefault="00AB0823" w:rsidP="00FD7922">
            <w:pPr>
              <w:pStyle w:val="Body"/>
              <w:rPr>
                <w:rFonts w:ascii="Calibri" w:hAnsi="Calibri" w:cs="Calibri"/>
                <w:sz w:val="24"/>
              </w:rPr>
            </w:pPr>
            <w:r w:rsidRPr="00C6089D">
              <w:rPr>
                <w:rFonts w:ascii="Calibri" w:hAnsi="Calibri" w:cs="Calibri"/>
                <w:sz w:val="24"/>
              </w:rPr>
              <w:t xml:space="preserve">O valor total da Emissão </w:t>
            </w:r>
            <w:r w:rsidR="00D608E4" w:rsidRPr="00C6089D">
              <w:rPr>
                <w:rFonts w:ascii="Calibri" w:hAnsi="Calibri" w:cs="Calibri"/>
                <w:sz w:val="24"/>
              </w:rPr>
              <w:t xml:space="preserve">é </w:t>
            </w:r>
            <w:r w:rsidRPr="00C6089D">
              <w:rPr>
                <w:rFonts w:ascii="Calibri" w:hAnsi="Calibri" w:cs="Calibri"/>
                <w:sz w:val="24"/>
              </w:rPr>
              <w:t>de</w:t>
            </w:r>
            <w:r w:rsidR="007731F8" w:rsidRPr="00C6089D">
              <w:rPr>
                <w:rFonts w:ascii="Calibri" w:hAnsi="Calibri" w:cs="Calibri"/>
                <w:sz w:val="24"/>
              </w:rPr>
              <w:t xml:space="preserve"> </w:t>
            </w:r>
            <w:r w:rsidR="00B27FD0" w:rsidRPr="00C6089D">
              <w:rPr>
                <w:rFonts w:ascii="Calibri" w:hAnsi="Calibri" w:cs="Calibri"/>
                <w:sz w:val="24"/>
              </w:rPr>
              <w:t>R</w:t>
            </w:r>
            <w:r w:rsidR="00B27FD0" w:rsidRPr="00365D60">
              <w:rPr>
                <w:rFonts w:ascii="Calibri" w:hAnsi="Calibri" w:cs="Calibri"/>
                <w:sz w:val="24"/>
              </w:rPr>
              <w:t>$</w:t>
            </w:r>
            <w:r w:rsidR="00912BEB">
              <w:rPr>
                <w:rFonts w:ascii="Calibri" w:hAnsi="Calibri" w:cs="Calibri"/>
                <w:sz w:val="24"/>
              </w:rPr>
              <w:t xml:space="preserve"> 1.200.000.000,00</w:t>
            </w:r>
            <w:r w:rsidR="00B27FD0" w:rsidRPr="00365D60">
              <w:rPr>
                <w:rFonts w:ascii="Calibri" w:hAnsi="Calibri" w:cs="Calibri"/>
                <w:sz w:val="24"/>
              </w:rPr>
              <w:t xml:space="preserve"> </w:t>
            </w:r>
            <w:r w:rsidR="00912BEB" w:rsidRPr="00365D60">
              <w:rPr>
                <w:rFonts w:ascii="Calibri" w:hAnsi="Calibri" w:cs="Calibri"/>
                <w:sz w:val="24"/>
              </w:rPr>
              <w:t>(</w:t>
            </w:r>
            <w:r w:rsidR="00912BEB">
              <w:rPr>
                <w:rFonts w:ascii="Calibri" w:hAnsi="Calibri" w:cs="Calibri"/>
                <w:sz w:val="24"/>
              </w:rPr>
              <w:t>um bilhão e duzentos milhões reais</w:t>
            </w:r>
            <w:r w:rsidR="00912BEB" w:rsidRPr="00365D60">
              <w:rPr>
                <w:rFonts w:ascii="Calibri" w:hAnsi="Calibri" w:cs="Calibri"/>
                <w:sz w:val="24"/>
              </w:rPr>
              <w:t>),</w:t>
            </w:r>
            <w:r w:rsidR="00912BEB" w:rsidRPr="00C6089D">
              <w:rPr>
                <w:rFonts w:ascii="Calibri" w:hAnsi="Calibri" w:cs="Calibri"/>
                <w:sz w:val="24"/>
              </w:rPr>
              <w:t xml:space="preserve"> </w:t>
            </w:r>
            <w:r w:rsidRPr="00C6089D">
              <w:rPr>
                <w:rFonts w:ascii="Calibri" w:hAnsi="Calibri" w:cs="Calibri"/>
                <w:sz w:val="24"/>
              </w:rPr>
              <w:t>na Data de Emissão</w:t>
            </w:r>
            <w:r w:rsidR="000739FA" w:rsidRPr="00C6089D">
              <w:rPr>
                <w:rFonts w:ascii="Calibri" w:hAnsi="Calibri" w:cs="Calibri"/>
                <w:sz w:val="24"/>
              </w:rPr>
              <w:t>, considerando as Debêntures Adicionais</w:t>
            </w:r>
            <w:r w:rsidRPr="00C6089D">
              <w:rPr>
                <w:rFonts w:ascii="Calibri" w:hAnsi="Calibri" w:cs="Calibri"/>
                <w:sz w:val="24"/>
              </w:rPr>
              <w:t>.</w:t>
            </w:r>
          </w:p>
        </w:tc>
      </w:tr>
      <w:tr w:rsidR="00720C65" w:rsidRPr="00365D60" w14:paraId="6DBB0F8B" w14:textId="77777777" w:rsidTr="009955CC">
        <w:trPr>
          <w:jc w:val="center"/>
        </w:trPr>
        <w:tc>
          <w:tcPr>
            <w:tcW w:w="3119" w:type="dxa"/>
          </w:tcPr>
          <w:p w14:paraId="578D3945" w14:textId="7476D4C6" w:rsidR="00AB0823" w:rsidRPr="00C6089D" w:rsidRDefault="00AB0823" w:rsidP="00AB0823">
            <w:pPr>
              <w:pStyle w:val="Body"/>
              <w:jc w:val="left"/>
              <w:rPr>
                <w:rFonts w:ascii="Calibri" w:hAnsi="Calibri" w:cs="Calibri"/>
                <w:b/>
                <w:sz w:val="24"/>
              </w:rPr>
            </w:pPr>
            <w:bookmarkStart w:id="11" w:name="_Toc428328017"/>
            <w:r w:rsidRPr="00C6089D">
              <w:rPr>
                <w:rFonts w:ascii="Calibri" w:hAnsi="Calibri" w:cs="Calibri"/>
                <w:b/>
                <w:sz w:val="24"/>
              </w:rPr>
              <w:t>Valor Nominal Unitário</w:t>
            </w:r>
            <w:bookmarkEnd w:id="11"/>
          </w:p>
        </w:tc>
        <w:tc>
          <w:tcPr>
            <w:tcW w:w="5611" w:type="dxa"/>
          </w:tcPr>
          <w:p w14:paraId="5FDAF377" w14:textId="0428C63B" w:rsidR="00AB0823" w:rsidRPr="00C6089D" w:rsidRDefault="00AB0823" w:rsidP="008D456A">
            <w:pPr>
              <w:pStyle w:val="Body"/>
              <w:rPr>
                <w:rFonts w:ascii="Calibri" w:hAnsi="Calibri" w:cs="Calibri"/>
                <w:sz w:val="24"/>
              </w:rPr>
            </w:pPr>
            <w:r w:rsidRPr="00C6089D">
              <w:rPr>
                <w:rFonts w:ascii="Calibri" w:hAnsi="Calibri" w:cs="Calibri"/>
                <w:sz w:val="24"/>
              </w:rPr>
              <w:t>O valor nominal unitário das Debêntures</w:t>
            </w:r>
            <w:r w:rsidR="00BC6428" w:rsidRPr="00C6089D">
              <w:rPr>
                <w:rFonts w:ascii="Calibri" w:hAnsi="Calibri" w:cs="Calibri"/>
                <w:sz w:val="24"/>
              </w:rPr>
              <w:t>, na Data de Emissão,</w:t>
            </w:r>
            <w:r w:rsidRPr="00C6089D">
              <w:rPr>
                <w:rFonts w:ascii="Calibri" w:hAnsi="Calibri" w:cs="Calibri"/>
                <w:sz w:val="24"/>
              </w:rPr>
              <w:t xml:space="preserve"> será de R$</w:t>
            </w:r>
            <w:r w:rsidR="003865B9" w:rsidRPr="00C6089D">
              <w:rPr>
                <w:rFonts w:ascii="Calibri" w:hAnsi="Calibri" w:cs="Calibri"/>
                <w:sz w:val="24"/>
              </w:rPr>
              <w:t>1.000,00</w:t>
            </w:r>
            <w:r w:rsidRPr="00C6089D">
              <w:rPr>
                <w:rFonts w:ascii="Calibri" w:hAnsi="Calibri" w:cs="Calibri"/>
                <w:sz w:val="24"/>
              </w:rPr>
              <w:t xml:space="preserve"> (</w:t>
            </w:r>
            <w:r w:rsidR="003865B9" w:rsidRPr="00C6089D">
              <w:rPr>
                <w:rFonts w:ascii="Calibri" w:hAnsi="Calibri" w:cs="Calibri"/>
                <w:sz w:val="24"/>
              </w:rPr>
              <w:t>mil</w:t>
            </w:r>
            <w:r w:rsidR="000739FA" w:rsidRPr="00C6089D">
              <w:rPr>
                <w:rFonts w:ascii="Calibri" w:hAnsi="Calibri" w:cs="Calibri"/>
                <w:sz w:val="24"/>
              </w:rPr>
              <w:t xml:space="preserve"> </w:t>
            </w:r>
            <w:r w:rsidRPr="00C6089D">
              <w:rPr>
                <w:rFonts w:ascii="Calibri" w:hAnsi="Calibri" w:cs="Calibri"/>
                <w:sz w:val="24"/>
              </w:rPr>
              <w:t>reais).</w:t>
            </w:r>
          </w:p>
        </w:tc>
      </w:tr>
      <w:tr w:rsidR="00720C65" w:rsidRPr="00365D60" w14:paraId="2DA09CC4" w14:textId="77777777" w:rsidTr="009955CC">
        <w:trPr>
          <w:jc w:val="center"/>
        </w:trPr>
        <w:tc>
          <w:tcPr>
            <w:tcW w:w="3119" w:type="dxa"/>
          </w:tcPr>
          <w:p w14:paraId="3F6CBAF5" w14:textId="639C82A8" w:rsidR="00371CD5" w:rsidRPr="00C6089D" w:rsidRDefault="00371CD5" w:rsidP="00AB0823">
            <w:pPr>
              <w:pStyle w:val="Body"/>
              <w:jc w:val="left"/>
              <w:rPr>
                <w:rFonts w:ascii="Calibri" w:hAnsi="Calibri" w:cs="Calibri"/>
                <w:b/>
                <w:sz w:val="24"/>
              </w:rPr>
            </w:pPr>
            <w:bookmarkStart w:id="12" w:name="_Toc428328018"/>
            <w:r w:rsidRPr="00C6089D">
              <w:rPr>
                <w:rFonts w:ascii="Calibri" w:hAnsi="Calibri" w:cs="Calibri"/>
                <w:b/>
                <w:sz w:val="24"/>
              </w:rPr>
              <w:t>Data de Emissão</w:t>
            </w:r>
            <w:bookmarkEnd w:id="12"/>
          </w:p>
        </w:tc>
        <w:tc>
          <w:tcPr>
            <w:tcW w:w="5611" w:type="dxa"/>
          </w:tcPr>
          <w:p w14:paraId="494D180E" w14:textId="1A4E78F5" w:rsidR="00371CD5" w:rsidRPr="00C6089D" w:rsidRDefault="008D456A" w:rsidP="00F31993">
            <w:pPr>
              <w:pStyle w:val="Body"/>
              <w:rPr>
                <w:rFonts w:ascii="Calibri" w:hAnsi="Calibri" w:cs="Calibri"/>
                <w:sz w:val="24"/>
              </w:rPr>
            </w:pPr>
            <w:r w:rsidRPr="00C6089D">
              <w:rPr>
                <w:rFonts w:ascii="Calibri" w:hAnsi="Calibri" w:cs="Calibri"/>
                <w:sz w:val="24"/>
              </w:rPr>
              <w:t xml:space="preserve">Para todos os fins e efeitos legais, a data de emissão das Debêntures é 15 de </w:t>
            </w:r>
            <w:r w:rsidR="00B27FD0" w:rsidRPr="00365D60">
              <w:rPr>
                <w:rFonts w:ascii="Calibri" w:hAnsi="Calibri" w:cs="Calibri"/>
                <w:sz w:val="24"/>
              </w:rPr>
              <w:t>janeiro</w:t>
            </w:r>
            <w:r w:rsidR="00F31993" w:rsidRPr="00C6089D">
              <w:rPr>
                <w:rFonts w:ascii="Calibri" w:hAnsi="Calibri" w:cs="Calibri"/>
                <w:sz w:val="24"/>
              </w:rPr>
              <w:t xml:space="preserve"> </w:t>
            </w:r>
            <w:r w:rsidRPr="00C6089D">
              <w:rPr>
                <w:rFonts w:ascii="Calibri" w:hAnsi="Calibri" w:cs="Calibri"/>
                <w:sz w:val="24"/>
              </w:rPr>
              <w:t xml:space="preserve">de </w:t>
            </w:r>
            <w:r w:rsidRPr="00365D60">
              <w:rPr>
                <w:rFonts w:ascii="Calibri" w:hAnsi="Calibri" w:cs="Calibri"/>
                <w:sz w:val="24"/>
              </w:rPr>
              <w:t>20</w:t>
            </w:r>
            <w:r w:rsidR="00B27FD0" w:rsidRPr="00365D60">
              <w:rPr>
                <w:rFonts w:ascii="Calibri" w:hAnsi="Calibri" w:cs="Calibri"/>
                <w:sz w:val="24"/>
              </w:rPr>
              <w:t>22</w:t>
            </w:r>
            <w:r w:rsidRPr="00C6089D">
              <w:rPr>
                <w:rFonts w:ascii="Calibri" w:hAnsi="Calibri" w:cs="Calibri"/>
                <w:sz w:val="24"/>
              </w:rPr>
              <w:t>.</w:t>
            </w:r>
          </w:p>
        </w:tc>
      </w:tr>
      <w:tr w:rsidR="00720C65" w:rsidRPr="00365D60" w14:paraId="531D93C2" w14:textId="77777777" w:rsidTr="009955CC">
        <w:trPr>
          <w:jc w:val="center"/>
        </w:trPr>
        <w:tc>
          <w:tcPr>
            <w:tcW w:w="3119" w:type="dxa"/>
          </w:tcPr>
          <w:p w14:paraId="05AAD037" w14:textId="77777777" w:rsidR="00371CD5" w:rsidRPr="00C6089D" w:rsidRDefault="00371CD5" w:rsidP="00AB0823">
            <w:pPr>
              <w:pStyle w:val="Body"/>
              <w:jc w:val="left"/>
              <w:rPr>
                <w:rFonts w:ascii="Calibri" w:hAnsi="Calibri" w:cs="Calibri"/>
                <w:b/>
                <w:sz w:val="24"/>
              </w:rPr>
            </w:pPr>
            <w:r w:rsidRPr="00C6089D">
              <w:rPr>
                <w:rFonts w:ascii="Calibri" w:hAnsi="Calibri" w:cs="Calibri"/>
                <w:b/>
                <w:sz w:val="24"/>
              </w:rPr>
              <w:t>Destinação dos Recursos</w:t>
            </w:r>
          </w:p>
        </w:tc>
        <w:tc>
          <w:tcPr>
            <w:tcW w:w="5611" w:type="dxa"/>
          </w:tcPr>
          <w:p w14:paraId="4E4F0995" w14:textId="0665A539" w:rsidR="009E7F9A" w:rsidRDefault="009E332C" w:rsidP="00945B8F">
            <w:pPr>
              <w:pStyle w:val="Body"/>
              <w:spacing w:line="240" w:lineRule="auto"/>
              <w:rPr>
                <w:rFonts w:ascii="Calibri" w:hAnsi="Calibri" w:cs="Calibri"/>
                <w:sz w:val="24"/>
              </w:rPr>
            </w:pPr>
            <w:r w:rsidRPr="00C6089D">
              <w:rPr>
                <w:rFonts w:ascii="Calibri" w:hAnsi="Calibri" w:cs="Calibri"/>
                <w:sz w:val="24"/>
              </w:rPr>
              <w:t>Nos termos do artigo 2º da Lei 12.431, do Decreto 8.874</w:t>
            </w:r>
            <w:r w:rsidR="00B27FD0" w:rsidRPr="00C6089D">
              <w:rPr>
                <w:rFonts w:ascii="Calibri" w:hAnsi="Calibri" w:cs="Calibri"/>
                <w:sz w:val="24"/>
              </w:rPr>
              <w:t xml:space="preserve"> e </w:t>
            </w:r>
            <w:r w:rsidR="00B27FD0" w:rsidRPr="00365D60">
              <w:rPr>
                <w:rFonts w:ascii="Calibri" w:hAnsi="Calibri" w:cs="Calibri"/>
                <w:sz w:val="24"/>
              </w:rPr>
              <w:t>das Portarias do Ministério de Minas e Energia</w:t>
            </w:r>
            <w:r w:rsidRPr="00C6089D">
              <w:rPr>
                <w:rFonts w:ascii="Calibri" w:hAnsi="Calibri" w:cs="Calibri"/>
                <w:sz w:val="24"/>
              </w:rPr>
              <w:t xml:space="preserve">, a totalidade dos recursos líquidos captados pela Emissora por meio da colocação de Debêntures </w:t>
            </w:r>
            <w:r w:rsidR="00BB7337" w:rsidRPr="00C6089D">
              <w:rPr>
                <w:rFonts w:ascii="Calibri" w:hAnsi="Calibri" w:cs="Calibri"/>
                <w:sz w:val="24"/>
              </w:rPr>
              <w:t>será utilizada</w:t>
            </w:r>
            <w:r w:rsidRPr="00C6089D">
              <w:rPr>
                <w:rFonts w:ascii="Calibri" w:hAnsi="Calibri" w:cs="Calibri"/>
                <w:sz w:val="24"/>
              </w:rPr>
              <w:t xml:space="preserve"> exclusivamente para os Projetos</w:t>
            </w:r>
            <w:r w:rsidR="00B27FD0" w:rsidRPr="00365D60">
              <w:rPr>
                <w:rFonts w:ascii="Calibri" w:hAnsi="Calibri" w:cs="Calibri"/>
                <w:sz w:val="24"/>
              </w:rPr>
              <w:t xml:space="preserve"> do Ministério de Minas e Energia</w:t>
            </w:r>
            <w:r w:rsidRPr="00C6089D">
              <w:rPr>
                <w:rFonts w:ascii="Calibri" w:hAnsi="Calibri" w:cs="Calibri"/>
                <w:sz w:val="24"/>
              </w:rPr>
              <w:t>, conforme detalhados abaixo:</w:t>
            </w:r>
          </w:p>
          <w:p w14:paraId="1727F7CE" w14:textId="719E3D12" w:rsidR="009E332C" w:rsidRPr="00365D60" w:rsidRDefault="00B27FD0" w:rsidP="00A6300A">
            <w:pPr>
              <w:pStyle w:val="Level4"/>
              <w:numPr>
                <w:ilvl w:val="3"/>
                <w:numId w:val="46"/>
              </w:numPr>
              <w:tabs>
                <w:tab w:val="clear" w:pos="2041"/>
                <w:tab w:val="num" w:pos="652"/>
              </w:tabs>
              <w:ind w:left="652" w:hanging="652"/>
              <w:rPr>
                <w:rFonts w:ascii="Calibri" w:hAnsi="Calibri" w:cs="Calibri"/>
                <w:b/>
                <w:sz w:val="24"/>
              </w:rPr>
            </w:pPr>
            <w:r w:rsidRPr="00365D60">
              <w:rPr>
                <w:rFonts w:ascii="Calibri" w:hAnsi="Calibri" w:cs="Calibri"/>
                <w:b/>
                <w:sz w:val="24"/>
              </w:rPr>
              <w:lastRenderedPageBreak/>
              <w:t>Portaria nº 21, de 04 de maio de 2021</w:t>
            </w:r>
            <w:r w:rsidR="009E332C" w:rsidRPr="00365D60">
              <w:rPr>
                <w:rFonts w:ascii="Calibri" w:hAnsi="Calibri" w:cs="Calibri"/>
                <w:b/>
                <w:sz w:val="24"/>
              </w:rPr>
              <w:t>:</w:t>
            </w:r>
          </w:p>
          <w:p w14:paraId="735A66B6" w14:textId="69AAB91D" w:rsidR="009E332C" w:rsidRPr="00365D60" w:rsidRDefault="00B27FD0" w:rsidP="00A6300A">
            <w:pPr>
              <w:pStyle w:val="Level5"/>
              <w:numPr>
                <w:ilvl w:val="4"/>
                <w:numId w:val="46"/>
              </w:numPr>
              <w:tabs>
                <w:tab w:val="clear" w:pos="2721"/>
                <w:tab w:val="num" w:pos="1219"/>
              </w:tabs>
              <w:ind w:left="1219" w:hanging="567"/>
              <w:rPr>
                <w:rFonts w:ascii="Calibri" w:hAnsi="Calibri" w:cs="Calibri"/>
                <w:sz w:val="24"/>
              </w:rPr>
            </w:pPr>
            <w:r w:rsidRPr="00365D60">
              <w:rPr>
                <w:rFonts w:ascii="Calibri" w:hAnsi="Calibri" w:cs="Calibri"/>
                <w:kern w:val="20"/>
                <w:sz w:val="24"/>
              </w:rPr>
              <w:t xml:space="preserve">Objetivo do Projeto </w:t>
            </w:r>
            <w:proofErr w:type="spellStart"/>
            <w:r w:rsidRPr="00365D60">
              <w:rPr>
                <w:rFonts w:ascii="Calibri" w:hAnsi="Calibri" w:cs="Calibri"/>
                <w:kern w:val="20"/>
                <w:sz w:val="24"/>
              </w:rPr>
              <w:t>Capex</w:t>
            </w:r>
            <w:proofErr w:type="spellEnd"/>
            <w:r w:rsidRPr="00365D60">
              <w:rPr>
                <w:rFonts w:ascii="Calibri" w:hAnsi="Calibri" w:cs="Calibri"/>
                <w:kern w:val="20"/>
                <w:sz w:val="24"/>
              </w:rPr>
              <w:t xml:space="preserve"> Boa Vista: projeto de investimento na atividade de produção e estocagem de biocombustíveis e da sua biomassa denominado “</w:t>
            </w:r>
            <w:proofErr w:type="spellStart"/>
            <w:r w:rsidRPr="00365D60">
              <w:rPr>
                <w:rFonts w:ascii="Calibri" w:hAnsi="Calibri" w:cs="Calibri"/>
                <w:kern w:val="20"/>
                <w:sz w:val="24"/>
              </w:rPr>
              <w:t>Capex</w:t>
            </w:r>
            <w:proofErr w:type="spellEnd"/>
            <w:r w:rsidRPr="00365D60">
              <w:rPr>
                <w:rFonts w:ascii="Calibri" w:hAnsi="Calibri" w:cs="Calibri"/>
                <w:kern w:val="20"/>
                <w:sz w:val="24"/>
              </w:rPr>
              <w:t xml:space="preserve"> de Manutenção e Melhoria Operacional para produção de biocombustível na Usina Boa Vista” (“</w:t>
            </w:r>
            <w:r w:rsidRPr="00365D60">
              <w:rPr>
                <w:rFonts w:ascii="Calibri" w:hAnsi="Calibri" w:cs="Calibri"/>
                <w:kern w:val="20"/>
                <w:sz w:val="24"/>
                <w:u w:val="single"/>
              </w:rPr>
              <w:t xml:space="preserve">Projeto </w:t>
            </w:r>
            <w:proofErr w:type="spellStart"/>
            <w:r w:rsidRPr="00365D60">
              <w:rPr>
                <w:rFonts w:ascii="Calibri" w:hAnsi="Calibri" w:cs="Calibri"/>
                <w:kern w:val="20"/>
                <w:sz w:val="24"/>
                <w:u w:val="single"/>
              </w:rPr>
              <w:t>Capex</w:t>
            </w:r>
            <w:proofErr w:type="spellEnd"/>
            <w:r w:rsidRPr="00365D60">
              <w:rPr>
                <w:rFonts w:ascii="Calibri" w:hAnsi="Calibri" w:cs="Calibri"/>
                <w:kern w:val="20"/>
                <w:sz w:val="24"/>
                <w:u w:val="single"/>
              </w:rPr>
              <w:t xml:space="preserve"> Boa Vista</w:t>
            </w:r>
            <w:r w:rsidRPr="00365D60">
              <w:rPr>
                <w:rFonts w:ascii="Calibri" w:hAnsi="Calibri" w:cs="Calibri"/>
                <w:kern w:val="20"/>
                <w:sz w:val="24"/>
              </w:rPr>
              <w:t>”);</w:t>
            </w:r>
          </w:p>
          <w:p w14:paraId="7CC0DA82" w14:textId="29027BED" w:rsidR="00B27FD0" w:rsidRPr="00365D60" w:rsidRDefault="00B27FD0" w:rsidP="00A6300A">
            <w:pPr>
              <w:pStyle w:val="Level5"/>
              <w:numPr>
                <w:ilvl w:val="4"/>
                <w:numId w:val="46"/>
              </w:numPr>
              <w:tabs>
                <w:tab w:val="clear" w:pos="2721"/>
                <w:tab w:val="num" w:pos="1219"/>
              </w:tabs>
              <w:ind w:left="1219" w:hanging="567"/>
              <w:rPr>
                <w:rFonts w:ascii="Calibri" w:hAnsi="Calibri" w:cs="Calibri"/>
                <w:sz w:val="24"/>
              </w:rPr>
            </w:pPr>
            <w:r w:rsidRPr="00365D60">
              <w:rPr>
                <w:rFonts w:ascii="Calibri" w:hAnsi="Calibri" w:cs="Calibri"/>
                <w:sz w:val="24"/>
              </w:rPr>
              <w:t xml:space="preserve">Data estimada para início do Projeto </w:t>
            </w:r>
            <w:proofErr w:type="spellStart"/>
            <w:r w:rsidRPr="00365D60">
              <w:rPr>
                <w:rFonts w:ascii="Calibri" w:hAnsi="Calibri" w:cs="Calibri"/>
                <w:sz w:val="24"/>
              </w:rPr>
              <w:t>Capex</w:t>
            </w:r>
            <w:proofErr w:type="spellEnd"/>
            <w:r w:rsidRPr="00365D60">
              <w:rPr>
                <w:rFonts w:ascii="Calibri" w:hAnsi="Calibri" w:cs="Calibri"/>
                <w:sz w:val="24"/>
              </w:rPr>
              <w:t xml:space="preserve"> Boa Vista: 01 de abril de 2021;</w:t>
            </w:r>
          </w:p>
          <w:p w14:paraId="0812EC48" w14:textId="4B6C91FB" w:rsidR="00B27FD0" w:rsidRPr="00365D60" w:rsidRDefault="00B27FD0" w:rsidP="00A6300A">
            <w:pPr>
              <w:pStyle w:val="Level5"/>
              <w:numPr>
                <w:ilvl w:val="4"/>
                <w:numId w:val="46"/>
              </w:numPr>
              <w:tabs>
                <w:tab w:val="clear" w:pos="2721"/>
                <w:tab w:val="num" w:pos="1219"/>
              </w:tabs>
              <w:ind w:left="1219" w:hanging="567"/>
              <w:rPr>
                <w:rFonts w:ascii="Calibri" w:hAnsi="Calibri" w:cs="Calibri"/>
                <w:sz w:val="24"/>
              </w:rPr>
            </w:pPr>
            <w:r w:rsidRPr="00365D60">
              <w:rPr>
                <w:rFonts w:ascii="Calibri" w:hAnsi="Calibri" w:cs="Calibri"/>
                <w:bCs/>
                <w:sz w:val="24"/>
              </w:rPr>
              <w:t xml:space="preserve">Fase atual do Projeto </w:t>
            </w:r>
            <w:proofErr w:type="spellStart"/>
            <w:r w:rsidRPr="00365D60">
              <w:rPr>
                <w:rFonts w:ascii="Calibri" w:hAnsi="Calibri" w:cs="Calibri"/>
                <w:bCs/>
                <w:sz w:val="24"/>
              </w:rPr>
              <w:t>Capex</w:t>
            </w:r>
            <w:proofErr w:type="spellEnd"/>
            <w:r w:rsidRPr="00365D60">
              <w:rPr>
                <w:rFonts w:ascii="Calibri" w:hAnsi="Calibri" w:cs="Calibri"/>
                <w:bCs/>
                <w:sz w:val="24"/>
              </w:rPr>
              <w:t xml:space="preserve"> Boa Vista: </w:t>
            </w:r>
            <w:r w:rsidRPr="00365D60">
              <w:rPr>
                <w:rFonts w:ascii="Calibri" w:hAnsi="Calibri" w:cs="Calibri"/>
                <w:sz w:val="24"/>
              </w:rPr>
              <w:t xml:space="preserve">o Projeto </w:t>
            </w:r>
            <w:proofErr w:type="spellStart"/>
            <w:r w:rsidRPr="00365D60">
              <w:rPr>
                <w:rFonts w:ascii="Calibri" w:hAnsi="Calibri" w:cs="Calibri"/>
                <w:sz w:val="24"/>
              </w:rPr>
              <w:t>Capex</w:t>
            </w:r>
            <w:proofErr w:type="spellEnd"/>
            <w:r w:rsidRPr="00365D60">
              <w:rPr>
                <w:rFonts w:ascii="Calibri" w:hAnsi="Calibri" w:cs="Calibri"/>
                <w:sz w:val="24"/>
              </w:rPr>
              <w:t xml:space="preserve"> Boa Vista encontra-se na fase de </w:t>
            </w:r>
            <w:r w:rsidR="00316683">
              <w:rPr>
                <w:rFonts w:ascii="Calibri" w:hAnsi="Calibri" w:cs="Calibri"/>
                <w:sz w:val="24"/>
              </w:rPr>
              <w:t>execução</w:t>
            </w:r>
            <w:r w:rsidRPr="00365D60">
              <w:rPr>
                <w:rFonts w:ascii="Calibri" w:hAnsi="Calibri" w:cs="Calibri"/>
                <w:bCs/>
                <w:sz w:val="24"/>
              </w:rPr>
              <w:t>;</w:t>
            </w:r>
          </w:p>
          <w:p w14:paraId="5F4BD183" w14:textId="7BA73F3E" w:rsidR="00B27FD0" w:rsidRPr="00365D60" w:rsidRDefault="00B27FD0" w:rsidP="00A6300A">
            <w:pPr>
              <w:pStyle w:val="Level5"/>
              <w:numPr>
                <w:ilvl w:val="4"/>
                <w:numId w:val="46"/>
              </w:numPr>
              <w:tabs>
                <w:tab w:val="clear" w:pos="2721"/>
                <w:tab w:val="num" w:pos="1219"/>
              </w:tabs>
              <w:ind w:left="1219" w:hanging="567"/>
              <w:rPr>
                <w:rFonts w:ascii="Calibri" w:hAnsi="Calibri" w:cs="Calibri"/>
                <w:sz w:val="24"/>
              </w:rPr>
            </w:pPr>
            <w:r w:rsidRPr="00365D60">
              <w:rPr>
                <w:rFonts w:ascii="Calibri" w:hAnsi="Calibri" w:cs="Calibri"/>
                <w:sz w:val="24"/>
              </w:rPr>
              <w:t xml:space="preserve">Data estimada para encerramento do Projeto </w:t>
            </w:r>
            <w:proofErr w:type="spellStart"/>
            <w:r w:rsidRPr="00365D60">
              <w:rPr>
                <w:rFonts w:ascii="Calibri" w:hAnsi="Calibri" w:cs="Calibri"/>
                <w:sz w:val="24"/>
              </w:rPr>
              <w:t>Capex</w:t>
            </w:r>
            <w:proofErr w:type="spellEnd"/>
            <w:r w:rsidRPr="00365D60">
              <w:rPr>
                <w:rFonts w:ascii="Calibri" w:hAnsi="Calibri" w:cs="Calibri"/>
                <w:sz w:val="24"/>
              </w:rPr>
              <w:t xml:space="preserve"> Boa Vista: 22 de novembro de 2023;</w:t>
            </w:r>
          </w:p>
          <w:p w14:paraId="5A3223AF" w14:textId="4E3BB6A9" w:rsidR="00B27FD0" w:rsidRPr="00C6089D" w:rsidRDefault="00B27FD0" w:rsidP="00A6300A">
            <w:pPr>
              <w:pStyle w:val="Level5"/>
              <w:numPr>
                <w:ilvl w:val="4"/>
                <w:numId w:val="46"/>
              </w:numPr>
              <w:tabs>
                <w:tab w:val="clear" w:pos="2721"/>
                <w:tab w:val="num" w:pos="1219"/>
              </w:tabs>
              <w:ind w:left="1219" w:hanging="567"/>
              <w:rPr>
                <w:rFonts w:ascii="Calibri" w:hAnsi="Calibri" w:cs="Calibri"/>
                <w:sz w:val="24"/>
              </w:rPr>
            </w:pPr>
            <w:r w:rsidRPr="00C6089D">
              <w:rPr>
                <w:rFonts w:ascii="Calibri" w:hAnsi="Calibri" w:cs="Calibri"/>
                <w:sz w:val="24"/>
              </w:rPr>
              <w:t xml:space="preserve">Volume estimado de recursos financeiros necessários para a realização do Projeto </w:t>
            </w:r>
            <w:proofErr w:type="spellStart"/>
            <w:r w:rsidRPr="00365D60">
              <w:rPr>
                <w:rFonts w:ascii="Calibri" w:hAnsi="Calibri" w:cs="Calibri"/>
                <w:sz w:val="24"/>
              </w:rPr>
              <w:t>Capex</w:t>
            </w:r>
            <w:proofErr w:type="spellEnd"/>
            <w:r w:rsidRPr="00365D60">
              <w:rPr>
                <w:rFonts w:ascii="Calibri" w:hAnsi="Calibri" w:cs="Calibri"/>
                <w:sz w:val="24"/>
              </w:rPr>
              <w:t xml:space="preserve"> Boa Vista</w:t>
            </w:r>
            <w:r w:rsidRPr="00C6089D">
              <w:rPr>
                <w:rFonts w:ascii="Calibri" w:hAnsi="Calibri" w:cs="Calibri"/>
                <w:sz w:val="24"/>
              </w:rPr>
              <w:t>: R$ </w:t>
            </w:r>
            <w:r w:rsidRPr="00365D60">
              <w:rPr>
                <w:rFonts w:ascii="Calibri" w:hAnsi="Calibri" w:cs="Calibri"/>
                <w:sz w:val="24"/>
              </w:rPr>
              <w:t>500</w:t>
            </w:r>
            <w:r w:rsidRPr="00C6089D">
              <w:rPr>
                <w:rFonts w:ascii="Calibri" w:hAnsi="Calibri" w:cs="Calibri"/>
                <w:sz w:val="24"/>
              </w:rPr>
              <w:t>.000.000,00</w:t>
            </w:r>
            <w:r w:rsidRPr="00365D60">
              <w:rPr>
                <w:rFonts w:ascii="Calibri" w:hAnsi="Calibri" w:cs="Calibri"/>
                <w:sz w:val="24"/>
              </w:rPr>
              <w:t xml:space="preserve"> (quinhentos milhões de reais);</w:t>
            </w:r>
          </w:p>
          <w:p w14:paraId="140AA721" w14:textId="4340CE4B" w:rsidR="00B27FD0" w:rsidRPr="00365D60" w:rsidRDefault="00B27FD0" w:rsidP="00A6300A">
            <w:pPr>
              <w:pStyle w:val="Level5"/>
              <w:numPr>
                <w:ilvl w:val="4"/>
                <w:numId w:val="46"/>
              </w:numPr>
              <w:tabs>
                <w:tab w:val="clear" w:pos="2721"/>
                <w:tab w:val="num" w:pos="1219"/>
              </w:tabs>
              <w:ind w:left="1219" w:hanging="567"/>
              <w:rPr>
                <w:rFonts w:ascii="Calibri" w:hAnsi="Calibri" w:cs="Calibri"/>
                <w:sz w:val="24"/>
              </w:rPr>
            </w:pPr>
            <w:r w:rsidRPr="00365D60">
              <w:rPr>
                <w:rFonts w:ascii="Calibri" w:hAnsi="Calibri" w:cs="Calibri"/>
                <w:sz w:val="24"/>
              </w:rPr>
              <w:t xml:space="preserve">Valor da Emissão que será destinado ao Projeto </w:t>
            </w:r>
            <w:proofErr w:type="spellStart"/>
            <w:r w:rsidRPr="00365D60">
              <w:rPr>
                <w:rFonts w:ascii="Calibri" w:hAnsi="Calibri" w:cs="Calibri"/>
                <w:sz w:val="24"/>
              </w:rPr>
              <w:t>Capex</w:t>
            </w:r>
            <w:proofErr w:type="spellEnd"/>
            <w:r w:rsidRPr="00365D60">
              <w:rPr>
                <w:rFonts w:ascii="Calibri" w:hAnsi="Calibri" w:cs="Calibri"/>
                <w:sz w:val="24"/>
              </w:rPr>
              <w:t xml:space="preserve"> Boa Vista: R$ </w:t>
            </w:r>
            <w:r w:rsidR="00316683" w:rsidRPr="00BB2390">
              <w:rPr>
                <w:rFonts w:ascii="Calibri" w:hAnsi="Calibri" w:cs="Calibri"/>
                <w:sz w:val="24"/>
              </w:rPr>
              <w:t>95.443.564,00 (noventa e cinco milhões e quatrocentos e quarenta e três mil e quinhentos e sessenta e quatro reais)</w:t>
            </w:r>
            <w:r w:rsidRPr="00365D60">
              <w:rPr>
                <w:rFonts w:ascii="Calibri" w:hAnsi="Calibri" w:cs="Calibri"/>
                <w:sz w:val="24"/>
              </w:rPr>
              <w:t>;</w:t>
            </w:r>
          </w:p>
          <w:p w14:paraId="4CA71880" w14:textId="51ACF17F" w:rsidR="00B27FD0" w:rsidRPr="00C6089D" w:rsidRDefault="00B27FD0" w:rsidP="00A6300A">
            <w:pPr>
              <w:pStyle w:val="Level5"/>
              <w:numPr>
                <w:ilvl w:val="4"/>
                <w:numId w:val="46"/>
              </w:numPr>
              <w:tabs>
                <w:tab w:val="clear" w:pos="2721"/>
                <w:tab w:val="num" w:pos="1219"/>
              </w:tabs>
              <w:ind w:left="1219" w:hanging="567"/>
              <w:rPr>
                <w:rFonts w:ascii="Calibri" w:hAnsi="Calibri" w:cs="Calibri"/>
                <w:sz w:val="24"/>
              </w:rPr>
            </w:pPr>
            <w:r w:rsidRPr="00365D60">
              <w:rPr>
                <w:rFonts w:ascii="Calibri" w:hAnsi="Calibri" w:cs="Calibri"/>
                <w:sz w:val="24"/>
              </w:rPr>
              <w:t xml:space="preserve">Alocação </w:t>
            </w:r>
            <w:r w:rsidRPr="00C6089D">
              <w:rPr>
                <w:rFonts w:ascii="Calibri" w:hAnsi="Calibri" w:cs="Calibri"/>
                <w:sz w:val="24"/>
              </w:rPr>
              <w:t xml:space="preserve">dos recursos a serem captados </w:t>
            </w:r>
            <w:r w:rsidRPr="00365D60">
              <w:rPr>
                <w:rFonts w:ascii="Calibri" w:hAnsi="Calibri" w:cs="Calibri"/>
                <w:sz w:val="24"/>
              </w:rPr>
              <w:t>por meio da Emissão: plantio de cana-de-açúcar, manutenção de entressafra, novos equipamentos, reposição de equipamentos tratos culturais, gatos ambientais e legais;</w:t>
            </w:r>
          </w:p>
          <w:p w14:paraId="6FEE8827" w14:textId="103013E6" w:rsidR="00B27FD0" w:rsidRPr="00C6089D" w:rsidRDefault="00CA2EAC" w:rsidP="00A6300A">
            <w:pPr>
              <w:pStyle w:val="Level5"/>
              <w:numPr>
                <w:ilvl w:val="4"/>
                <w:numId w:val="46"/>
              </w:numPr>
              <w:tabs>
                <w:tab w:val="clear" w:pos="2721"/>
                <w:tab w:val="num" w:pos="1219"/>
              </w:tabs>
              <w:ind w:left="1219" w:hanging="567"/>
              <w:rPr>
                <w:rFonts w:ascii="Calibri" w:hAnsi="Calibri" w:cs="Calibri"/>
                <w:sz w:val="24"/>
              </w:rPr>
            </w:pPr>
            <w:r w:rsidRPr="00C6089D">
              <w:rPr>
                <w:rFonts w:ascii="Calibri" w:hAnsi="Calibri" w:cs="Calibri"/>
                <w:sz w:val="24"/>
              </w:rPr>
              <w:t xml:space="preserve">Percentual dos recursos </w:t>
            </w:r>
            <w:r w:rsidRPr="00365D60">
              <w:rPr>
                <w:rFonts w:ascii="Calibri" w:hAnsi="Calibri" w:cs="Calibri"/>
                <w:sz w:val="24"/>
              </w:rPr>
              <w:t>financeiros necessários ao</w:t>
            </w:r>
            <w:r w:rsidRPr="00C6089D">
              <w:rPr>
                <w:rFonts w:ascii="Calibri" w:hAnsi="Calibri" w:cs="Calibri"/>
                <w:sz w:val="24"/>
              </w:rPr>
              <w:t xml:space="preserve"> Projeto </w:t>
            </w:r>
            <w:proofErr w:type="spellStart"/>
            <w:r w:rsidRPr="00365D60">
              <w:rPr>
                <w:rFonts w:ascii="Calibri" w:hAnsi="Calibri" w:cs="Calibri"/>
                <w:sz w:val="24"/>
              </w:rPr>
              <w:t>Capex</w:t>
            </w:r>
            <w:proofErr w:type="spellEnd"/>
            <w:r w:rsidRPr="00365D60">
              <w:rPr>
                <w:rFonts w:ascii="Calibri" w:hAnsi="Calibri" w:cs="Calibri"/>
                <w:sz w:val="24"/>
              </w:rPr>
              <w:t xml:space="preserve"> Boa Vista </w:t>
            </w:r>
            <w:r w:rsidRPr="00365D60">
              <w:rPr>
                <w:rFonts w:ascii="Calibri" w:hAnsi="Calibri" w:cs="Calibri"/>
                <w:sz w:val="24"/>
              </w:rPr>
              <w:lastRenderedPageBreak/>
              <w:t>provenientes</w:t>
            </w:r>
            <w:r w:rsidRPr="00C6089D">
              <w:rPr>
                <w:rFonts w:ascii="Calibri" w:hAnsi="Calibri" w:cs="Calibri"/>
                <w:sz w:val="24"/>
              </w:rPr>
              <w:t xml:space="preserve"> da </w:t>
            </w:r>
            <w:r w:rsidRPr="00365D60">
              <w:rPr>
                <w:rFonts w:ascii="Calibri" w:hAnsi="Calibri" w:cs="Calibri"/>
                <w:sz w:val="24"/>
              </w:rPr>
              <w:t xml:space="preserve">Emissão: os recursos provenientes da Emissão correspondem a aproximadamente </w:t>
            </w:r>
            <w:r w:rsidR="00DC29A7" w:rsidRPr="006733A7">
              <w:rPr>
                <w:rFonts w:ascii="Calibri" w:hAnsi="Calibri" w:cs="Calibri"/>
                <w:sz w:val="24"/>
              </w:rPr>
              <w:t>19,10% (dezenove inteiros e dez centésimos por cento</w:t>
            </w:r>
            <w:r w:rsidR="00DC29A7">
              <w:rPr>
                <w:rFonts w:ascii="Calibri" w:hAnsi="Calibri" w:cs="Calibri"/>
                <w:sz w:val="24"/>
              </w:rPr>
              <w:t>)</w:t>
            </w:r>
            <w:r w:rsidR="00316683" w:rsidRPr="00C6089D">
              <w:rPr>
                <w:rFonts w:ascii="Calibri" w:hAnsi="Calibri" w:cs="Calibri"/>
                <w:sz w:val="24"/>
              </w:rPr>
              <w:t xml:space="preserve"> </w:t>
            </w:r>
            <w:r w:rsidRPr="00C6089D">
              <w:rPr>
                <w:rFonts w:ascii="Calibri" w:hAnsi="Calibri" w:cs="Calibri"/>
                <w:sz w:val="24"/>
              </w:rPr>
              <w:t xml:space="preserve">do </w:t>
            </w:r>
            <w:r w:rsidRPr="00365D60">
              <w:rPr>
                <w:rFonts w:ascii="Calibri" w:hAnsi="Calibri" w:cs="Calibri"/>
                <w:sz w:val="24"/>
              </w:rPr>
              <w:t>valor total de recursos financeiros necessários a</w:t>
            </w:r>
            <w:r w:rsidR="0046070F">
              <w:rPr>
                <w:rFonts w:ascii="Calibri" w:hAnsi="Calibri" w:cs="Calibri"/>
                <w:sz w:val="24"/>
              </w:rPr>
              <w:t>o</w:t>
            </w:r>
            <w:r w:rsidRPr="00365D60">
              <w:rPr>
                <w:rFonts w:ascii="Calibri" w:hAnsi="Calibri" w:cs="Calibri"/>
                <w:sz w:val="24"/>
              </w:rPr>
              <w:t xml:space="preserve"> Projeto </w:t>
            </w:r>
            <w:proofErr w:type="spellStart"/>
            <w:r w:rsidRPr="00365D60">
              <w:rPr>
                <w:rFonts w:ascii="Calibri" w:hAnsi="Calibri" w:cs="Calibri"/>
                <w:sz w:val="24"/>
              </w:rPr>
              <w:t>Capex</w:t>
            </w:r>
            <w:proofErr w:type="spellEnd"/>
            <w:r w:rsidRPr="00365D60">
              <w:rPr>
                <w:rFonts w:ascii="Calibri" w:hAnsi="Calibri" w:cs="Calibri"/>
                <w:sz w:val="24"/>
              </w:rPr>
              <w:t xml:space="preserve"> Boa Vista.</w:t>
            </w:r>
          </w:p>
          <w:p w14:paraId="42603443" w14:textId="42EDA156" w:rsidR="009E332C" w:rsidRPr="00C6089D" w:rsidRDefault="00CA2EAC" w:rsidP="006E3D64">
            <w:pPr>
              <w:pStyle w:val="Level4"/>
              <w:widowControl w:val="0"/>
              <w:numPr>
                <w:ilvl w:val="3"/>
                <w:numId w:val="46"/>
              </w:numPr>
              <w:tabs>
                <w:tab w:val="clear" w:pos="2041"/>
                <w:tab w:val="num" w:pos="652"/>
              </w:tabs>
              <w:ind w:left="652" w:hanging="652"/>
              <w:jc w:val="left"/>
              <w:rPr>
                <w:rFonts w:ascii="Calibri" w:hAnsi="Calibri" w:cs="Calibri"/>
                <w:b/>
                <w:sz w:val="24"/>
              </w:rPr>
            </w:pPr>
            <w:r w:rsidRPr="00C6089D">
              <w:rPr>
                <w:rFonts w:ascii="Calibri" w:hAnsi="Calibri" w:cs="Calibri"/>
                <w:b/>
                <w:sz w:val="24"/>
              </w:rPr>
              <w:t xml:space="preserve">Portaria </w:t>
            </w:r>
            <w:r w:rsidRPr="00365D60">
              <w:rPr>
                <w:rFonts w:ascii="Calibri" w:hAnsi="Calibri" w:cs="Calibri"/>
                <w:b/>
                <w:sz w:val="24"/>
              </w:rPr>
              <w:t>nº 35/SPG/</w:t>
            </w:r>
            <w:r w:rsidRPr="00C6089D">
              <w:rPr>
                <w:rFonts w:ascii="Calibri" w:hAnsi="Calibri" w:cs="Calibri"/>
                <w:b/>
                <w:sz w:val="24"/>
              </w:rPr>
              <w:t xml:space="preserve">MME, de </w:t>
            </w:r>
            <w:r w:rsidRPr="00365D60">
              <w:rPr>
                <w:rFonts w:ascii="Calibri" w:hAnsi="Calibri" w:cs="Calibri"/>
                <w:b/>
                <w:sz w:val="24"/>
              </w:rPr>
              <w:t>18</w:t>
            </w:r>
            <w:r w:rsidR="006E3D64">
              <w:rPr>
                <w:rFonts w:ascii="Calibri" w:hAnsi="Calibri" w:cs="Calibri"/>
                <w:b/>
                <w:sz w:val="24"/>
              </w:rPr>
              <w:t xml:space="preserve"> </w:t>
            </w:r>
            <w:r w:rsidRPr="00C6089D">
              <w:rPr>
                <w:rFonts w:ascii="Calibri" w:hAnsi="Calibri" w:cs="Calibri"/>
                <w:b/>
                <w:sz w:val="24"/>
              </w:rPr>
              <w:t>de</w:t>
            </w:r>
            <w:r w:rsidR="006E3D64">
              <w:rPr>
                <w:rFonts w:ascii="Calibri" w:hAnsi="Calibri" w:cs="Calibri"/>
                <w:b/>
                <w:sz w:val="24"/>
              </w:rPr>
              <w:t xml:space="preserve"> </w:t>
            </w:r>
            <w:r w:rsidRPr="00C6089D">
              <w:rPr>
                <w:rFonts w:ascii="Calibri" w:hAnsi="Calibri" w:cs="Calibri"/>
                <w:b/>
                <w:sz w:val="24"/>
              </w:rPr>
              <w:t>outubro</w:t>
            </w:r>
            <w:r w:rsidR="006E3D64">
              <w:rPr>
                <w:rFonts w:ascii="Calibri" w:hAnsi="Calibri" w:cs="Calibri"/>
                <w:b/>
                <w:sz w:val="24"/>
              </w:rPr>
              <w:t xml:space="preserve"> </w:t>
            </w:r>
            <w:r w:rsidR="006E3D64">
              <w:rPr>
                <w:rFonts w:ascii="Calibri" w:hAnsi="Calibri" w:cs="Calibri"/>
                <w:b/>
                <w:sz w:val="24"/>
              </w:rPr>
              <w:br/>
            </w:r>
            <w:r w:rsidRPr="00C6089D">
              <w:rPr>
                <w:rFonts w:ascii="Calibri" w:hAnsi="Calibri" w:cs="Calibri"/>
                <w:b/>
                <w:sz w:val="24"/>
              </w:rPr>
              <w:t>de</w:t>
            </w:r>
            <w:r w:rsidR="006E3D64">
              <w:rPr>
                <w:rFonts w:ascii="Calibri" w:hAnsi="Calibri" w:cs="Calibri"/>
                <w:b/>
                <w:sz w:val="24"/>
              </w:rPr>
              <w:t xml:space="preserve"> </w:t>
            </w:r>
            <w:r w:rsidRPr="00365D60">
              <w:rPr>
                <w:rFonts w:ascii="Calibri" w:hAnsi="Calibri" w:cs="Calibri"/>
                <w:b/>
                <w:sz w:val="24"/>
              </w:rPr>
              <w:t>2021</w:t>
            </w:r>
            <w:r w:rsidR="009E332C" w:rsidRPr="00365D60">
              <w:rPr>
                <w:rFonts w:ascii="Calibri" w:hAnsi="Calibri" w:cs="Calibri"/>
                <w:b/>
                <w:sz w:val="24"/>
              </w:rPr>
              <w:t>:</w:t>
            </w:r>
          </w:p>
          <w:p w14:paraId="7FC1C6FA" w14:textId="40A2840B" w:rsidR="009E332C" w:rsidRPr="00365D60" w:rsidRDefault="00CA2EAC" w:rsidP="00A6300A">
            <w:pPr>
              <w:pStyle w:val="Level5"/>
              <w:numPr>
                <w:ilvl w:val="4"/>
                <w:numId w:val="46"/>
              </w:numPr>
              <w:tabs>
                <w:tab w:val="clear" w:pos="2721"/>
                <w:tab w:val="num" w:pos="1219"/>
              </w:tabs>
              <w:ind w:left="1219" w:hanging="567"/>
              <w:rPr>
                <w:rFonts w:ascii="Calibri" w:hAnsi="Calibri" w:cs="Calibri"/>
                <w:sz w:val="24"/>
              </w:rPr>
            </w:pPr>
            <w:r w:rsidRPr="00365D60">
              <w:rPr>
                <w:rFonts w:ascii="Calibri" w:hAnsi="Calibri" w:cs="Calibri"/>
                <w:sz w:val="24"/>
              </w:rPr>
              <w:t xml:space="preserve">Objetivo do Projeto </w:t>
            </w:r>
            <w:proofErr w:type="spellStart"/>
            <w:r w:rsidRPr="00365D60">
              <w:rPr>
                <w:rFonts w:ascii="Calibri" w:hAnsi="Calibri" w:cs="Calibri"/>
                <w:sz w:val="24"/>
              </w:rPr>
              <w:t>Capex</w:t>
            </w:r>
            <w:proofErr w:type="spellEnd"/>
            <w:r w:rsidRPr="00365D60">
              <w:rPr>
                <w:rFonts w:ascii="Calibri" w:hAnsi="Calibri" w:cs="Calibri"/>
                <w:sz w:val="24"/>
              </w:rPr>
              <w:t xml:space="preserve"> Usinas: projeto de investimento na atividade de produção de biocombustíveis e da sua biomassa denominado “</w:t>
            </w:r>
            <w:proofErr w:type="spellStart"/>
            <w:r w:rsidRPr="00365D60">
              <w:rPr>
                <w:rFonts w:ascii="Calibri" w:hAnsi="Calibri" w:cs="Calibri"/>
                <w:sz w:val="24"/>
              </w:rPr>
              <w:t>Capex</w:t>
            </w:r>
            <w:proofErr w:type="spellEnd"/>
            <w:r w:rsidRPr="00365D60">
              <w:rPr>
                <w:rFonts w:ascii="Calibri" w:hAnsi="Calibri" w:cs="Calibri"/>
                <w:sz w:val="24"/>
              </w:rPr>
              <w:t xml:space="preserve"> de manutenção para produção de Biocombustível na Usina São Martinho, Usina Santa Cruz e Usina Iracema” (“</w:t>
            </w:r>
            <w:r w:rsidRPr="00365D60">
              <w:rPr>
                <w:rFonts w:ascii="Calibri" w:hAnsi="Calibri" w:cs="Calibri"/>
                <w:sz w:val="24"/>
                <w:u w:val="single"/>
              </w:rPr>
              <w:t xml:space="preserve">Projeto </w:t>
            </w:r>
            <w:proofErr w:type="spellStart"/>
            <w:r w:rsidRPr="00365D60">
              <w:rPr>
                <w:rFonts w:ascii="Calibri" w:hAnsi="Calibri" w:cs="Calibri"/>
                <w:sz w:val="24"/>
                <w:u w:val="single"/>
              </w:rPr>
              <w:t>Capex</w:t>
            </w:r>
            <w:proofErr w:type="spellEnd"/>
            <w:r w:rsidRPr="00365D60">
              <w:rPr>
                <w:rFonts w:ascii="Calibri" w:hAnsi="Calibri" w:cs="Calibri"/>
                <w:sz w:val="24"/>
                <w:u w:val="single"/>
              </w:rPr>
              <w:t xml:space="preserve"> Usinas</w:t>
            </w:r>
            <w:r w:rsidRPr="00365D60">
              <w:rPr>
                <w:rFonts w:ascii="Calibri" w:hAnsi="Calibri" w:cs="Calibri"/>
                <w:sz w:val="24"/>
              </w:rPr>
              <w:t xml:space="preserve">” e, em conjunto com o Projeto </w:t>
            </w:r>
            <w:proofErr w:type="spellStart"/>
            <w:r w:rsidRPr="00365D60">
              <w:rPr>
                <w:rFonts w:ascii="Calibri" w:hAnsi="Calibri" w:cs="Calibri"/>
                <w:sz w:val="24"/>
              </w:rPr>
              <w:t>Capex</w:t>
            </w:r>
            <w:proofErr w:type="spellEnd"/>
            <w:r w:rsidRPr="00365D60">
              <w:rPr>
                <w:rFonts w:ascii="Calibri" w:hAnsi="Calibri" w:cs="Calibri"/>
                <w:sz w:val="24"/>
              </w:rPr>
              <w:t xml:space="preserve"> Boa Vista, os “</w:t>
            </w:r>
            <w:r w:rsidRPr="00365D60">
              <w:rPr>
                <w:rFonts w:ascii="Calibri" w:hAnsi="Calibri" w:cs="Calibri"/>
                <w:sz w:val="24"/>
                <w:u w:val="single"/>
              </w:rPr>
              <w:t>Projetos de Investimento</w:t>
            </w:r>
            <w:r w:rsidRPr="00365D60">
              <w:rPr>
                <w:rFonts w:ascii="Calibri" w:hAnsi="Calibri" w:cs="Calibri"/>
                <w:sz w:val="24"/>
              </w:rPr>
              <w:t>”);</w:t>
            </w:r>
          </w:p>
          <w:p w14:paraId="47FB6074" w14:textId="7A56BA24" w:rsidR="009E332C" w:rsidRPr="00365D60" w:rsidRDefault="00CA2EAC" w:rsidP="00A6300A">
            <w:pPr>
              <w:pStyle w:val="Level5"/>
              <w:numPr>
                <w:ilvl w:val="4"/>
                <w:numId w:val="46"/>
              </w:numPr>
              <w:tabs>
                <w:tab w:val="clear" w:pos="2721"/>
                <w:tab w:val="num" w:pos="1219"/>
              </w:tabs>
              <w:ind w:left="1219" w:hanging="567"/>
              <w:rPr>
                <w:rFonts w:ascii="Calibri" w:hAnsi="Calibri" w:cs="Calibri"/>
                <w:sz w:val="24"/>
              </w:rPr>
            </w:pPr>
            <w:r w:rsidRPr="00C6089D">
              <w:rPr>
                <w:rFonts w:ascii="Calibri" w:hAnsi="Calibri" w:cs="Calibri"/>
                <w:sz w:val="24"/>
              </w:rPr>
              <w:t xml:space="preserve">Data </w:t>
            </w:r>
            <w:r w:rsidRPr="00365D60">
              <w:rPr>
                <w:rFonts w:ascii="Calibri" w:hAnsi="Calibri" w:cs="Calibri"/>
                <w:sz w:val="24"/>
              </w:rPr>
              <w:t xml:space="preserve">estimada para início do Projeto </w:t>
            </w:r>
            <w:proofErr w:type="spellStart"/>
            <w:r w:rsidRPr="00365D60">
              <w:rPr>
                <w:rFonts w:ascii="Calibri" w:hAnsi="Calibri" w:cs="Calibri"/>
                <w:sz w:val="24"/>
              </w:rPr>
              <w:t>Capex</w:t>
            </w:r>
            <w:proofErr w:type="spellEnd"/>
            <w:r w:rsidRPr="00365D60">
              <w:rPr>
                <w:rFonts w:ascii="Calibri" w:hAnsi="Calibri" w:cs="Calibri"/>
                <w:sz w:val="24"/>
              </w:rPr>
              <w:t xml:space="preserve"> Usinas: </w:t>
            </w:r>
            <w:r w:rsidR="00316683">
              <w:rPr>
                <w:rFonts w:ascii="Calibri" w:hAnsi="Calibri" w:cs="Calibri"/>
                <w:sz w:val="24"/>
              </w:rPr>
              <w:t>01 de abril de 2021</w:t>
            </w:r>
            <w:r w:rsidRPr="00365D60">
              <w:rPr>
                <w:rFonts w:ascii="Calibri" w:hAnsi="Calibri" w:cs="Calibri"/>
                <w:sz w:val="24"/>
              </w:rPr>
              <w:t>;</w:t>
            </w:r>
          </w:p>
          <w:p w14:paraId="11B010E5" w14:textId="0858C851" w:rsidR="009E332C" w:rsidRPr="00C6089D" w:rsidRDefault="00CA2EAC" w:rsidP="00A6300A">
            <w:pPr>
              <w:pStyle w:val="Level5"/>
              <w:numPr>
                <w:ilvl w:val="4"/>
                <w:numId w:val="46"/>
              </w:numPr>
              <w:tabs>
                <w:tab w:val="clear" w:pos="2721"/>
                <w:tab w:val="num" w:pos="1219"/>
              </w:tabs>
              <w:ind w:left="1219" w:hanging="567"/>
              <w:rPr>
                <w:rFonts w:ascii="Calibri" w:hAnsi="Calibri" w:cs="Calibri"/>
                <w:sz w:val="24"/>
              </w:rPr>
            </w:pPr>
            <w:r w:rsidRPr="00365D60">
              <w:rPr>
                <w:rFonts w:ascii="Calibri" w:hAnsi="Calibri" w:cs="Calibri"/>
                <w:sz w:val="24"/>
              </w:rPr>
              <w:t>Fase atual</w:t>
            </w:r>
            <w:r w:rsidRPr="00C6089D">
              <w:rPr>
                <w:rFonts w:ascii="Calibri" w:hAnsi="Calibri" w:cs="Calibri"/>
                <w:sz w:val="24"/>
              </w:rPr>
              <w:t xml:space="preserve"> do Projeto </w:t>
            </w:r>
            <w:proofErr w:type="spellStart"/>
            <w:r w:rsidRPr="00365D60">
              <w:rPr>
                <w:rFonts w:ascii="Calibri" w:hAnsi="Calibri" w:cs="Calibri"/>
                <w:sz w:val="24"/>
              </w:rPr>
              <w:t>Capex</w:t>
            </w:r>
            <w:proofErr w:type="spellEnd"/>
            <w:r w:rsidRPr="00365D60">
              <w:rPr>
                <w:rFonts w:ascii="Calibri" w:hAnsi="Calibri" w:cs="Calibri"/>
                <w:sz w:val="24"/>
              </w:rPr>
              <w:t xml:space="preserve"> Usinas: </w:t>
            </w:r>
            <w:r w:rsidR="006D5F5D">
              <w:rPr>
                <w:rFonts w:ascii="Calibri" w:hAnsi="Calibri" w:cs="Calibri"/>
                <w:sz w:val="24"/>
              </w:rPr>
              <w:t xml:space="preserve">O Projeto </w:t>
            </w:r>
            <w:proofErr w:type="spellStart"/>
            <w:r w:rsidR="006D5F5D">
              <w:rPr>
                <w:rFonts w:ascii="Calibri" w:hAnsi="Calibri" w:cs="Calibri"/>
                <w:sz w:val="24"/>
              </w:rPr>
              <w:t>Capex</w:t>
            </w:r>
            <w:proofErr w:type="spellEnd"/>
            <w:r w:rsidR="006D5F5D">
              <w:rPr>
                <w:rFonts w:ascii="Calibri" w:hAnsi="Calibri" w:cs="Calibri"/>
                <w:sz w:val="24"/>
              </w:rPr>
              <w:t xml:space="preserve"> Usinas encontra-se na fase de execução</w:t>
            </w:r>
            <w:r w:rsidRPr="00365D60">
              <w:rPr>
                <w:rFonts w:ascii="Calibri" w:hAnsi="Calibri" w:cs="Calibri"/>
                <w:sz w:val="24"/>
              </w:rPr>
              <w:t>;</w:t>
            </w:r>
            <w:r w:rsidR="009E332C" w:rsidRPr="00365D60">
              <w:rPr>
                <w:rFonts w:ascii="Calibri" w:hAnsi="Calibri" w:cs="Calibri"/>
                <w:sz w:val="24"/>
              </w:rPr>
              <w:t xml:space="preserve"> </w:t>
            </w:r>
          </w:p>
          <w:p w14:paraId="2A84D0FF" w14:textId="39EFBBDA" w:rsidR="009E332C" w:rsidRPr="00365D60" w:rsidRDefault="00CA2EAC" w:rsidP="00A6300A">
            <w:pPr>
              <w:pStyle w:val="Level5"/>
              <w:numPr>
                <w:ilvl w:val="4"/>
                <w:numId w:val="46"/>
              </w:numPr>
              <w:tabs>
                <w:tab w:val="clear" w:pos="2721"/>
                <w:tab w:val="num" w:pos="1219"/>
              </w:tabs>
              <w:ind w:left="1219" w:hanging="567"/>
              <w:rPr>
                <w:rFonts w:ascii="Calibri" w:hAnsi="Calibri" w:cs="Calibri"/>
                <w:sz w:val="24"/>
              </w:rPr>
            </w:pPr>
            <w:r w:rsidRPr="00365D60">
              <w:rPr>
                <w:rFonts w:ascii="Calibri" w:hAnsi="Calibri" w:cs="Calibri"/>
                <w:sz w:val="24"/>
              </w:rPr>
              <w:t xml:space="preserve">Data estimada para encerramento do Projeto </w:t>
            </w:r>
            <w:proofErr w:type="spellStart"/>
            <w:r w:rsidRPr="00365D60">
              <w:rPr>
                <w:rFonts w:ascii="Calibri" w:hAnsi="Calibri" w:cs="Calibri"/>
                <w:sz w:val="24"/>
              </w:rPr>
              <w:t>Capex</w:t>
            </w:r>
            <w:proofErr w:type="spellEnd"/>
            <w:r w:rsidRPr="00365D60">
              <w:rPr>
                <w:rFonts w:ascii="Calibri" w:hAnsi="Calibri" w:cs="Calibri"/>
                <w:sz w:val="24"/>
              </w:rPr>
              <w:t xml:space="preserve"> Usinas: </w:t>
            </w:r>
            <w:r w:rsidR="006D5F5D">
              <w:rPr>
                <w:rFonts w:ascii="Calibri" w:hAnsi="Calibri" w:cs="Calibri"/>
                <w:sz w:val="24"/>
              </w:rPr>
              <w:t>31</w:t>
            </w:r>
            <w:r w:rsidRPr="00365D60">
              <w:rPr>
                <w:rFonts w:ascii="Calibri" w:hAnsi="Calibri" w:cs="Calibri"/>
                <w:sz w:val="24"/>
              </w:rPr>
              <w:t xml:space="preserve"> de março de 2023;</w:t>
            </w:r>
          </w:p>
          <w:p w14:paraId="44529C21" w14:textId="6F837BB6" w:rsidR="009E332C" w:rsidRPr="00C6089D" w:rsidRDefault="00CA2EAC" w:rsidP="00A6300A">
            <w:pPr>
              <w:pStyle w:val="Level5"/>
              <w:numPr>
                <w:ilvl w:val="4"/>
                <w:numId w:val="46"/>
              </w:numPr>
              <w:tabs>
                <w:tab w:val="clear" w:pos="2721"/>
                <w:tab w:val="num" w:pos="1219"/>
              </w:tabs>
              <w:ind w:left="1219" w:hanging="567"/>
              <w:rPr>
                <w:rFonts w:ascii="Calibri" w:hAnsi="Calibri" w:cs="Calibri"/>
                <w:sz w:val="24"/>
              </w:rPr>
            </w:pPr>
            <w:r w:rsidRPr="00C6089D">
              <w:rPr>
                <w:rFonts w:ascii="Calibri" w:hAnsi="Calibri" w:cs="Calibri"/>
                <w:sz w:val="24"/>
              </w:rPr>
              <w:t xml:space="preserve">Volume estimado de recursos financeiros necessários para a realização do Projeto </w:t>
            </w:r>
            <w:proofErr w:type="spellStart"/>
            <w:r w:rsidRPr="00365D60">
              <w:rPr>
                <w:rFonts w:ascii="Calibri" w:hAnsi="Calibri" w:cs="Calibri"/>
                <w:sz w:val="24"/>
              </w:rPr>
              <w:t>Capex</w:t>
            </w:r>
            <w:proofErr w:type="spellEnd"/>
            <w:r w:rsidRPr="00365D60">
              <w:rPr>
                <w:rFonts w:ascii="Calibri" w:hAnsi="Calibri" w:cs="Calibri"/>
                <w:sz w:val="24"/>
              </w:rPr>
              <w:t xml:space="preserve"> Usinas: R$</w:t>
            </w:r>
            <w:r w:rsidR="006D5F5D">
              <w:rPr>
                <w:rFonts w:ascii="Calibri" w:hAnsi="Calibri" w:cs="Calibri"/>
                <w:sz w:val="24"/>
              </w:rPr>
              <w:t> </w:t>
            </w:r>
            <w:r w:rsidR="006D5F5D" w:rsidRPr="00BB2390">
              <w:rPr>
                <w:rFonts w:ascii="Calibri" w:hAnsi="Calibri" w:cs="Calibri"/>
                <w:sz w:val="24"/>
              </w:rPr>
              <w:t>1.104.556.436,00 (um bilhão e cento e quatro milhões e quinhentos e cinquenta e seis mil e quatrocentos e trinta e seis reais)</w:t>
            </w:r>
            <w:r w:rsidRPr="00365D60">
              <w:rPr>
                <w:rFonts w:ascii="Calibri" w:hAnsi="Calibri" w:cs="Calibri"/>
                <w:sz w:val="24"/>
              </w:rPr>
              <w:t>;</w:t>
            </w:r>
          </w:p>
          <w:p w14:paraId="303C817F" w14:textId="5A6FE490" w:rsidR="009E332C" w:rsidRPr="00365D60" w:rsidRDefault="00CA2EAC" w:rsidP="00A6300A">
            <w:pPr>
              <w:pStyle w:val="Level5"/>
              <w:numPr>
                <w:ilvl w:val="4"/>
                <w:numId w:val="46"/>
              </w:numPr>
              <w:tabs>
                <w:tab w:val="clear" w:pos="2721"/>
                <w:tab w:val="num" w:pos="1219"/>
              </w:tabs>
              <w:ind w:left="1219" w:hanging="567"/>
              <w:rPr>
                <w:rFonts w:ascii="Calibri" w:hAnsi="Calibri" w:cs="Calibri"/>
                <w:sz w:val="24"/>
              </w:rPr>
            </w:pPr>
            <w:r w:rsidRPr="00365D60">
              <w:rPr>
                <w:rFonts w:ascii="Calibri" w:hAnsi="Calibri" w:cs="Calibri"/>
                <w:sz w:val="24"/>
              </w:rPr>
              <w:t xml:space="preserve">Valor da Emissão que será destinado ao Projeto </w:t>
            </w:r>
            <w:proofErr w:type="spellStart"/>
            <w:r w:rsidRPr="00365D60">
              <w:rPr>
                <w:rFonts w:ascii="Calibri" w:hAnsi="Calibri" w:cs="Calibri"/>
                <w:sz w:val="24"/>
              </w:rPr>
              <w:t>Capex</w:t>
            </w:r>
            <w:proofErr w:type="spellEnd"/>
            <w:r w:rsidRPr="00365D60">
              <w:rPr>
                <w:rFonts w:ascii="Calibri" w:hAnsi="Calibri" w:cs="Calibri"/>
                <w:sz w:val="24"/>
              </w:rPr>
              <w:t xml:space="preserve"> Usinas: </w:t>
            </w:r>
            <w:bookmarkStart w:id="13" w:name="_Hlk93344540"/>
            <w:r w:rsidRPr="00365D60">
              <w:rPr>
                <w:rFonts w:ascii="Calibri" w:hAnsi="Calibri" w:cs="Calibri"/>
                <w:sz w:val="24"/>
              </w:rPr>
              <w:t>R$ </w:t>
            </w:r>
            <w:r w:rsidR="00DC29A7" w:rsidRPr="00DC29A7">
              <w:rPr>
                <w:rFonts w:ascii="Calibri" w:hAnsi="Calibri" w:cs="Calibri"/>
                <w:sz w:val="24"/>
              </w:rPr>
              <w:t xml:space="preserve">1.104.556.436,00 </w:t>
            </w:r>
            <w:r w:rsidR="006D5F5D" w:rsidRPr="00BB2390">
              <w:rPr>
                <w:rFonts w:ascii="Calibri" w:hAnsi="Calibri" w:cs="Calibri"/>
                <w:sz w:val="24"/>
              </w:rPr>
              <w:t xml:space="preserve"> </w:t>
            </w:r>
            <w:r w:rsidR="006D5F5D" w:rsidRPr="00BB2390">
              <w:rPr>
                <w:rFonts w:ascii="Calibri" w:hAnsi="Calibri" w:cs="Calibri"/>
                <w:sz w:val="24"/>
              </w:rPr>
              <w:lastRenderedPageBreak/>
              <w:t>(</w:t>
            </w:r>
            <w:r w:rsidR="00DC29A7">
              <w:rPr>
                <w:rFonts w:ascii="Calibri" w:hAnsi="Calibri" w:cs="Calibri"/>
                <w:sz w:val="24"/>
              </w:rPr>
              <w:t>um bilhão</w:t>
            </w:r>
            <w:r w:rsidR="00352DDF">
              <w:rPr>
                <w:rFonts w:ascii="Calibri" w:hAnsi="Calibri" w:cs="Calibri"/>
                <w:sz w:val="24"/>
              </w:rPr>
              <w:t xml:space="preserve"> e cento e quatro milhões e quinhentos e cinquenta e seis mil e quatrocentos e trinta e seis reais</w:t>
            </w:r>
            <w:r w:rsidR="006D5F5D" w:rsidRPr="00BB2390">
              <w:rPr>
                <w:rFonts w:ascii="Calibri" w:hAnsi="Calibri" w:cs="Calibri"/>
                <w:sz w:val="24"/>
              </w:rPr>
              <w:t>)</w:t>
            </w:r>
            <w:bookmarkEnd w:id="13"/>
            <w:r w:rsidRPr="00365D60">
              <w:rPr>
                <w:rFonts w:ascii="Calibri" w:hAnsi="Calibri" w:cs="Calibri"/>
                <w:sz w:val="24"/>
              </w:rPr>
              <w:t>;</w:t>
            </w:r>
          </w:p>
          <w:p w14:paraId="26D2FE2E" w14:textId="77777777" w:rsidR="00CA2EAC" w:rsidRPr="00365D60" w:rsidRDefault="00CA2EAC" w:rsidP="00A6300A">
            <w:pPr>
              <w:pStyle w:val="Level5"/>
              <w:numPr>
                <w:ilvl w:val="4"/>
                <w:numId w:val="46"/>
              </w:numPr>
              <w:tabs>
                <w:tab w:val="clear" w:pos="2721"/>
                <w:tab w:val="num" w:pos="1219"/>
              </w:tabs>
              <w:ind w:left="1219" w:hanging="567"/>
              <w:rPr>
                <w:rFonts w:ascii="Calibri" w:hAnsi="Calibri" w:cs="Calibri"/>
                <w:sz w:val="24"/>
              </w:rPr>
            </w:pPr>
            <w:r w:rsidRPr="00365D60">
              <w:rPr>
                <w:rFonts w:ascii="Calibri" w:hAnsi="Calibri" w:cs="Calibri"/>
                <w:sz w:val="24"/>
              </w:rPr>
              <w:t xml:space="preserve">Alocação dos recursos a serem captados por meio da Emissão: manutenção dos canaviais e das indústrias, especificamente </w:t>
            </w:r>
            <w:proofErr w:type="spellStart"/>
            <w:r w:rsidRPr="00365D60">
              <w:rPr>
                <w:rFonts w:ascii="Calibri" w:hAnsi="Calibri" w:cs="Calibri"/>
                <w:sz w:val="24"/>
              </w:rPr>
              <w:t>Capex</w:t>
            </w:r>
            <w:proofErr w:type="spellEnd"/>
            <w:r w:rsidRPr="00365D60">
              <w:rPr>
                <w:rFonts w:ascii="Calibri" w:hAnsi="Calibri" w:cs="Calibri"/>
                <w:sz w:val="24"/>
              </w:rPr>
              <w:t xml:space="preserve">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766D8238" w14:textId="22AA0CF2" w:rsidR="009E332C" w:rsidRPr="00365D60" w:rsidRDefault="00CA2EAC" w:rsidP="00A6300A">
            <w:pPr>
              <w:pStyle w:val="Level5"/>
              <w:numPr>
                <w:ilvl w:val="4"/>
                <w:numId w:val="46"/>
              </w:numPr>
              <w:tabs>
                <w:tab w:val="clear" w:pos="2721"/>
                <w:tab w:val="num" w:pos="1219"/>
              </w:tabs>
              <w:ind w:left="1219" w:hanging="567"/>
              <w:rPr>
                <w:rFonts w:ascii="Calibri" w:hAnsi="Calibri" w:cs="Calibri"/>
                <w:sz w:val="24"/>
              </w:rPr>
            </w:pPr>
            <w:r w:rsidRPr="00365D60">
              <w:rPr>
                <w:rFonts w:ascii="Calibri" w:hAnsi="Calibri" w:cs="Calibri"/>
                <w:sz w:val="24"/>
              </w:rPr>
              <w:t xml:space="preserve">Percentual dos recursos financeiros necessários ao Projeto </w:t>
            </w:r>
            <w:proofErr w:type="spellStart"/>
            <w:r w:rsidRPr="00365D60">
              <w:rPr>
                <w:rFonts w:ascii="Calibri" w:hAnsi="Calibri" w:cs="Calibri"/>
                <w:sz w:val="24"/>
              </w:rPr>
              <w:t>Capex</w:t>
            </w:r>
            <w:proofErr w:type="spellEnd"/>
            <w:r w:rsidRPr="00365D60">
              <w:rPr>
                <w:rFonts w:ascii="Calibri" w:hAnsi="Calibri" w:cs="Calibri"/>
                <w:sz w:val="24"/>
              </w:rPr>
              <w:t xml:space="preserve"> provenientes da Emissão: os recursos provenientes da Emissão correspondem a aproximadamente </w:t>
            </w:r>
            <w:bookmarkStart w:id="14" w:name="_Hlk93344705"/>
            <w:r w:rsidR="00352DDF">
              <w:rPr>
                <w:rFonts w:ascii="Calibri" w:hAnsi="Calibri" w:cs="Calibri"/>
                <w:sz w:val="24"/>
              </w:rPr>
              <w:t xml:space="preserve">100% </w:t>
            </w:r>
            <w:r w:rsidR="00352DDF" w:rsidRPr="00365D60">
              <w:rPr>
                <w:rFonts w:ascii="Calibri" w:hAnsi="Calibri" w:cs="Calibri"/>
                <w:sz w:val="24"/>
              </w:rPr>
              <w:t>(</w:t>
            </w:r>
            <w:r w:rsidR="00352DDF">
              <w:rPr>
                <w:rFonts w:ascii="Calibri" w:hAnsi="Calibri" w:cs="Calibri"/>
                <w:sz w:val="24"/>
              </w:rPr>
              <w:t>cem por cento)</w:t>
            </w:r>
            <w:bookmarkEnd w:id="14"/>
            <w:r w:rsidR="00352DDF" w:rsidRPr="00365D60">
              <w:rPr>
                <w:rFonts w:ascii="Calibri" w:hAnsi="Calibri" w:cs="Calibri"/>
                <w:sz w:val="24"/>
              </w:rPr>
              <w:t xml:space="preserve"> </w:t>
            </w:r>
            <w:r w:rsidRPr="00365D60">
              <w:rPr>
                <w:rFonts w:ascii="Calibri" w:hAnsi="Calibri" w:cs="Calibri"/>
                <w:sz w:val="24"/>
              </w:rPr>
              <w:t>do valor total de recursos financeiros necessários a</w:t>
            </w:r>
            <w:r w:rsidR="00734B70">
              <w:rPr>
                <w:rFonts w:ascii="Calibri" w:hAnsi="Calibri" w:cs="Calibri"/>
                <w:sz w:val="24"/>
              </w:rPr>
              <w:t>o</w:t>
            </w:r>
            <w:r w:rsidRPr="00365D60">
              <w:rPr>
                <w:rFonts w:ascii="Calibri" w:hAnsi="Calibri" w:cs="Calibri"/>
                <w:sz w:val="24"/>
              </w:rPr>
              <w:t xml:space="preserve"> Projeto </w:t>
            </w:r>
            <w:proofErr w:type="spellStart"/>
            <w:r w:rsidRPr="00365D60">
              <w:rPr>
                <w:rFonts w:ascii="Calibri" w:hAnsi="Calibri" w:cs="Calibri"/>
                <w:sz w:val="24"/>
              </w:rPr>
              <w:t>Capex</w:t>
            </w:r>
            <w:proofErr w:type="spellEnd"/>
            <w:r w:rsidRPr="00365D60">
              <w:rPr>
                <w:rFonts w:ascii="Calibri" w:hAnsi="Calibri" w:cs="Calibri"/>
                <w:sz w:val="24"/>
              </w:rPr>
              <w:t xml:space="preserve"> Usinas</w:t>
            </w:r>
            <w:r w:rsidR="00D90437">
              <w:rPr>
                <w:rFonts w:ascii="Calibri" w:hAnsi="Calibri" w:cs="Calibri"/>
                <w:sz w:val="24"/>
              </w:rPr>
              <w:t>.</w:t>
            </w:r>
            <w:r w:rsidRPr="003D0B64">
              <w:rPr>
                <w:rFonts w:ascii="Calibri" w:hAnsi="Calibri" w:cs="Calibri"/>
                <w:sz w:val="22"/>
                <w:szCs w:val="22"/>
                <w:vertAlign w:val="superscript"/>
              </w:rPr>
              <w:t>.</w:t>
            </w:r>
          </w:p>
          <w:p w14:paraId="2A37571E" w14:textId="27200E0D" w:rsidR="001248DA" w:rsidRPr="00C6089D" w:rsidRDefault="001248DA" w:rsidP="001248DA">
            <w:pPr>
              <w:pStyle w:val="Level5"/>
              <w:numPr>
                <w:ilvl w:val="0"/>
                <w:numId w:val="0"/>
              </w:numPr>
              <w:rPr>
                <w:rFonts w:ascii="Calibri" w:hAnsi="Calibri" w:cs="Calibri"/>
                <w:kern w:val="20"/>
                <w:sz w:val="24"/>
              </w:rPr>
            </w:pPr>
            <w:r w:rsidRPr="00C6089D">
              <w:rPr>
                <w:rFonts w:ascii="Calibri" w:hAnsi="Calibri" w:cs="Calibri"/>
                <w:kern w:val="20"/>
                <w:sz w:val="24"/>
              </w:rPr>
              <w:t xml:space="preserve">Considerando </w:t>
            </w:r>
            <w:r w:rsidR="00327BFF" w:rsidRPr="00C6089D">
              <w:rPr>
                <w:rFonts w:ascii="Calibri" w:hAnsi="Calibri" w:cs="Calibri"/>
                <w:kern w:val="20"/>
                <w:sz w:val="24"/>
              </w:rPr>
              <w:t>a emissão d</w:t>
            </w:r>
            <w:r w:rsidRPr="00C6089D">
              <w:rPr>
                <w:rFonts w:ascii="Calibri" w:hAnsi="Calibri" w:cs="Calibri"/>
                <w:kern w:val="20"/>
                <w:sz w:val="24"/>
              </w:rPr>
              <w:t>as Debêntures Adicionais</w:t>
            </w:r>
            <w:r w:rsidR="004C6C1E" w:rsidRPr="00C6089D">
              <w:rPr>
                <w:rFonts w:ascii="Calibri" w:hAnsi="Calibri" w:cs="Calibri"/>
                <w:kern w:val="20"/>
                <w:sz w:val="24"/>
              </w:rPr>
              <w:t>, no valor de R$ </w:t>
            </w:r>
            <w:r w:rsidR="00566D0A">
              <w:rPr>
                <w:rFonts w:ascii="Calibri" w:hAnsi="Calibri" w:cs="Calibri"/>
                <w:kern w:val="20"/>
                <w:sz w:val="24"/>
              </w:rPr>
              <w:t>200.000.000,00</w:t>
            </w:r>
            <w:r w:rsidR="004C6C1E" w:rsidRPr="00C6089D">
              <w:rPr>
                <w:rFonts w:ascii="Calibri" w:hAnsi="Calibri" w:cs="Calibri"/>
                <w:kern w:val="20"/>
                <w:sz w:val="24"/>
              </w:rPr>
              <w:t xml:space="preserve"> </w:t>
            </w:r>
            <w:r w:rsidR="00566D0A" w:rsidRPr="00C6089D">
              <w:rPr>
                <w:rFonts w:ascii="Calibri" w:hAnsi="Calibri" w:cs="Calibri"/>
                <w:kern w:val="20"/>
                <w:sz w:val="24"/>
              </w:rPr>
              <w:t>(</w:t>
            </w:r>
            <w:r w:rsidR="00566D0A">
              <w:rPr>
                <w:rFonts w:ascii="Calibri" w:hAnsi="Calibri" w:cs="Calibri"/>
                <w:kern w:val="20"/>
                <w:sz w:val="24"/>
              </w:rPr>
              <w:t>duzentos milhões de reais</w:t>
            </w:r>
            <w:r w:rsidR="00566D0A" w:rsidRPr="00C6089D">
              <w:rPr>
                <w:rFonts w:ascii="Calibri" w:hAnsi="Calibri" w:cs="Calibri"/>
                <w:kern w:val="20"/>
                <w:sz w:val="24"/>
              </w:rPr>
              <w:t xml:space="preserve">), </w:t>
            </w:r>
            <w:r w:rsidR="00BA4F0F" w:rsidRPr="00C6089D">
              <w:rPr>
                <w:rFonts w:ascii="Calibri" w:hAnsi="Calibri" w:cs="Calibri"/>
                <w:kern w:val="20"/>
                <w:sz w:val="24"/>
              </w:rPr>
              <w:t>a totalidade d</w:t>
            </w:r>
            <w:r w:rsidRPr="00C6089D">
              <w:rPr>
                <w:rFonts w:ascii="Calibri" w:hAnsi="Calibri" w:cs="Calibri"/>
                <w:kern w:val="20"/>
                <w:sz w:val="24"/>
              </w:rPr>
              <w:t>os recursos líquidos captados pela Emissora por meio da colocação de Debêntures Adicionais</w:t>
            </w:r>
            <w:r w:rsidR="00327BFF" w:rsidRPr="00C6089D">
              <w:rPr>
                <w:rFonts w:ascii="Calibri" w:hAnsi="Calibri" w:cs="Calibri"/>
                <w:kern w:val="20"/>
                <w:sz w:val="24"/>
              </w:rPr>
              <w:t xml:space="preserve"> </w:t>
            </w:r>
            <w:r w:rsidR="00BA4F0F" w:rsidRPr="00C6089D">
              <w:rPr>
                <w:rFonts w:ascii="Calibri" w:hAnsi="Calibri" w:cs="Calibri"/>
                <w:kern w:val="20"/>
                <w:sz w:val="24"/>
              </w:rPr>
              <w:t>será</w:t>
            </w:r>
            <w:r w:rsidR="00327BFF" w:rsidRPr="00C6089D">
              <w:rPr>
                <w:rFonts w:ascii="Calibri" w:hAnsi="Calibri" w:cs="Calibri"/>
                <w:kern w:val="20"/>
                <w:sz w:val="24"/>
              </w:rPr>
              <w:t xml:space="preserve"> </w:t>
            </w:r>
            <w:r w:rsidRPr="00C6089D">
              <w:rPr>
                <w:rFonts w:ascii="Calibri" w:hAnsi="Calibri" w:cs="Calibri"/>
                <w:kern w:val="20"/>
                <w:sz w:val="24"/>
              </w:rPr>
              <w:t>destinad</w:t>
            </w:r>
            <w:r w:rsidR="00BA4F0F" w:rsidRPr="00C6089D">
              <w:rPr>
                <w:rFonts w:ascii="Calibri" w:hAnsi="Calibri" w:cs="Calibri"/>
                <w:kern w:val="20"/>
                <w:sz w:val="24"/>
              </w:rPr>
              <w:t>a</w:t>
            </w:r>
            <w:r w:rsidRPr="00C6089D">
              <w:rPr>
                <w:rFonts w:ascii="Calibri" w:hAnsi="Calibri" w:cs="Calibri"/>
                <w:kern w:val="20"/>
                <w:sz w:val="24"/>
              </w:rPr>
              <w:t xml:space="preserve"> para o</w:t>
            </w:r>
            <w:r w:rsidR="002C7097" w:rsidRPr="002C7097">
              <w:rPr>
                <w:rFonts w:ascii="Calibri" w:hAnsi="Calibri" w:cs="Calibri"/>
                <w:kern w:val="20"/>
                <w:sz w:val="24"/>
              </w:rPr>
              <w:t xml:space="preserve">s </w:t>
            </w:r>
            <w:r w:rsidR="002C7097" w:rsidRPr="00C6089D">
              <w:rPr>
                <w:rFonts w:ascii="Calibri" w:hAnsi="Calibri" w:cs="Calibri"/>
                <w:sz w:val="24"/>
              </w:rPr>
              <w:t>Projetos</w:t>
            </w:r>
            <w:r w:rsidR="002C7097" w:rsidRPr="002C7097">
              <w:rPr>
                <w:rFonts w:ascii="Calibri" w:hAnsi="Calibri" w:cs="Calibri"/>
                <w:sz w:val="24"/>
              </w:rPr>
              <w:t xml:space="preserve"> do Ministério de Minas e Energia</w:t>
            </w:r>
            <w:r w:rsidRPr="00C6089D">
              <w:rPr>
                <w:rFonts w:ascii="Calibri" w:hAnsi="Calibri" w:cs="Calibri"/>
                <w:kern w:val="20"/>
                <w:sz w:val="24"/>
              </w:rPr>
              <w:t>.</w:t>
            </w:r>
          </w:p>
          <w:p w14:paraId="2DCAAB62" w14:textId="619AE15C" w:rsidR="009E7F9A" w:rsidRPr="00C6089D" w:rsidRDefault="00327BFF" w:rsidP="00592211">
            <w:pPr>
              <w:pStyle w:val="Body"/>
              <w:rPr>
                <w:rFonts w:ascii="Calibri" w:hAnsi="Calibri" w:cs="Calibri"/>
                <w:sz w:val="24"/>
              </w:rPr>
            </w:pPr>
            <w:r w:rsidRPr="00C6089D">
              <w:rPr>
                <w:rFonts w:ascii="Calibri" w:hAnsi="Calibri" w:cs="Calibri"/>
                <w:b/>
                <w:sz w:val="24"/>
              </w:rPr>
              <w:t xml:space="preserve">Para mais informações sobre a Destinação dos Recursos e os Projetos, veja a seção “Destinação dos Recursos”, </w:t>
            </w:r>
            <w:r w:rsidR="00D202C7" w:rsidRPr="00C6089D">
              <w:rPr>
                <w:rFonts w:ascii="Calibri" w:hAnsi="Calibri" w:cs="Calibri"/>
                <w:b/>
                <w:sz w:val="24"/>
              </w:rPr>
              <w:t>no Prospecto Definitivo.</w:t>
            </w:r>
          </w:p>
        </w:tc>
      </w:tr>
      <w:tr w:rsidR="00720C65" w:rsidRPr="00365D60" w14:paraId="343655D8" w14:textId="77777777" w:rsidTr="009955CC">
        <w:trPr>
          <w:jc w:val="center"/>
        </w:trPr>
        <w:tc>
          <w:tcPr>
            <w:tcW w:w="3119" w:type="dxa"/>
          </w:tcPr>
          <w:p w14:paraId="30BA6C6B" w14:textId="77777777" w:rsidR="00371CD5" w:rsidRPr="00C6089D" w:rsidRDefault="00371CD5" w:rsidP="00AB0823">
            <w:pPr>
              <w:pStyle w:val="Body"/>
              <w:jc w:val="left"/>
              <w:rPr>
                <w:rFonts w:ascii="Calibri" w:hAnsi="Calibri" w:cs="Calibri"/>
                <w:b/>
                <w:sz w:val="24"/>
              </w:rPr>
            </w:pPr>
            <w:r w:rsidRPr="00C6089D">
              <w:rPr>
                <w:rFonts w:ascii="Calibri" w:hAnsi="Calibri" w:cs="Calibri"/>
                <w:b/>
                <w:sz w:val="24"/>
              </w:rPr>
              <w:lastRenderedPageBreak/>
              <w:t>Número da Emissão</w:t>
            </w:r>
          </w:p>
        </w:tc>
        <w:tc>
          <w:tcPr>
            <w:tcW w:w="5611" w:type="dxa"/>
          </w:tcPr>
          <w:p w14:paraId="7ADE10C5" w14:textId="6E211441" w:rsidR="00371CD5" w:rsidRPr="00C6089D" w:rsidRDefault="00327BFF" w:rsidP="001A4AD2">
            <w:pPr>
              <w:pStyle w:val="Body"/>
              <w:rPr>
                <w:rFonts w:ascii="Calibri" w:hAnsi="Calibri" w:cs="Calibri"/>
                <w:sz w:val="24"/>
              </w:rPr>
            </w:pPr>
            <w:r w:rsidRPr="00C6089D">
              <w:rPr>
                <w:rFonts w:ascii="Calibri" w:hAnsi="Calibri" w:cs="Calibri"/>
                <w:sz w:val="24"/>
              </w:rPr>
              <w:t xml:space="preserve">A presente Emissão representa a </w:t>
            </w:r>
            <w:r w:rsidR="00613FB6" w:rsidRPr="00365D60">
              <w:rPr>
                <w:rFonts w:ascii="Calibri" w:hAnsi="Calibri" w:cs="Calibri"/>
                <w:sz w:val="24"/>
              </w:rPr>
              <w:t>4</w:t>
            </w:r>
            <w:r w:rsidRPr="00365D60">
              <w:rPr>
                <w:rFonts w:ascii="Calibri" w:hAnsi="Calibri" w:cs="Calibri"/>
                <w:sz w:val="24"/>
              </w:rPr>
              <w:t>ª (</w:t>
            </w:r>
            <w:r w:rsidR="00613FB6" w:rsidRPr="00365D60">
              <w:rPr>
                <w:rFonts w:ascii="Calibri" w:hAnsi="Calibri" w:cs="Calibri"/>
                <w:sz w:val="24"/>
              </w:rPr>
              <w:t>quarta</w:t>
            </w:r>
            <w:r w:rsidRPr="00C6089D">
              <w:rPr>
                <w:rFonts w:ascii="Calibri" w:hAnsi="Calibri" w:cs="Calibri"/>
                <w:sz w:val="24"/>
              </w:rPr>
              <w:t>) emissão de debêntures da Emissora.</w:t>
            </w:r>
          </w:p>
        </w:tc>
      </w:tr>
      <w:tr w:rsidR="00720C65" w:rsidRPr="00365D60" w14:paraId="216CAE7E" w14:textId="77777777" w:rsidTr="009955CC">
        <w:trPr>
          <w:jc w:val="center"/>
        </w:trPr>
        <w:tc>
          <w:tcPr>
            <w:tcW w:w="3119" w:type="dxa"/>
          </w:tcPr>
          <w:p w14:paraId="2388181C" w14:textId="08EFEB1D" w:rsidR="00371CD5" w:rsidRPr="00C6089D" w:rsidRDefault="00371CD5" w:rsidP="00AB0823">
            <w:pPr>
              <w:pStyle w:val="Body"/>
              <w:jc w:val="left"/>
              <w:rPr>
                <w:rFonts w:ascii="Calibri" w:hAnsi="Calibri" w:cs="Calibri"/>
                <w:b/>
                <w:sz w:val="24"/>
              </w:rPr>
            </w:pPr>
            <w:bookmarkStart w:id="15" w:name="_Ref428726921"/>
            <w:r w:rsidRPr="00C6089D">
              <w:rPr>
                <w:rFonts w:ascii="Calibri" w:hAnsi="Calibri" w:cs="Calibri"/>
                <w:b/>
                <w:sz w:val="24"/>
              </w:rPr>
              <w:lastRenderedPageBreak/>
              <w:t>Número de Séries</w:t>
            </w:r>
            <w:bookmarkEnd w:id="15"/>
          </w:p>
        </w:tc>
        <w:tc>
          <w:tcPr>
            <w:tcW w:w="5611" w:type="dxa"/>
          </w:tcPr>
          <w:p w14:paraId="713F38A3" w14:textId="7CEF4EE4" w:rsidR="00371CD5" w:rsidRPr="00C6089D" w:rsidRDefault="00327BFF" w:rsidP="00327BFF">
            <w:pPr>
              <w:pStyle w:val="Body"/>
              <w:rPr>
                <w:rFonts w:ascii="Calibri" w:hAnsi="Calibri" w:cs="Calibri"/>
                <w:sz w:val="24"/>
              </w:rPr>
            </w:pPr>
            <w:bookmarkStart w:id="16" w:name="_Ref420334801"/>
            <w:r w:rsidRPr="00365D60">
              <w:rPr>
                <w:rFonts w:ascii="Calibri" w:hAnsi="Calibri" w:cs="Calibri"/>
                <w:sz w:val="24"/>
              </w:rPr>
              <w:t xml:space="preserve">As Debêntures são emitidas em </w:t>
            </w:r>
            <w:r w:rsidR="00613FB6" w:rsidRPr="00365D60">
              <w:rPr>
                <w:rFonts w:ascii="Calibri" w:hAnsi="Calibri" w:cs="Calibri"/>
                <w:sz w:val="24"/>
              </w:rPr>
              <w:t>2 (duas) séries</w:t>
            </w:r>
            <w:bookmarkEnd w:id="16"/>
            <w:r w:rsidR="00F536CB" w:rsidRPr="00365D60">
              <w:rPr>
                <w:rFonts w:ascii="Calibri" w:hAnsi="Calibri" w:cs="Calibri"/>
                <w:sz w:val="24"/>
              </w:rPr>
              <w:t xml:space="preserve"> (“</w:t>
            </w:r>
            <w:r w:rsidR="00F536CB" w:rsidRPr="00365D60">
              <w:rPr>
                <w:rFonts w:ascii="Calibri" w:hAnsi="Calibri" w:cs="Calibri"/>
                <w:sz w:val="24"/>
                <w:u w:val="single"/>
              </w:rPr>
              <w:t>Primeira Série</w:t>
            </w:r>
            <w:r w:rsidR="00F536CB" w:rsidRPr="00365D60">
              <w:rPr>
                <w:rFonts w:ascii="Calibri" w:hAnsi="Calibri" w:cs="Calibri"/>
                <w:sz w:val="24"/>
              </w:rPr>
              <w:t>” e “</w:t>
            </w:r>
            <w:r w:rsidR="00F536CB" w:rsidRPr="00365D60">
              <w:rPr>
                <w:rFonts w:ascii="Calibri" w:hAnsi="Calibri" w:cs="Calibri"/>
                <w:sz w:val="24"/>
                <w:u w:val="single"/>
              </w:rPr>
              <w:t>Segunda Série</w:t>
            </w:r>
            <w:r w:rsidR="00F536CB" w:rsidRPr="00365D60">
              <w:rPr>
                <w:rFonts w:ascii="Calibri" w:hAnsi="Calibri" w:cs="Calibri"/>
                <w:sz w:val="24"/>
              </w:rPr>
              <w:t>”, respectivamente e, quando em conjunto “</w:t>
            </w:r>
            <w:r w:rsidR="00F536CB" w:rsidRPr="00365D60">
              <w:rPr>
                <w:rFonts w:ascii="Calibri" w:hAnsi="Calibri" w:cs="Calibri"/>
                <w:sz w:val="24"/>
                <w:u w:val="single"/>
              </w:rPr>
              <w:t>Séries</w:t>
            </w:r>
            <w:r w:rsidR="00F536CB" w:rsidRPr="00365D60">
              <w:rPr>
                <w:rFonts w:ascii="Calibri" w:hAnsi="Calibri" w:cs="Calibri"/>
                <w:sz w:val="24"/>
              </w:rPr>
              <w:t xml:space="preserve">”), sendo que a quantidade de Séries da Emissão foi definida no Procedimento de </w:t>
            </w:r>
            <w:r w:rsidR="00F536CB" w:rsidRPr="00365D60">
              <w:rPr>
                <w:rFonts w:ascii="Calibri" w:hAnsi="Calibri" w:cs="Calibri"/>
                <w:i/>
                <w:iCs/>
                <w:sz w:val="24"/>
              </w:rPr>
              <w:t>Bookbuilding</w:t>
            </w:r>
            <w:r w:rsidR="00F536CB" w:rsidRPr="00365D60">
              <w:rPr>
                <w:rFonts w:ascii="Calibri" w:hAnsi="Calibri" w:cs="Calibri"/>
                <w:sz w:val="24"/>
              </w:rPr>
              <w:t>. Para os fins da Oferta, as Debêntures emitidas na Primeira Série serão doravante referidas “</w:t>
            </w:r>
            <w:r w:rsidR="00F536CB" w:rsidRPr="00365D60">
              <w:rPr>
                <w:rFonts w:ascii="Calibri" w:hAnsi="Calibri" w:cs="Calibri"/>
                <w:sz w:val="24"/>
                <w:u w:val="single"/>
              </w:rPr>
              <w:t>Debêntures da Primeira Série</w:t>
            </w:r>
            <w:r w:rsidR="00F536CB" w:rsidRPr="00365D60">
              <w:rPr>
                <w:rFonts w:ascii="Calibri" w:hAnsi="Calibri" w:cs="Calibri"/>
                <w:sz w:val="24"/>
              </w:rPr>
              <w:t>” e as Debêntures emitidas na Segunda Série serão referidas como “</w:t>
            </w:r>
            <w:r w:rsidR="00F536CB" w:rsidRPr="00365D60">
              <w:rPr>
                <w:rFonts w:ascii="Calibri" w:hAnsi="Calibri" w:cs="Calibri"/>
                <w:sz w:val="24"/>
                <w:u w:val="single"/>
              </w:rPr>
              <w:t>Debêntures da Segunda Série</w:t>
            </w:r>
            <w:r w:rsidR="00F536CB" w:rsidRPr="00365D60">
              <w:rPr>
                <w:rFonts w:ascii="Calibri" w:hAnsi="Calibri" w:cs="Calibri"/>
                <w:sz w:val="24"/>
              </w:rPr>
              <w:t>” e, quando em conjunto com as Debêntures da Primeira Série, as “</w:t>
            </w:r>
            <w:r w:rsidR="00F536CB" w:rsidRPr="00365D60">
              <w:rPr>
                <w:rFonts w:ascii="Calibri" w:hAnsi="Calibri" w:cs="Calibri"/>
                <w:sz w:val="24"/>
                <w:u w:val="single"/>
              </w:rPr>
              <w:t>Debêntures</w:t>
            </w:r>
            <w:r w:rsidR="00F536CB" w:rsidRPr="00365D60">
              <w:rPr>
                <w:rFonts w:ascii="Calibri" w:hAnsi="Calibri" w:cs="Calibri"/>
                <w:sz w:val="24"/>
              </w:rPr>
              <w:t>”</w:t>
            </w:r>
            <w:r w:rsidRPr="00365D60">
              <w:rPr>
                <w:rFonts w:ascii="Calibri" w:hAnsi="Calibri" w:cs="Calibri"/>
                <w:sz w:val="24"/>
              </w:rPr>
              <w:t>.</w:t>
            </w:r>
          </w:p>
        </w:tc>
      </w:tr>
      <w:tr w:rsidR="00720C65" w:rsidRPr="00365D60" w14:paraId="081BCB44" w14:textId="77777777" w:rsidTr="009955CC">
        <w:trPr>
          <w:jc w:val="center"/>
        </w:trPr>
        <w:tc>
          <w:tcPr>
            <w:tcW w:w="3119" w:type="dxa"/>
          </w:tcPr>
          <w:p w14:paraId="3D67FBB0" w14:textId="3CBF800B" w:rsidR="00652CB0" w:rsidRPr="00C6089D" w:rsidRDefault="00652CB0" w:rsidP="00891708">
            <w:pPr>
              <w:pStyle w:val="Body"/>
              <w:jc w:val="left"/>
              <w:rPr>
                <w:rFonts w:ascii="Calibri" w:hAnsi="Calibri" w:cs="Calibri"/>
                <w:b/>
                <w:sz w:val="24"/>
              </w:rPr>
            </w:pPr>
            <w:bookmarkStart w:id="17" w:name="_Ref420335400"/>
            <w:bookmarkStart w:id="18" w:name="_Toc428328021"/>
            <w:r w:rsidRPr="00C6089D">
              <w:rPr>
                <w:rFonts w:ascii="Calibri" w:hAnsi="Calibri" w:cs="Calibri"/>
                <w:b/>
                <w:sz w:val="24"/>
              </w:rPr>
              <w:t xml:space="preserve">Quantidade de Debêntures </w:t>
            </w:r>
            <w:bookmarkEnd w:id="17"/>
            <w:bookmarkEnd w:id="18"/>
          </w:p>
        </w:tc>
        <w:tc>
          <w:tcPr>
            <w:tcW w:w="5611" w:type="dxa"/>
          </w:tcPr>
          <w:p w14:paraId="592F56A5" w14:textId="243BB022" w:rsidR="00652CB0" w:rsidRPr="00C6089D" w:rsidRDefault="00652CB0" w:rsidP="00FD7922">
            <w:pPr>
              <w:pStyle w:val="Body"/>
              <w:rPr>
                <w:rFonts w:ascii="Calibri" w:hAnsi="Calibri" w:cs="Calibri"/>
                <w:sz w:val="24"/>
              </w:rPr>
            </w:pPr>
            <w:r w:rsidRPr="00C6089D">
              <w:rPr>
                <w:rFonts w:ascii="Calibri" w:hAnsi="Calibri" w:cs="Calibri"/>
                <w:sz w:val="24"/>
              </w:rPr>
              <w:t xml:space="preserve">Serão emitidas </w:t>
            </w:r>
            <w:r w:rsidR="00912BEB">
              <w:rPr>
                <w:rFonts w:ascii="Calibri" w:hAnsi="Calibri" w:cs="Calibri"/>
                <w:sz w:val="24"/>
              </w:rPr>
              <w:t>1.200.000</w:t>
            </w:r>
            <w:r w:rsidR="00912BEB" w:rsidRPr="00365D60">
              <w:rPr>
                <w:rFonts w:ascii="Calibri" w:hAnsi="Calibri" w:cs="Calibri"/>
                <w:sz w:val="24"/>
              </w:rPr>
              <w:t xml:space="preserve"> (</w:t>
            </w:r>
            <w:r w:rsidR="00912BEB">
              <w:rPr>
                <w:rFonts w:ascii="Calibri" w:hAnsi="Calibri" w:cs="Calibri"/>
                <w:sz w:val="24"/>
              </w:rPr>
              <w:t>um milhão e duzentas mil</w:t>
            </w:r>
            <w:r w:rsidR="00912BEB" w:rsidRPr="00365D60">
              <w:rPr>
                <w:rFonts w:ascii="Calibri" w:hAnsi="Calibri" w:cs="Calibri"/>
                <w:sz w:val="24"/>
              </w:rPr>
              <w:t>)</w:t>
            </w:r>
            <w:r w:rsidR="00912BEB" w:rsidRPr="00C6089D">
              <w:rPr>
                <w:rFonts w:ascii="Calibri" w:hAnsi="Calibri" w:cs="Calibri"/>
                <w:sz w:val="24"/>
              </w:rPr>
              <w:t xml:space="preserve"> </w:t>
            </w:r>
            <w:r w:rsidR="00943860" w:rsidRPr="00C6089D">
              <w:rPr>
                <w:rFonts w:ascii="Calibri" w:hAnsi="Calibri" w:cs="Calibri"/>
                <w:sz w:val="24"/>
              </w:rPr>
              <w:t>D</w:t>
            </w:r>
            <w:r w:rsidRPr="00C6089D">
              <w:rPr>
                <w:rFonts w:ascii="Calibri" w:hAnsi="Calibri" w:cs="Calibri"/>
                <w:sz w:val="24"/>
              </w:rPr>
              <w:t xml:space="preserve">ebêntures, considerando </w:t>
            </w:r>
            <w:r w:rsidR="00C146AA">
              <w:rPr>
                <w:rFonts w:ascii="Calibri" w:hAnsi="Calibri" w:cs="Calibri"/>
                <w:sz w:val="24"/>
              </w:rPr>
              <w:t>a colocação das</w:t>
            </w:r>
            <w:r w:rsidRPr="00C6089D">
              <w:rPr>
                <w:rFonts w:ascii="Calibri" w:hAnsi="Calibri" w:cs="Calibri"/>
                <w:sz w:val="24"/>
              </w:rPr>
              <w:t xml:space="preserve"> Debêntures Adicionais, conforme </w:t>
            </w:r>
            <w:r w:rsidR="00327BFF" w:rsidRPr="00C6089D">
              <w:rPr>
                <w:rFonts w:ascii="Calibri" w:hAnsi="Calibri" w:cs="Calibri"/>
                <w:sz w:val="24"/>
              </w:rPr>
              <w:t xml:space="preserve">descrito </w:t>
            </w:r>
            <w:r w:rsidRPr="00C6089D">
              <w:rPr>
                <w:rFonts w:ascii="Calibri" w:hAnsi="Calibri" w:cs="Calibri"/>
                <w:sz w:val="24"/>
              </w:rPr>
              <w:t>nos parágrafos abaixo.</w:t>
            </w:r>
            <w:r w:rsidR="00F536CB" w:rsidRPr="00365D60">
              <w:rPr>
                <w:rFonts w:ascii="Calibri" w:hAnsi="Calibri" w:cs="Calibri"/>
                <w:sz w:val="24"/>
              </w:rPr>
              <w:t xml:space="preserve"> </w:t>
            </w:r>
          </w:p>
        </w:tc>
      </w:tr>
      <w:tr w:rsidR="00720C65" w:rsidRPr="00365D60" w14:paraId="26310082" w14:textId="77777777" w:rsidTr="009955CC">
        <w:trPr>
          <w:jc w:val="center"/>
        </w:trPr>
        <w:tc>
          <w:tcPr>
            <w:tcW w:w="3119" w:type="dxa"/>
          </w:tcPr>
          <w:p w14:paraId="11080A03" w14:textId="0FFF9C35" w:rsidR="009905CC" w:rsidRPr="00C6089D" w:rsidRDefault="009905CC" w:rsidP="00891708">
            <w:pPr>
              <w:pStyle w:val="Body"/>
              <w:jc w:val="left"/>
              <w:rPr>
                <w:rFonts w:ascii="Calibri" w:hAnsi="Calibri" w:cs="Calibri"/>
                <w:b/>
                <w:sz w:val="24"/>
              </w:rPr>
            </w:pPr>
            <w:r w:rsidRPr="00C6089D">
              <w:rPr>
                <w:rFonts w:ascii="Calibri" w:hAnsi="Calibri" w:cs="Calibri"/>
                <w:b/>
                <w:sz w:val="24"/>
              </w:rPr>
              <w:t>Debêntures Adicionais</w:t>
            </w:r>
          </w:p>
        </w:tc>
        <w:tc>
          <w:tcPr>
            <w:tcW w:w="5611" w:type="dxa"/>
          </w:tcPr>
          <w:p w14:paraId="4E96BAAD" w14:textId="38B79B1D" w:rsidR="000B3002" w:rsidRPr="00C6089D" w:rsidRDefault="009905CC" w:rsidP="00945B8F">
            <w:pPr>
              <w:pStyle w:val="Body"/>
              <w:spacing w:line="240" w:lineRule="auto"/>
              <w:rPr>
                <w:rFonts w:ascii="Calibri" w:hAnsi="Calibri" w:cs="Calibri"/>
                <w:sz w:val="24"/>
              </w:rPr>
            </w:pPr>
            <w:r w:rsidRPr="00C6089D">
              <w:rPr>
                <w:rFonts w:ascii="Calibri" w:hAnsi="Calibri" w:cs="Calibri"/>
                <w:sz w:val="24"/>
              </w:rPr>
              <w:t>Nos termos do artigo 14, parágrafo 2</w:t>
            </w:r>
            <w:r w:rsidR="00327BFF" w:rsidRPr="00C6089D">
              <w:rPr>
                <w:rFonts w:ascii="Calibri" w:hAnsi="Calibri" w:cs="Calibri"/>
                <w:sz w:val="24"/>
              </w:rPr>
              <w:t xml:space="preserve">º, </w:t>
            </w:r>
            <w:r w:rsidRPr="00C6089D">
              <w:rPr>
                <w:rFonts w:ascii="Calibri" w:hAnsi="Calibri" w:cs="Calibri"/>
                <w:sz w:val="24"/>
              </w:rPr>
              <w:t xml:space="preserve">da Instrução CVM 400, a quantidade de Debêntures inicialmente ofertada foi </w:t>
            </w:r>
            <w:r w:rsidR="00041608">
              <w:rPr>
                <w:rFonts w:ascii="Calibri" w:hAnsi="Calibri" w:cs="Calibri"/>
                <w:sz w:val="24"/>
              </w:rPr>
              <w:t>aumentada</w:t>
            </w:r>
            <w:r w:rsidRPr="00C6089D">
              <w:rPr>
                <w:rFonts w:ascii="Calibri" w:hAnsi="Calibri" w:cs="Calibri"/>
                <w:sz w:val="24"/>
              </w:rPr>
              <w:t xml:space="preserve"> em </w:t>
            </w:r>
            <w:r w:rsidR="00912BEB">
              <w:rPr>
                <w:rFonts w:ascii="Calibri" w:hAnsi="Calibri" w:cs="Calibri"/>
                <w:sz w:val="24"/>
              </w:rPr>
              <w:t>20%</w:t>
            </w:r>
            <w:r w:rsidR="00912BEB" w:rsidRPr="00365D60">
              <w:rPr>
                <w:rFonts w:ascii="Calibri" w:hAnsi="Calibri" w:cs="Calibri"/>
                <w:sz w:val="24"/>
              </w:rPr>
              <w:t xml:space="preserve"> (</w:t>
            </w:r>
            <w:r w:rsidR="00912BEB">
              <w:rPr>
                <w:rFonts w:ascii="Calibri" w:hAnsi="Calibri" w:cs="Calibri"/>
                <w:sz w:val="24"/>
              </w:rPr>
              <w:t>vinte</w:t>
            </w:r>
            <w:r w:rsidR="00912BEB" w:rsidRPr="00C6089D">
              <w:rPr>
                <w:rFonts w:ascii="Calibri" w:hAnsi="Calibri" w:cs="Calibri"/>
                <w:sz w:val="24"/>
              </w:rPr>
              <w:t xml:space="preserve"> </w:t>
            </w:r>
            <w:r w:rsidR="00F536CB" w:rsidRPr="00C6089D">
              <w:rPr>
                <w:rFonts w:ascii="Calibri" w:hAnsi="Calibri" w:cs="Calibri"/>
                <w:sz w:val="24"/>
              </w:rPr>
              <w:t>por cento</w:t>
            </w:r>
            <w:r w:rsidR="00FD7922" w:rsidRPr="00C6089D">
              <w:rPr>
                <w:rFonts w:ascii="Calibri" w:hAnsi="Calibri" w:cs="Calibri"/>
                <w:sz w:val="24"/>
              </w:rPr>
              <w:t>)</w:t>
            </w:r>
            <w:r w:rsidRPr="00C6089D">
              <w:rPr>
                <w:rFonts w:ascii="Calibri" w:hAnsi="Calibri" w:cs="Calibri"/>
                <w:sz w:val="24"/>
              </w:rPr>
              <w:t xml:space="preserve">, ou seja, em </w:t>
            </w:r>
            <w:r w:rsidR="00912BEB">
              <w:rPr>
                <w:rFonts w:ascii="Calibri" w:hAnsi="Calibri" w:cs="Calibri"/>
                <w:sz w:val="24"/>
              </w:rPr>
              <w:t>200.000</w:t>
            </w:r>
            <w:r w:rsidR="00912BEB" w:rsidRPr="00365D60">
              <w:rPr>
                <w:rFonts w:ascii="Calibri" w:hAnsi="Calibri" w:cs="Calibri"/>
                <w:sz w:val="24"/>
              </w:rPr>
              <w:t xml:space="preserve"> (</w:t>
            </w:r>
            <w:r w:rsidR="00912BEB">
              <w:rPr>
                <w:rFonts w:ascii="Calibri" w:hAnsi="Calibri" w:cs="Calibri"/>
                <w:sz w:val="24"/>
              </w:rPr>
              <w:t>duzentas mil</w:t>
            </w:r>
            <w:r w:rsidR="00912BEB" w:rsidRPr="00365D60">
              <w:rPr>
                <w:rFonts w:ascii="Calibri" w:hAnsi="Calibri" w:cs="Calibri"/>
                <w:sz w:val="24"/>
              </w:rPr>
              <w:t>)</w:t>
            </w:r>
            <w:r w:rsidR="00912BEB" w:rsidRPr="00C6089D">
              <w:rPr>
                <w:rFonts w:ascii="Calibri" w:hAnsi="Calibri" w:cs="Calibri"/>
                <w:sz w:val="24"/>
              </w:rPr>
              <w:t xml:space="preserve"> </w:t>
            </w:r>
            <w:r w:rsidRPr="00C6089D">
              <w:rPr>
                <w:rFonts w:ascii="Calibri" w:hAnsi="Calibri" w:cs="Calibri"/>
                <w:sz w:val="24"/>
              </w:rPr>
              <w:t>Debêntures adicionais, emitidas nas mesmas condições e com as mesmas características das Debêntures inicialmente ofertadas (</w:t>
            </w:r>
            <w:r w:rsidR="00270642" w:rsidRPr="00C6089D">
              <w:rPr>
                <w:rFonts w:ascii="Calibri" w:hAnsi="Calibri" w:cs="Calibri"/>
                <w:sz w:val="24"/>
              </w:rPr>
              <w:t>“</w:t>
            </w:r>
            <w:r w:rsidRPr="00C6089D">
              <w:rPr>
                <w:rFonts w:ascii="Calibri" w:hAnsi="Calibri" w:cs="Calibri"/>
                <w:sz w:val="24"/>
                <w:u w:val="single"/>
              </w:rPr>
              <w:t>Debêntures Adicionais</w:t>
            </w:r>
            <w:r w:rsidR="00270642" w:rsidRPr="00C6089D">
              <w:rPr>
                <w:rFonts w:ascii="Calibri" w:hAnsi="Calibri" w:cs="Calibri"/>
                <w:sz w:val="24"/>
              </w:rPr>
              <w:t>”</w:t>
            </w:r>
            <w:r w:rsidRPr="00C6089D">
              <w:rPr>
                <w:rFonts w:ascii="Calibri" w:hAnsi="Calibri" w:cs="Calibri"/>
                <w:sz w:val="24"/>
              </w:rPr>
              <w:t>), sem a necessidade de novo pedido de registro da Oferta à CVM ou modificação dos termos da Emissão e da Oferta.</w:t>
            </w:r>
          </w:p>
          <w:p w14:paraId="5C186542" w14:textId="35E3D6BB" w:rsidR="009905CC" w:rsidRPr="00C6089D" w:rsidRDefault="000B3002" w:rsidP="00945B8F">
            <w:pPr>
              <w:pStyle w:val="Body"/>
              <w:spacing w:line="240" w:lineRule="auto"/>
              <w:rPr>
                <w:rFonts w:ascii="Calibri" w:hAnsi="Calibri" w:cs="Calibri"/>
                <w:sz w:val="24"/>
              </w:rPr>
            </w:pPr>
            <w:r w:rsidRPr="00C6089D">
              <w:rPr>
                <w:rFonts w:ascii="Calibri" w:hAnsi="Calibri" w:cs="Calibri"/>
                <w:sz w:val="24"/>
              </w:rPr>
              <w:t>As Debêntures Adicionais emitidas passarão a ter as mesmas características das Debêntures inicialmente ofertadas e passarão a integrar o conceito de “</w:t>
            </w:r>
            <w:r w:rsidRPr="00C6089D">
              <w:rPr>
                <w:rFonts w:ascii="Calibri" w:hAnsi="Calibri" w:cs="Calibri"/>
                <w:bCs/>
                <w:sz w:val="24"/>
                <w:u w:val="single"/>
              </w:rPr>
              <w:t>Debêntures</w:t>
            </w:r>
            <w:r w:rsidRPr="00C6089D">
              <w:rPr>
                <w:rFonts w:ascii="Calibri" w:hAnsi="Calibri" w:cs="Calibri"/>
                <w:sz w:val="24"/>
              </w:rPr>
              <w:t>”.</w:t>
            </w:r>
          </w:p>
          <w:p w14:paraId="6E878366" w14:textId="77777777" w:rsidR="009905CC" w:rsidRDefault="009905CC" w:rsidP="00945B8F">
            <w:pPr>
              <w:pStyle w:val="Body"/>
              <w:spacing w:line="240" w:lineRule="auto"/>
              <w:rPr>
                <w:rFonts w:ascii="Calibri" w:hAnsi="Calibri" w:cs="Calibri"/>
                <w:sz w:val="24"/>
              </w:rPr>
            </w:pPr>
            <w:r w:rsidRPr="00C6089D">
              <w:rPr>
                <w:rFonts w:ascii="Calibri" w:hAnsi="Calibri" w:cs="Calibri"/>
                <w:sz w:val="24"/>
              </w:rPr>
              <w:t>As Debêntures Adicionais serão colocadas sob regime de melhores esforços de colocação pelo</w:t>
            </w:r>
            <w:r w:rsidR="00B10679" w:rsidRPr="00365D60">
              <w:rPr>
                <w:rFonts w:ascii="Calibri" w:hAnsi="Calibri" w:cs="Calibri"/>
                <w:sz w:val="24"/>
              </w:rPr>
              <w:t xml:space="preserve"> Coordenador Líder</w:t>
            </w:r>
            <w:r w:rsidRPr="00C6089D">
              <w:rPr>
                <w:rFonts w:ascii="Calibri" w:hAnsi="Calibri" w:cs="Calibri"/>
                <w:sz w:val="24"/>
              </w:rPr>
              <w:t>.</w:t>
            </w:r>
          </w:p>
          <w:p w14:paraId="7C74C185" w14:textId="72E074D0" w:rsidR="009A360F" w:rsidRPr="00C6089D" w:rsidRDefault="00711504" w:rsidP="00945B8F">
            <w:pPr>
              <w:pStyle w:val="Body"/>
              <w:spacing w:line="240" w:lineRule="auto"/>
              <w:rPr>
                <w:rFonts w:ascii="Calibri" w:hAnsi="Calibri" w:cs="Calibri"/>
                <w:sz w:val="24"/>
              </w:rPr>
            </w:pPr>
            <w:r w:rsidRPr="00711504">
              <w:rPr>
                <w:rFonts w:ascii="Calibri" w:hAnsi="Calibri" w:cs="Calibri"/>
                <w:sz w:val="24"/>
              </w:rPr>
              <w:t>Considerando que as Debêntures Adicionais serão emitidas sob regime de melhores esforços de colocação, eventual saldo não integralizado, caso não haja a integralização da totalidade das Debêntures Adicionais até a divulgação do Anúncio de Encerramento da Oferta, implicará o cancelamento das correspondentes as Debêntures Adicionais não integralizadas serão canceladas pela Emissora</w:t>
            </w:r>
            <w:r w:rsidR="009A360F" w:rsidRPr="009A360F">
              <w:rPr>
                <w:rFonts w:ascii="Calibri" w:hAnsi="Calibri" w:cs="Calibri"/>
                <w:sz w:val="24"/>
              </w:rPr>
              <w:t>.</w:t>
            </w:r>
          </w:p>
        </w:tc>
      </w:tr>
      <w:tr w:rsidR="00720C65" w:rsidRPr="00365D60" w14:paraId="5F3BC98F" w14:textId="10B5D549" w:rsidTr="009955CC">
        <w:trPr>
          <w:jc w:val="center"/>
        </w:trPr>
        <w:tc>
          <w:tcPr>
            <w:tcW w:w="3119" w:type="dxa"/>
          </w:tcPr>
          <w:p w14:paraId="06EC011F" w14:textId="247B5DB7" w:rsidR="00652CB0" w:rsidRPr="00C6089D" w:rsidRDefault="00652CB0" w:rsidP="00AB0823">
            <w:pPr>
              <w:pStyle w:val="Body"/>
              <w:jc w:val="left"/>
              <w:rPr>
                <w:rFonts w:ascii="Calibri" w:hAnsi="Calibri" w:cs="Calibri"/>
                <w:b/>
                <w:sz w:val="24"/>
              </w:rPr>
            </w:pPr>
            <w:r w:rsidRPr="00C6089D">
              <w:rPr>
                <w:rFonts w:ascii="Calibri" w:hAnsi="Calibri" w:cs="Calibri"/>
                <w:b/>
                <w:sz w:val="24"/>
              </w:rPr>
              <w:lastRenderedPageBreak/>
              <w:t>Prazo e Data de Vencimento</w:t>
            </w:r>
          </w:p>
        </w:tc>
        <w:tc>
          <w:tcPr>
            <w:tcW w:w="5611" w:type="dxa"/>
          </w:tcPr>
          <w:p w14:paraId="3B985D30" w14:textId="137AC7D3" w:rsidR="00652CB0" w:rsidRPr="00C6089D" w:rsidRDefault="007129BF" w:rsidP="00F31993">
            <w:pPr>
              <w:pStyle w:val="Level4"/>
              <w:numPr>
                <w:ilvl w:val="0"/>
                <w:numId w:val="0"/>
              </w:numPr>
              <w:rPr>
                <w:rFonts w:ascii="Calibri" w:hAnsi="Calibri" w:cs="Calibri"/>
                <w:sz w:val="24"/>
              </w:rPr>
            </w:pPr>
            <w:r w:rsidRPr="00C6089D">
              <w:rPr>
                <w:rFonts w:ascii="Calibri" w:hAnsi="Calibri" w:cs="Calibri"/>
                <w:sz w:val="24"/>
              </w:rPr>
              <w:t>Ressalvadas as hipóteses de vencimento antecipado das obrigações decorrentes das Debêntures</w:t>
            </w:r>
            <w:r w:rsidR="00031CE8" w:rsidRPr="00C6089D">
              <w:rPr>
                <w:rFonts w:ascii="Calibri" w:hAnsi="Calibri" w:cs="Calibri"/>
                <w:sz w:val="24"/>
              </w:rPr>
              <w:t xml:space="preserve"> e a hipótese de Oferta de Resgate Antecipado (conforme abaixo definido)</w:t>
            </w:r>
            <w:r w:rsidRPr="00C6089D">
              <w:rPr>
                <w:rFonts w:ascii="Calibri" w:hAnsi="Calibri" w:cs="Calibri"/>
                <w:sz w:val="24"/>
              </w:rPr>
              <w:t>, nos termos previstos na Escritura de Emissão, o prazo das</w:t>
            </w:r>
            <w:r w:rsidR="00333FFF" w:rsidRPr="00365D60">
              <w:rPr>
                <w:rFonts w:ascii="Calibri" w:hAnsi="Calibri" w:cs="Calibri"/>
                <w:sz w:val="24"/>
              </w:rPr>
              <w:t xml:space="preserve">: </w:t>
            </w:r>
            <w:r w:rsidR="00333FFF" w:rsidRPr="00365D60">
              <w:rPr>
                <w:rFonts w:ascii="Calibri" w:hAnsi="Calibri" w:cs="Calibri"/>
                <w:kern w:val="20"/>
                <w:sz w:val="24"/>
              </w:rPr>
              <w:t>(i)</w:t>
            </w:r>
            <w:r w:rsidR="00333FFF" w:rsidRPr="00C6089D">
              <w:rPr>
                <w:rFonts w:ascii="Calibri" w:hAnsi="Calibri" w:cs="Calibri"/>
                <w:kern w:val="20"/>
                <w:sz w:val="24"/>
              </w:rPr>
              <w:t xml:space="preserve"> Debêntures </w:t>
            </w:r>
            <w:r w:rsidR="00333FFF" w:rsidRPr="00365D60">
              <w:rPr>
                <w:rFonts w:ascii="Calibri" w:hAnsi="Calibri" w:cs="Calibri"/>
                <w:kern w:val="20"/>
                <w:sz w:val="24"/>
              </w:rPr>
              <w:t xml:space="preserve">da Primeira Série </w:t>
            </w:r>
            <w:r w:rsidR="00333FFF" w:rsidRPr="00C6089D">
              <w:rPr>
                <w:rFonts w:ascii="Calibri" w:hAnsi="Calibri" w:cs="Calibri"/>
                <w:kern w:val="20"/>
                <w:sz w:val="24"/>
              </w:rPr>
              <w:t xml:space="preserve">será de </w:t>
            </w:r>
            <w:r w:rsidR="00333FFF" w:rsidRPr="00365D60">
              <w:rPr>
                <w:rFonts w:ascii="Calibri" w:hAnsi="Calibri" w:cs="Calibri"/>
                <w:kern w:val="20"/>
                <w:sz w:val="24"/>
              </w:rPr>
              <w:t>10 (dez</w:t>
            </w:r>
            <w:r w:rsidR="00333FFF" w:rsidRPr="00C6089D">
              <w:rPr>
                <w:rFonts w:ascii="Calibri" w:hAnsi="Calibri" w:cs="Calibri"/>
                <w:kern w:val="20"/>
                <w:sz w:val="24"/>
              </w:rPr>
              <w:t xml:space="preserve">) anos contados da Data de Emissão, vencendo-se, portanto, em 15 de </w:t>
            </w:r>
            <w:r w:rsidR="00333FFF" w:rsidRPr="00365D60">
              <w:rPr>
                <w:rFonts w:ascii="Calibri" w:hAnsi="Calibri" w:cs="Calibri"/>
                <w:kern w:val="20"/>
                <w:sz w:val="24"/>
              </w:rPr>
              <w:t>janeiro</w:t>
            </w:r>
            <w:r w:rsidR="00333FFF" w:rsidRPr="00C6089D">
              <w:rPr>
                <w:rFonts w:ascii="Calibri" w:hAnsi="Calibri" w:cs="Calibri"/>
                <w:kern w:val="20"/>
                <w:sz w:val="24"/>
              </w:rPr>
              <w:t xml:space="preserve"> de </w:t>
            </w:r>
            <w:r w:rsidR="00333FFF" w:rsidRPr="00365D60">
              <w:rPr>
                <w:rFonts w:ascii="Calibri" w:hAnsi="Calibri" w:cs="Calibri"/>
                <w:kern w:val="20"/>
                <w:sz w:val="24"/>
              </w:rPr>
              <w:t>2032</w:t>
            </w:r>
            <w:r w:rsidR="00333FFF" w:rsidRPr="00C6089D">
              <w:rPr>
                <w:rFonts w:ascii="Calibri" w:hAnsi="Calibri" w:cs="Calibri"/>
                <w:kern w:val="20"/>
                <w:sz w:val="24"/>
              </w:rPr>
              <w:t xml:space="preserve"> (“</w:t>
            </w:r>
            <w:r w:rsidR="00333FFF" w:rsidRPr="00C6089D">
              <w:rPr>
                <w:rFonts w:ascii="Calibri" w:hAnsi="Calibri" w:cs="Calibri"/>
                <w:kern w:val="20"/>
                <w:sz w:val="24"/>
                <w:u w:val="single"/>
              </w:rPr>
              <w:t>Data de Vencimento</w:t>
            </w:r>
            <w:r w:rsidR="00333FFF" w:rsidRPr="00365D60">
              <w:rPr>
                <w:rFonts w:ascii="Calibri" w:hAnsi="Calibri" w:cs="Calibri"/>
                <w:kern w:val="20"/>
                <w:sz w:val="24"/>
                <w:u w:val="single"/>
              </w:rPr>
              <w:t xml:space="preserve"> da Primeira Série</w:t>
            </w:r>
            <w:r w:rsidR="00333FFF" w:rsidRPr="00365D60">
              <w:rPr>
                <w:rFonts w:ascii="Calibri" w:hAnsi="Calibri" w:cs="Calibri"/>
                <w:kern w:val="20"/>
                <w:sz w:val="24"/>
              </w:rPr>
              <w:t>”); e (ii) Debêntures da Segunda Série será de 15 (quinze) anos contados da Data de Emissão, vencendo-se, portanto, em 15 de janeiro de 2037 (“</w:t>
            </w:r>
            <w:r w:rsidR="00333FFF" w:rsidRPr="00365D60">
              <w:rPr>
                <w:rFonts w:ascii="Calibri" w:hAnsi="Calibri" w:cs="Calibri"/>
                <w:kern w:val="20"/>
                <w:sz w:val="24"/>
                <w:u w:val="single"/>
              </w:rPr>
              <w:t>Data de Vencimento da Segunda Série</w:t>
            </w:r>
            <w:r w:rsidR="00333FFF" w:rsidRPr="00365D60">
              <w:rPr>
                <w:rFonts w:ascii="Calibri" w:hAnsi="Calibri" w:cs="Calibri"/>
                <w:kern w:val="20"/>
                <w:sz w:val="24"/>
              </w:rPr>
              <w:t>” e, em conjunto com a Data de Vencimento da Primeira Série, “</w:t>
            </w:r>
            <w:r w:rsidR="00333FFF" w:rsidRPr="00365D60">
              <w:rPr>
                <w:rFonts w:ascii="Calibri" w:hAnsi="Calibri" w:cs="Calibri"/>
                <w:kern w:val="20"/>
                <w:sz w:val="24"/>
                <w:u w:val="single"/>
              </w:rPr>
              <w:t>Data de Vencimento</w:t>
            </w:r>
            <w:r w:rsidR="00333FFF" w:rsidRPr="00C6089D">
              <w:rPr>
                <w:rFonts w:ascii="Calibri" w:hAnsi="Calibri" w:cs="Calibri"/>
                <w:kern w:val="20"/>
                <w:sz w:val="24"/>
              </w:rPr>
              <w:t>”).</w:t>
            </w:r>
          </w:p>
        </w:tc>
      </w:tr>
      <w:tr w:rsidR="00720C65" w:rsidRPr="00365D60" w14:paraId="63140BFD" w14:textId="77777777" w:rsidTr="009955CC">
        <w:trPr>
          <w:jc w:val="center"/>
        </w:trPr>
        <w:tc>
          <w:tcPr>
            <w:tcW w:w="3119" w:type="dxa"/>
          </w:tcPr>
          <w:p w14:paraId="13B06BF6" w14:textId="5542FE82" w:rsidR="00652CB0" w:rsidRPr="00C6089D" w:rsidRDefault="0088039A" w:rsidP="00AB0823">
            <w:pPr>
              <w:pStyle w:val="Body"/>
              <w:jc w:val="left"/>
              <w:rPr>
                <w:rFonts w:ascii="Calibri" w:hAnsi="Calibri" w:cs="Calibri"/>
                <w:b/>
                <w:sz w:val="24"/>
              </w:rPr>
            </w:pPr>
            <w:bookmarkStart w:id="19" w:name="_Ref428730747"/>
            <w:r w:rsidRPr="0088039A">
              <w:rPr>
                <w:rFonts w:ascii="Calibri" w:hAnsi="Calibri" w:cs="Calibri"/>
                <w:b/>
                <w:sz w:val="24"/>
              </w:rPr>
              <w:t>Agente de Liquidação</w:t>
            </w:r>
            <w:bookmarkEnd w:id="19"/>
          </w:p>
        </w:tc>
        <w:tc>
          <w:tcPr>
            <w:tcW w:w="5611" w:type="dxa"/>
          </w:tcPr>
          <w:p w14:paraId="722A7D41" w14:textId="5C227F85" w:rsidR="00652CB0" w:rsidRPr="00C6089D" w:rsidRDefault="007129BF" w:rsidP="007129BF">
            <w:pPr>
              <w:pStyle w:val="Body"/>
              <w:rPr>
                <w:rFonts w:ascii="Calibri" w:hAnsi="Calibri" w:cs="Calibri"/>
                <w:sz w:val="24"/>
              </w:rPr>
            </w:pPr>
            <w:r w:rsidRPr="00C6089D">
              <w:rPr>
                <w:rFonts w:ascii="Calibri" w:hAnsi="Calibri" w:cs="Calibri"/>
                <w:sz w:val="24"/>
              </w:rPr>
              <w:t xml:space="preserve">O </w:t>
            </w:r>
            <w:r w:rsidR="0088039A" w:rsidRPr="0088039A">
              <w:rPr>
                <w:rFonts w:ascii="Calibri" w:hAnsi="Calibri" w:cs="Calibri"/>
                <w:sz w:val="24"/>
              </w:rPr>
              <w:t>agente de liquidação</w:t>
            </w:r>
            <w:r w:rsidRPr="00C6089D">
              <w:rPr>
                <w:rFonts w:ascii="Calibri" w:hAnsi="Calibri" w:cs="Calibri"/>
                <w:sz w:val="24"/>
              </w:rPr>
              <w:t xml:space="preserve"> da Emissão é </w:t>
            </w:r>
            <w:r w:rsidR="00333FFF" w:rsidRPr="00365D60">
              <w:rPr>
                <w:rFonts w:ascii="Calibri" w:hAnsi="Calibri" w:cs="Calibri"/>
                <w:sz w:val="24"/>
              </w:rPr>
              <w:t xml:space="preserve">a </w:t>
            </w:r>
            <w:r w:rsidR="00333FFF" w:rsidRPr="00365D60">
              <w:rPr>
                <w:rFonts w:ascii="Calibri" w:hAnsi="Calibri" w:cs="Calibri"/>
                <w:b/>
                <w:bCs/>
                <w:sz w:val="24"/>
              </w:rPr>
              <w:t>VÓRTX DISTRIBUIDORA DE TÍTULOS E VALORES MOBILIÁRIOS LTDA.</w:t>
            </w:r>
            <w:r w:rsidR="00333FFF" w:rsidRPr="00365D60">
              <w:rPr>
                <w:rFonts w:ascii="Calibri" w:hAnsi="Calibri" w:cs="Calibri"/>
                <w:sz w:val="24"/>
              </w:rPr>
              <w:t>, sociedade limitada</w:t>
            </w:r>
            <w:r w:rsidR="00333FFF" w:rsidRPr="00C6089D">
              <w:rPr>
                <w:rFonts w:ascii="Calibri" w:hAnsi="Calibri" w:cs="Calibri"/>
                <w:sz w:val="24"/>
              </w:rPr>
              <w:t xml:space="preserve">, com sede na </w:t>
            </w:r>
            <w:r w:rsidR="00333FFF" w:rsidRPr="00365D60">
              <w:rPr>
                <w:rFonts w:ascii="Calibri" w:hAnsi="Calibri" w:cs="Calibri"/>
                <w:sz w:val="24"/>
              </w:rPr>
              <w:t xml:space="preserve">Avenida Brigadeiro Faria Lima, nº 2.277,2º andar, Conjunto 202, na </w:t>
            </w:r>
            <w:r w:rsidR="00333FFF" w:rsidRPr="00C6089D">
              <w:rPr>
                <w:rFonts w:ascii="Calibri" w:hAnsi="Calibri" w:cs="Calibri"/>
                <w:sz w:val="24"/>
              </w:rPr>
              <w:t xml:space="preserve">Cidade de </w:t>
            </w:r>
            <w:r w:rsidR="00333FFF" w:rsidRPr="00365D60">
              <w:rPr>
                <w:rFonts w:ascii="Calibri" w:hAnsi="Calibri" w:cs="Calibri"/>
                <w:sz w:val="24"/>
              </w:rPr>
              <w:t>Sio Paulo</w:t>
            </w:r>
            <w:r w:rsidR="00333FFF" w:rsidRPr="00C6089D">
              <w:rPr>
                <w:rFonts w:ascii="Calibri" w:hAnsi="Calibri" w:cs="Calibri"/>
                <w:sz w:val="24"/>
              </w:rPr>
              <w:t xml:space="preserve">, Estado de </w:t>
            </w:r>
            <w:r w:rsidR="00333FFF" w:rsidRPr="00365D60">
              <w:rPr>
                <w:rFonts w:ascii="Calibri" w:hAnsi="Calibri" w:cs="Calibri"/>
                <w:sz w:val="24"/>
              </w:rPr>
              <w:t>Sio Paulo</w:t>
            </w:r>
            <w:r w:rsidR="00333FFF" w:rsidRPr="00C6089D">
              <w:rPr>
                <w:rFonts w:ascii="Calibri" w:hAnsi="Calibri" w:cs="Calibri"/>
                <w:sz w:val="24"/>
              </w:rPr>
              <w:t>, inscrita no CNPJ</w:t>
            </w:r>
            <w:r w:rsidR="00333FFF" w:rsidRPr="00365D60">
              <w:rPr>
                <w:rFonts w:ascii="Calibri" w:hAnsi="Calibri" w:cs="Calibri"/>
                <w:sz w:val="24"/>
              </w:rPr>
              <w:t>/ME</w:t>
            </w:r>
            <w:r w:rsidR="00333FFF" w:rsidRPr="00C6089D">
              <w:rPr>
                <w:rFonts w:ascii="Calibri" w:hAnsi="Calibri" w:cs="Calibri"/>
                <w:sz w:val="24"/>
              </w:rPr>
              <w:t xml:space="preserve"> sob o nº </w:t>
            </w:r>
            <w:r w:rsidR="00333FFF" w:rsidRPr="00365D60">
              <w:rPr>
                <w:rFonts w:ascii="Calibri" w:hAnsi="Calibri" w:cs="Calibri"/>
                <w:sz w:val="24"/>
              </w:rPr>
              <w:t>22.610.500</w:t>
            </w:r>
            <w:r w:rsidR="00333FFF" w:rsidRPr="00C6089D">
              <w:rPr>
                <w:rFonts w:ascii="Calibri" w:hAnsi="Calibri" w:cs="Calibri"/>
                <w:sz w:val="24"/>
              </w:rPr>
              <w:t>/0001-</w:t>
            </w:r>
            <w:r w:rsidR="00333FFF" w:rsidRPr="00365D60">
              <w:rPr>
                <w:rFonts w:ascii="Calibri" w:hAnsi="Calibri" w:cs="Calibri"/>
                <w:sz w:val="24"/>
              </w:rPr>
              <w:t>88</w:t>
            </w:r>
            <w:r w:rsidR="00333FFF" w:rsidRPr="00C6089D">
              <w:rPr>
                <w:rFonts w:ascii="Calibri" w:hAnsi="Calibri" w:cs="Calibri"/>
                <w:sz w:val="24"/>
              </w:rPr>
              <w:t xml:space="preserve"> </w:t>
            </w:r>
            <w:r w:rsidRPr="00C6089D">
              <w:rPr>
                <w:rFonts w:ascii="Calibri" w:hAnsi="Calibri" w:cs="Calibri"/>
                <w:sz w:val="24"/>
              </w:rPr>
              <w:t>(“</w:t>
            </w:r>
            <w:r w:rsidR="0088039A" w:rsidRPr="0088039A">
              <w:rPr>
                <w:rFonts w:ascii="Calibri" w:hAnsi="Calibri" w:cs="Calibri"/>
                <w:sz w:val="24"/>
                <w:u w:val="single"/>
              </w:rPr>
              <w:t>Agente de Liquidação</w:t>
            </w:r>
            <w:r w:rsidRPr="00365D60">
              <w:rPr>
                <w:rFonts w:ascii="Calibri" w:hAnsi="Calibri" w:cs="Calibri"/>
                <w:sz w:val="24"/>
              </w:rPr>
              <w:t>”</w:t>
            </w:r>
            <w:r w:rsidR="005529DB" w:rsidRPr="00365D60">
              <w:rPr>
                <w:rFonts w:ascii="Calibri" w:hAnsi="Calibri" w:cs="Calibri"/>
                <w:sz w:val="24"/>
              </w:rPr>
              <w:t>)</w:t>
            </w:r>
            <w:r w:rsidRPr="00365D60">
              <w:rPr>
                <w:rFonts w:ascii="Calibri" w:hAnsi="Calibri" w:cs="Calibri"/>
                <w:sz w:val="24"/>
              </w:rPr>
              <w:t>,</w:t>
            </w:r>
            <w:r w:rsidRPr="00C6089D">
              <w:rPr>
                <w:rFonts w:ascii="Calibri" w:hAnsi="Calibri" w:cs="Calibri"/>
                <w:sz w:val="24"/>
              </w:rPr>
              <w:t xml:space="preserve"> cuja definição </w:t>
            </w:r>
            <w:r w:rsidR="000D662E" w:rsidRPr="00C6089D">
              <w:rPr>
                <w:rFonts w:ascii="Calibri" w:hAnsi="Calibri" w:cs="Calibri"/>
                <w:sz w:val="24"/>
              </w:rPr>
              <w:t>incluem</w:t>
            </w:r>
            <w:r w:rsidRPr="00C6089D">
              <w:rPr>
                <w:rFonts w:ascii="Calibri" w:hAnsi="Calibri" w:cs="Calibri"/>
                <w:sz w:val="24"/>
              </w:rPr>
              <w:t xml:space="preserve"> qualquer outra instituição que venha a suceder o </w:t>
            </w:r>
            <w:r w:rsidR="0088039A" w:rsidRPr="0088039A">
              <w:rPr>
                <w:rFonts w:ascii="Calibri" w:hAnsi="Calibri" w:cs="Calibri"/>
                <w:sz w:val="24"/>
              </w:rPr>
              <w:t>Agente de Liquidação</w:t>
            </w:r>
            <w:r w:rsidRPr="00C6089D">
              <w:rPr>
                <w:rFonts w:ascii="Calibri" w:hAnsi="Calibri" w:cs="Calibri"/>
                <w:sz w:val="24"/>
              </w:rPr>
              <w:t xml:space="preserve"> na prestação dos serviços de </w:t>
            </w:r>
            <w:r w:rsidR="0088039A" w:rsidRPr="0088039A">
              <w:rPr>
                <w:rFonts w:ascii="Calibri" w:hAnsi="Calibri" w:cs="Calibri"/>
                <w:sz w:val="24"/>
              </w:rPr>
              <w:t>agente de liquidação</w:t>
            </w:r>
            <w:r w:rsidRPr="00C6089D">
              <w:rPr>
                <w:rFonts w:ascii="Calibri" w:hAnsi="Calibri" w:cs="Calibri"/>
                <w:sz w:val="24"/>
              </w:rPr>
              <w:t xml:space="preserve"> da Emissão</w:t>
            </w:r>
            <w:r w:rsidR="005529DB" w:rsidRPr="00365D60">
              <w:rPr>
                <w:rFonts w:ascii="Calibri" w:hAnsi="Calibri" w:cs="Calibri"/>
                <w:sz w:val="24"/>
              </w:rPr>
              <w:t>.</w:t>
            </w:r>
          </w:p>
        </w:tc>
      </w:tr>
      <w:tr w:rsidR="005529DB" w:rsidRPr="00365D60" w14:paraId="40FC8B85" w14:textId="77777777" w:rsidTr="009955CC">
        <w:trPr>
          <w:jc w:val="center"/>
        </w:trPr>
        <w:tc>
          <w:tcPr>
            <w:tcW w:w="3119" w:type="dxa"/>
          </w:tcPr>
          <w:p w14:paraId="2569182F" w14:textId="59298D93" w:rsidR="005529DB" w:rsidRPr="00365D60" w:rsidRDefault="005529DB" w:rsidP="00AB0823">
            <w:pPr>
              <w:pStyle w:val="Body"/>
              <w:jc w:val="left"/>
              <w:rPr>
                <w:rFonts w:ascii="Calibri" w:hAnsi="Calibri" w:cs="Calibri"/>
                <w:b/>
                <w:sz w:val="24"/>
              </w:rPr>
            </w:pPr>
            <w:r w:rsidRPr="00365D60">
              <w:rPr>
                <w:rFonts w:ascii="Calibri" w:hAnsi="Calibri" w:cs="Calibri"/>
                <w:b/>
                <w:sz w:val="24"/>
              </w:rPr>
              <w:t>Escriturador</w:t>
            </w:r>
          </w:p>
        </w:tc>
        <w:tc>
          <w:tcPr>
            <w:tcW w:w="5611" w:type="dxa"/>
          </w:tcPr>
          <w:p w14:paraId="4BD18C34" w14:textId="5A66223B" w:rsidR="005529DB" w:rsidRPr="00365D60" w:rsidRDefault="005529DB" w:rsidP="007129BF">
            <w:pPr>
              <w:pStyle w:val="Body"/>
              <w:rPr>
                <w:rFonts w:ascii="Calibri" w:hAnsi="Calibri" w:cs="Calibri"/>
                <w:sz w:val="24"/>
              </w:rPr>
            </w:pPr>
            <w:r w:rsidRPr="00365D60">
              <w:rPr>
                <w:rFonts w:ascii="Calibri" w:hAnsi="Calibri" w:cs="Calibri"/>
                <w:sz w:val="24"/>
              </w:rPr>
              <w:t xml:space="preserve">O escriturador das Debêntures é a </w:t>
            </w:r>
            <w:r w:rsidRPr="00365D60">
              <w:rPr>
                <w:rFonts w:ascii="Calibri" w:hAnsi="Calibri" w:cs="Calibri"/>
                <w:b/>
                <w:bCs/>
                <w:sz w:val="24"/>
              </w:rPr>
              <w:t>SIMPLIFIC PAVARINI DISTRIBUIDORA DE TÍTULOS E VALORES MOBILIÁRIOS LTDA.</w:t>
            </w:r>
            <w:r w:rsidRPr="00365D60">
              <w:rPr>
                <w:rFonts w:ascii="Calibri" w:hAnsi="Calibri" w:cs="Calibri"/>
                <w:sz w:val="24"/>
              </w:rPr>
              <w:t xml:space="preserve">, instituição financeira atuando por sua filial na cidade de São Paulo, Estado de São Paulo, na Rua Joaquim Floriano 466, bloco B, </w:t>
            </w:r>
            <w:proofErr w:type="spellStart"/>
            <w:r w:rsidRPr="00365D60">
              <w:rPr>
                <w:rFonts w:ascii="Calibri" w:hAnsi="Calibri" w:cs="Calibri"/>
                <w:sz w:val="24"/>
              </w:rPr>
              <w:t>conj</w:t>
            </w:r>
            <w:proofErr w:type="spellEnd"/>
            <w:r w:rsidRPr="00365D60">
              <w:rPr>
                <w:rFonts w:ascii="Calibri" w:hAnsi="Calibri" w:cs="Calibri"/>
                <w:sz w:val="24"/>
              </w:rPr>
              <w:t xml:space="preserve"> 1401, Itaim Bibi CEP 04534-002, inscrita no CNPJ</w:t>
            </w:r>
            <w:r w:rsidR="000D662E">
              <w:rPr>
                <w:rFonts w:ascii="Calibri" w:hAnsi="Calibri" w:cs="Calibri"/>
                <w:sz w:val="24"/>
              </w:rPr>
              <w:t>/ME</w:t>
            </w:r>
            <w:r w:rsidRPr="00365D60">
              <w:rPr>
                <w:rFonts w:ascii="Calibri" w:hAnsi="Calibri" w:cs="Calibri"/>
                <w:sz w:val="24"/>
              </w:rPr>
              <w:t xml:space="preserve"> sob o nº 15.227.994/0004-01 (“</w:t>
            </w:r>
            <w:r w:rsidRPr="00365D60">
              <w:rPr>
                <w:rFonts w:ascii="Calibri" w:hAnsi="Calibri" w:cs="Calibri"/>
                <w:sz w:val="24"/>
                <w:u w:val="single"/>
              </w:rPr>
              <w:t>Escriturador</w:t>
            </w:r>
            <w:r w:rsidRPr="00365D60">
              <w:rPr>
                <w:rFonts w:ascii="Calibri" w:hAnsi="Calibri" w:cs="Calibri"/>
                <w:sz w:val="24"/>
              </w:rPr>
              <w:t>”), cuja definição inclui qualquer outra instituição que venha a suceder o Escriturador na prestação dos serviços de escriturador das Debêntures.</w:t>
            </w:r>
          </w:p>
        </w:tc>
      </w:tr>
      <w:tr w:rsidR="00720C65" w:rsidRPr="00365D60" w14:paraId="1FB686FC" w14:textId="77777777" w:rsidTr="009955CC">
        <w:trPr>
          <w:jc w:val="center"/>
        </w:trPr>
        <w:tc>
          <w:tcPr>
            <w:tcW w:w="3119" w:type="dxa"/>
          </w:tcPr>
          <w:p w14:paraId="131CDFF9" w14:textId="533F0EE0" w:rsidR="00652CB0" w:rsidRPr="00C6089D" w:rsidRDefault="00652CB0" w:rsidP="00742B73">
            <w:pPr>
              <w:pStyle w:val="Body"/>
              <w:jc w:val="left"/>
              <w:rPr>
                <w:rFonts w:ascii="Calibri" w:hAnsi="Calibri" w:cs="Calibri"/>
                <w:b/>
                <w:sz w:val="24"/>
              </w:rPr>
            </w:pPr>
            <w:r w:rsidRPr="00C6089D">
              <w:rPr>
                <w:rFonts w:ascii="Calibri" w:hAnsi="Calibri" w:cs="Calibri"/>
                <w:b/>
                <w:sz w:val="24"/>
              </w:rPr>
              <w:lastRenderedPageBreak/>
              <w:t>Forma</w:t>
            </w:r>
            <w:r w:rsidR="005529DB" w:rsidRPr="00365D60">
              <w:rPr>
                <w:rFonts w:ascii="Calibri" w:hAnsi="Calibri" w:cs="Calibri"/>
                <w:b/>
                <w:sz w:val="24"/>
              </w:rPr>
              <w:t>, Tipo</w:t>
            </w:r>
            <w:r w:rsidRPr="00C6089D">
              <w:rPr>
                <w:rFonts w:ascii="Calibri" w:hAnsi="Calibri" w:cs="Calibri"/>
                <w:b/>
                <w:sz w:val="24"/>
              </w:rPr>
              <w:t xml:space="preserve"> e Comprovação da Titularidade das Debêntures</w:t>
            </w:r>
          </w:p>
        </w:tc>
        <w:tc>
          <w:tcPr>
            <w:tcW w:w="5611" w:type="dxa"/>
          </w:tcPr>
          <w:p w14:paraId="55C91EFC" w14:textId="72BCB933" w:rsidR="00652CB0" w:rsidRPr="00C6089D" w:rsidRDefault="00CC150D" w:rsidP="00CC150D">
            <w:pPr>
              <w:pStyle w:val="Body"/>
              <w:rPr>
                <w:rFonts w:ascii="Calibri" w:hAnsi="Calibri" w:cs="Calibri"/>
                <w:sz w:val="24"/>
              </w:rPr>
            </w:pPr>
            <w:r w:rsidRPr="00C6089D">
              <w:rPr>
                <w:rFonts w:ascii="Calibri" w:hAnsi="Calibri" w:cs="Calibri"/>
                <w:sz w:val="24"/>
              </w:rPr>
              <w:t>As Debêntures são emitidas na forma nominativa e escritural, sem a emissão de certificados e/ou cautelas. Para todos os fins de direito, a titularidade das Debêntures será comprovada pelo extrato</w:t>
            </w:r>
            <w:r w:rsidR="005529DB" w:rsidRPr="00C6089D">
              <w:rPr>
                <w:rFonts w:ascii="Calibri" w:hAnsi="Calibri" w:cs="Calibri"/>
                <w:sz w:val="24"/>
              </w:rPr>
              <w:t xml:space="preserve"> </w:t>
            </w:r>
            <w:r w:rsidR="005529DB" w:rsidRPr="00365D60">
              <w:rPr>
                <w:rFonts w:ascii="Calibri" w:hAnsi="Calibri" w:cs="Calibri"/>
                <w:sz w:val="24"/>
              </w:rPr>
              <w:t>de conta</w:t>
            </w:r>
            <w:r w:rsidRPr="00365D60">
              <w:rPr>
                <w:rFonts w:ascii="Calibri" w:hAnsi="Calibri" w:cs="Calibri"/>
                <w:sz w:val="24"/>
              </w:rPr>
              <w:t xml:space="preserve"> </w:t>
            </w:r>
            <w:r w:rsidRPr="00C6089D">
              <w:rPr>
                <w:rFonts w:ascii="Calibri" w:hAnsi="Calibri" w:cs="Calibri"/>
                <w:sz w:val="24"/>
              </w:rPr>
              <w:t>emitido pelo Escriturador. Adicionalmente, com relação às Debêntures que estiverem custodiadas eletronicamente na B3, será expedido, por esta, extrato em nome do Debenturista, que servirá de comprovante de titularidade de tais Debêntures.</w:t>
            </w:r>
          </w:p>
        </w:tc>
      </w:tr>
      <w:tr w:rsidR="00720C65" w:rsidRPr="00365D60" w14:paraId="184B2E45" w14:textId="77777777" w:rsidTr="009955CC">
        <w:trPr>
          <w:jc w:val="center"/>
        </w:trPr>
        <w:tc>
          <w:tcPr>
            <w:tcW w:w="3119" w:type="dxa"/>
          </w:tcPr>
          <w:p w14:paraId="3865386E" w14:textId="77777777" w:rsidR="00652CB0" w:rsidRPr="00C6089D" w:rsidRDefault="00652CB0" w:rsidP="00742B73">
            <w:pPr>
              <w:pStyle w:val="Body"/>
              <w:jc w:val="left"/>
              <w:rPr>
                <w:rFonts w:ascii="Calibri" w:hAnsi="Calibri" w:cs="Calibri"/>
                <w:b/>
                <w:sz w:val="24"/>
              </w:rPr>
            </w:pPr>
            <w:r w:rsidRPr="00C6089D">
              <w:rPr>
                <w:rFonts w:ascii="Calibri" w:hAnsi="Calibri" w:cs="Calibri"/>
                <w:b/>
                <w:sz w:val="24"/>
              </w:rPr>
              <w:t>Conversibilidade</w:t>
            </w:r>
          </w:p>
        </w:tc>
        <w:tc>
          <w:tcPr>
            <w:tcW w:w="5611" w:type="dxa"/>
          </w:tcPr>
          <w:p w14:paraId="1E32A75C" w14:textId="67BBC44D" w:rsidR="00652CB0" w:rsidRPr="00C6089D" w:rsidRDefault="00CC150D" w:rsidP="004A71CF">
            <w:pPr>
              <w:pStyle w:val="Body"/>
              <w:spacing w:line="307" w:lineRule="auto"/>
              <w:rPr>
                <w:rFonts w:ascii="Calibri" w:hAnsi="Calibri" w:cs="Calibri"/>
                <w:sz w:val="24"/>
              </w:rPr>
            </w:pPr>
            <w:r w:rsidRPr="00C6089D">
              <w:rPr>
                <w:rFonts w:ascii="Calibri" w:hAnsi="Calibri" w:cs="Calibri"/>
                <w:sz w:val="24"/>
              </w:rPr>
              <w:t>As Debêntures não serão conversíveis em ações de emissão da Emissora.</w:t>
            </w:r>
          </w:p>
        </w:tc>
      </w:tr>
      <w:tr w:rsidR="00720C65" w:rsidRPr="00365D60" w14:paraId="65E4EDD5" w14:textId="77777777" w:rsidTr="009955CC">
        <w:trPr>
          <w:jc w:val="center"/>
        </w:trPr>
        <w:tc>
          <w:tcPr>
            <w:tcW w:w="3119" w:type="dxa"/>
          </w:tcPr>
          <w:p w14:paraId="173AC93D" w14:textId="77777777" w:rsidR="00652CB0" w:rsidRPr="00C6089D" w:rsidRDefault="00652CB0" w:rsidP="00AB0823">
            <w:pPr>
              <w:pStyle w:val="Body"/>
              <w:jc w:val="left"/>
              <w:rPr>
                <w:rFonts w:ascii="Calibri" w:hAnsi="Calibri" w:cs="Calibri"/>
                <w:b/>
                <w:sz w:val="24"/>
              </w:rPr>
            </w:pPr>
            <w:r w:rsidRPr="00C6089D">
              <w:rPr>
                <w:rFonts w:ascii="Calibri" w:hAnsi="Calibri" w:cs="Calibri"/>
                <w:b/>
                <w:sz w:val="24"/>
              </w:rPr>
              <w:t>Espécie</w:t>
            </w:r>
          </w:p>
        </w:tc>
        <w:tc>
          <w:tcPr>
            <w:tcW w:w="5611" w:type="dxa"/>
          </w:tcPr>
          <w:p w14:paraId="6FDFAB20" w14:textId="66FE3011" w:rsidR="00CC150D" w:rsidRPr="00C6089D" w:rsidRDefault="00CC150D" w:rsidP="004A71CF">
            <w:pPr>
              <w:pStyle w:val="Body"/>
              <w:spacing w:line="307" w:lineRule="auto"/>
              <w:rPr>
                <w:rFonts w:ascii="Calibri" w:hAnsi="Calibri" w:cs="Calibri"/>
                <w:sz w:val="24"/>
              </w:rPr>
            </w:pPr>
            <w:r w:rsidRPr="00C6089D">
              <w:rPr>
                <w:rFonts w:ascii="Calibri" w:hAnsi="Calibri" w:cs="Calibri"/>
                <w:sz w:val="24"/>
              </w:rPr>
              <w:t xml:space="preserve">As Debêntures serão da espécie quirografária, nos termos do artigo 58, </w:t>
            </w:r>
            <w:r w:rsidRPr="00C6089D">
              <w:rPr>
                <w:rFonts w:ascii="Calibri" w:hAnsi="Calibri" w:cs="Calibri"/>
                <w:i/>
                <w:sz w:val="24"/>
              </w:rPr>
              <w:t>caput</w:t>
            </w:r>
            <w:r w:rsidRPr="00C6089D">
              <w:rPr>
                <w:rFonts w:ascii="Calibri" w:hAnsi="Calibri" w:cs="Calibri"/>
                <w:sz w:val="24"/>
              </w:rPr>
              <w:t xml:space="preserve">, da Lei das Sociedades por Ações, razão pela qual não contarão com garantia real ou fidejussória, nem qualquer privilégio sobre os bens da Emissora. </w:t>
            </w:r>
          </w:p>
          <w:p w14:paraId="49B95454" w14:textId="6B5E596B" w:rsidR="00652CB0" w:rsidRPr="00C6089D" w:rsidRDefault="00CC150D" w:rsidP="004A71CF">
            <w:pPr>
              <w:pStyle w:val="Body"/>
              <w:spacing w:line="307" w:lineRule="auto"/>
              <w:rPr>
                <w:rFonts w:ascii="Calibri" w:hAnsi="Calibri" w:cs="Calibri"/>
                <w:sz w:val="24"/>
              </w:rPr>
            </w:pPr>
            <w:r w:rsidRPr="00C6089D">
              <w:rPr>
                <w:rFonts w:ascii="Calibri" w:hAnsi="Calibri" w:cs="Calibri"/>
                <w:b/>
                <w:sz w:val="24"/>
              </w:rPr>
              <w:t xml:space="preserve">Para mais informações sobre a Espécie das Debêntures, veja a seção “Fatores de Risco Relacionados à Oferta e às Debêntures - As Debêntures são da espécie quirografária, sem quaisquer garantias reais, fidejussórias e sem preferência.”, </w:t>
            </w:r>
            <w:r w:rsidR="00652CB0" w:rsidRPr="00C6089D">
              <w:rPr>
                <w:rFonts w:ascii="Calibri" w:hAnsi="Calibri" w:cs="Calibri"/>
                <w:b/>
                <w:sz w:val="24"/>
              </w:rPr>
              <w:t xml:space="preserve">no Prospecto </w:t>
            </w:r>
            <w:r w:rsidR="000D5761" w:rsidRPr="00C6089D">
              <w:rPr>
                <w:rFonts w:ascii="Calibri" w:hAnsi="Calibri" w:cs="Calibri"/>
                <w:b/>
                <w:sz w:val="24"/>
              </w:rPr>
              <w:t>Definitivo</w:t>
            </w:r>
            <w:r w:rsidR="00652CB0" w:rsidRPr="00C6089D">
              <w:rPr>
                <w:rFonts w:ascii="Calibri" w:hAnsi="Calibri" w:cs="Calibri"/>
                <w:b/>
                <w:sz w:val="24"/>
              </w:rPr>
              <w:t>.</w:t>
            </w:r>
          </w:p>
        </w:tc>
      </w:tr>
      <w:tr w:rsidR="00720C65" w:rsidRPr="00365D60" w14:paraId="3E9ED7BD" w14:textId="77777777" w:rsidTr="009955CC">
        <w:trPr>
          <w:jc w:val="center"/>
        </w:trPr>
        <w:tc>
          <w:tcPr>
            <w:tcW w:w="3119" w:type="dxa"/>
          </w:tcPr>
          <w:p w14:paraId="1A8503FC" w14:textId="77777777" w:rsidR="00652CB0" w:rsidRPr="00C6089D" w:rsidRDefault="00652CB0" w:rsidP="00AB0823">
            <w:pPr>
              <w:pStyle w:val="Body"/>
              <w:jc w:val="left"/>
              <w:rPr>
                <w:rFonts w:ascii="Calibri" w:hAnsi="Calibri" w:cs="Calibri"/>
                <w:b/>
                <w:sz w:val="24"/>
              </w:rPr>
            </w:pPr>
            <w:r w:rsidRPr="00C6089D">
              <w:rPr>
                <w:rFonts w:ascii="Calibri" w:hAnsi="Calibri" w:cs="Calibri"/>
                <w:b/>
                <w:sz w:val="24"/>
              </w:rPr>
              <w:t>Direito de Preferência</w:t>
            </w:r>
          </w:p>
        </w:tc>
        <w:tc>
          <w:tcPr>
            <w:tcW w:w="5611" w:type="dxa"/>
          </w:tcPr>
          <w:p w14:paraId="7BF69AD5" w14:textId="1D9947AC" w:rsidR="00652CB0" w:rsidRPr="00C6089D" w:rsidRDefault="00CC150D" w:rsidP="004A71CF">
            <w:pPr>
              <w:pStyle w:val="Body"/>
              <w:spacing w:line="307" w:lineRule="auto"/>
              <w:rPr>
                <w:rFonts w:ascii="Calibri" w:hAnsi="Calibri" w:cs="Calibri"/>
                <w:sz w:val="24"/>
              </w:rPr>
            </w:pPr>
            <w:r w:rsidRPr="00C6089D">
              <w:rPr>
                <w:rFonts w:ascii="Calibri" w:hAnsi="Calibri" w:cs="Calibri"/>
                <w:sz w:val="24"/>
              </w:rPr>
              <w:t>Não haverá direito de preferência dos atuais acionistas da Emissora na subscrição das Debêntures.</w:t>
            </w:r>
          </w:p>
        </w:tc>
      </w:tr>
      <w:tr w:rsidR="00720C65" w:rsidRPr="00365D60" w14:paraId="3738F196" w14:textId="77777777" w:rsidTr="009955CC">
        <w:trPr>
          <w:jc w:val="center"/>
        </w:trPr>
        <w:tc>
          <w:tcPr>
            <w:tcW w:w="3119" w:type="dxa"/>
          </w:tcPr>
          <w:p w14:paraId="6EC738F6" w14:textId="362C7D47" w:rsidR="00652CB0" w:rsidRPr="00C6089D" w:rsidRDefault="00652CB0" w:rsidP="00AB0823">
            <w:pPr>
              <w:pStyle w:val="Body"/>
              <w:jc w:val="left"/>
              <w:rPr>
                <w:rFonts w:ascii="Calibri" w:hAnsi="Calibri" w:cs="Calibri"/>
                <w:b/>
                <w:sz w:val="24"/>
              </w:rPr>
            </w:pPr>
            <w:bookmarkStart w:id="20" w:name="_Toc428328028"/>
            <w:r w:rsidRPr="00C6089D">
              <w:rPr>
                <w:rFonts w:ascii="Calibri" w:hAnsi="Calibri" w:cs="Calibri"/>
                <w:b/>
                <w:sz w:val="24"/>
              </w:rPr>
              <w:t>Repactuação Programada</w:t>
            </w:r>
            <w:bookmarkEnd w:id="20"/>
          </w:p>
        </w:tc>
        <w:tc>
          <w:tcPr>
            <w:tcW w:w="5611" w:type="dxa"/>
          </w:tcPr>
          <w:p w14:paraId="6BE12442" w14:textId="1C5F573F" w:rsidR="00652CB0" w:rsidRPr="00C6089D" w:rsidRDefault="00CC150D" w:rsidP="004A71CF">
            <w:pPr>
              <w:pStyle w:val="Body"/>
              <w:spacing w:line="307" w:lineRule="auto"/>
              <w:rPr>
                <w:rFonts w:ascii="Calibri" w:hAnsi="Calibri" w:cs="Calibri"/>
                <w:sz w:val="24"/>
              </w:rPr>
            </w:pPr>
            <w:r w:rsidRPr="00C6089D">
              <w:rPr>
                <w:rFonts w:ascii="Calibri" w:hAnsi="Calibri" w:cs="Calibri"/>
                <w:sz w:val="24"/>
              </w:rPr>
              <w:t>As Debêntures não serão objeto de repactuação programada.</w:t>
            </w:r>
          </w:p>
        </w:tc>
      </w:tr>
      <w:tr w:rsidR="00720C65" w:rsidRPr="00365D60" w14:paraId="2FBB7BD8" w14:textId="77777777" w:rsidTr="009955CC">
        <w:trPr>
          <w:jc w:val="center"/>
        </w:trPr>
        <w:tc>
          <w:tcPr>
            <w:tcW w:w="3119" w:type="dxa"/>
          </w:tcPr>
          <w:p w14:paraId="1E98D9D7" w14:textId="610428A9" w:rsidR="00652CB0" w:rsidRPr="00365D60" w:rsidRDefault="00652CB0" w:rsidP="00AB0823">
            <w:pPr>
              <w:pStyle w:val="Body"/>
              <w:jc w:val="left"/>
              <w:rPr>
                <w:rFonts w:ascii="Calibri" w:hAnsi="Calibri" w:cs="Calibri"/>
                <w:b/>
                <w:sz w:val="24"/>
              </w:rPr>
            </w:pPr>
            <w:bookmarkStart w:id="21" w:name="_Ref427685207"/>
            <w:bookmarkStart w:id="22" w:name="_Toc428328029"/>
            <w:r w:rsidRPr="00365D60">
              <w:rPr>
                <w:rFonts w:ascii="Calibri" w:hAnsi="Calibri" w:cs="Calibri"/>
                <w:b/>
                <w:sz w:val="24"/>
              </w:rPr>
              <w:t xml:space="preserve">Amortização </w:t>
            </w:r>
            <w:bookmarkEnd w:id="21"/>
            <w:bookmarkEnd w:id="22"/>
            <w:r w:rsidR="00381C7B" w:rsidRPr="00365D60">
              <w:rPr>
                <w:rFonts w:ascii="Calibri" w:hAnsi="Calibri" w:cs="Calibri"/>
                <w:b/>
                <w:sz w:val="24"/>
              </w:rPr>
              <w:t xml:space="preserve">do Valor Nominal Atualizado das Debêntures da </w:t>
            </w:r>
            <w:r w:rsidR="005B67C6">
              <w:rPr>
                <w:rFonts w:ascii="Calibri" w:hAnsi="Calibri" w:cs="Calibri"/>
                <w:b/>
                <w:sz w:val="24"/>
              </w:rPr>
              <w:br/>
            </w:r>
            <w:r w:rsidR="00381C7B" w:rsidRPr="00365D60">
              <w:rPr>
                <w:rFonts w:ascii="Calibri" w:hAnsi="Calibri" w:cs="Calibri"/>
                <w:b/>
                <w:sz w:val="24"/>
              </w:rPr>
              <w:t>Primeira Série</w:t>
            </w:r>
          </w:p>
        </w:tc>
        <w:tc>
          <w:tcPr>
            <w:tcW w:w="5611" w:type="dxa"/>
          </w:tcPr>
          <w:p w14:paraId="3BFE8EDD" w14:textId="131B7BF2" w:rsidR="00D1064E" w:rsidRPr="00365D60" w:rsidRDefault="00381C7B" w:rsidP="004A71CF">
            <w:pPr>
              <w:pStyle w:val="Body"/>
              <w:spacing w:line="307" w:lineRule="auto"/>
              <w:rPr>
                <w:rFonts w:ascii="Calibri" w:hAnsi="Calibri" w:cs="Calibri"/>
                <w:sz w:val="24"/>
              </w:rPr>
            </w:pPr>
            <w:r w:rsidRPr="00365D60">
              <w:rPr>
                <w:rFonts w:ascii="Calibri" w:hAnsi="Calibri" w:cs="Calibri"/>
                <w:sz w:val="24"/>
              </w:rPr>
              <w:t xml:space="preserve">Ressalvadas as hipóteses de pagamento em decorrência de vencimento antecipado das obrigações das Debêntures da Primeira Série e, se permitido pelas regras expedidas pelo CMN e pela legislação e </w:t>
            </w:r>
            <w:r w:rsidRPr="00365D60">
              <w:rPr>
                <w:rFonts w:ascii="Calibri" w:hAnsi="Calibri" w:cs="Calibri"/>
                <w:sz w:val="24"/>
              </w:rPr>
              <w:lastRenderedPageBreak/>
              <w:t xml:space="preserve">regulamentação aplicáveis e Oferta de Resgate Antecipado, o Valor Nominal </w:t>
            </w:r>
            <w:r w:rsidR="0088039A">
              <w:rPr>
                <w:rFonts w:ascii="Calibri" w:hAnsi="Calibri" w:cs="Calibri"/>
                <w:sz w:val="24"/>
              </w:rPr>
              <w:t xml:space="preserve">Unitário </w:t>
            </w:r>
            <w:r w:rsidRPr="00365D60">
              <w:rPr>
                <w:rFonts w:ascii="Calibri" w:hAnsi="Calibri" w:cs="Calibri"/>
                <w:sz w:val="24"/>
              </w:rPr>
              <w:t xml:space="preserve">Atualizado das Debêntures da Primeira Série será amortizado integralmente na Data de Vencimento da Primeira Série. </w:t>
            </w:r>
          </w:p>
        </w:tc>
      </w:tr>
      <w:tr w:rsidR="00381C7B" w:rsidRPr="00365D60" w14:paraId="7DD43FFE" w14:textId="77777777" w:rsidTr="009955CC">
        <w:trPr>
          <w:jc w:val="center"/>
        </w:trPr>
        <w:tc>
          <w:tcPr>
            <w:tcW w:w="3119" w:type="dxa"/>
          </w:tcPr>
          <w:p w14:paraId="6569365B" w14:textId="378E61A2" w:rsidR="00381C7B" w:rsidRPr="00C6089D" w:rsidRDefault="00381C7B" w:rsidP="00AB0823">
            <w:pPr>
              <w:pStyle w:val="Body"/>
              <w:jc w:val="left"/>
              <w:rPr>
                <w:rFonts w:ascii="Calibri" w:hAnsi="Calibri" w:cs="Calibri"/>
                <w:b/>
                <w:sz w:val="24"/>
              </w:rPr>
            </w:pPr>
            <w:r w:rsidRPr="00C6089D">
              <w:rPr>
                <w:rFonts w:ascii="Calibri" w:hAnsi="Calibri" w:cs="Calibri"/>
                <w:b/>
                <w:sz w:val="24"/>
              </w:rPr>
              <w:lastRenderedPageBreak/>
              <w:t xml:space="preserve">Amortização </w:t>
            </w:r>
            <w:r w:rsidRPr="00365D60">
              <w:rPr>
                <w:rFonts w:ascii="Calibri" w:hAnsi="Calibri" w:cs="Calibri"/>
                <w:b/>
                <w:sz w:val="24"/>
              </w:rPr>
              <w:t>do Valor Nominal Atualizado das Debêntures da Segunda Série</w:t>
            </w:r>
          </w:p>
        </w:tc>
        <w:tc>
          <w:tcPr>
            <w:tcW w:w="5611" w:type="dxa"/>
          </w:tcPr>
          <w:p w14:paraId="33E40374" w14:textId="3C9492F1" w:rsidR="00381C7B" w:rsidRPr="00365D60" w:rsidRDefault="003C424A" w:rsidP="00D1064E">
            <w:pPr>
              <w:pStyle w:val="Body"/>
              <w:rPr>
                <w:rFonts w:ascii="Calibri" w:hAnsi="Calibri" w:cs="Calibri"/>
                <w:sz w:val="24"/>
              </w:rPr>
            </w:pPr>
            <w:r w:rsidRPr="00365D60">
              <w:rPr>
                <w:rFonts w:ascii="Calibri" w:hAnsi="Calibri" w:cs="Calibri"/>
                <w:sz w:val="24"/>
              </w:rPr>
              <w:t xml:space="preserve">Ressalvadas as hipóteses de pagamento em decorrência de vencimento antecipado das obrigações das Debêntures da Segunda Série e, se permitido pelas regras expedidas pelo CMN e pela legislação e regulamentação aplicáveis e Oferta de Resgate Antecipado, o Valor Nominal </w:t>
            </w:r>
            <w:r w:rsidR="0088039A">
              <w:rPr>
                <w:rFonts w:ascii="Calibri" w:hAnsi="Calibri" w:cs="Calibri"/>
                <w:sz w:val="24"/>
              </w:rPr>
              <w:t xml:space="preserve">Unitário </w:t>
            </w:r>
            <w:r w:rsidRPr="00365D60">
              <w:rPr>
                <w:rFonts w:ascii="Calibri" w:hAnsi="Calibri" w:cs="Calibri"/>
                <w:sz w:val="24"/>
              </w:rPr>
              <w:t>Atualizado das Debêntures da Segunda Série será amortizado em 3 (três) parcelas anuais e consecutivas, a partir do 13º (décimo terceiro) ano contado da Data de Emissão, sendo a primeira parcela devida em 15 de janeiro de 2035, a segunda em 15 de janeiro de 2036 e a última na Data de Vencimento da Segunda Série, conforme a tabela abaixo:</w:t>
            </w:r>
          </w:p>
          <w:tbl>
            <w:tblPr>
              <w:tblStyle w:val="TableGrid1"/>
              <w:tblpPr w:leftFromText="180" w:rightFromText="180" w:vertAnchor="page" w:horzAnchor="margin" w:tblpY="4331"/>
              <w:tblOverlap w:val="never"/>
              <w:tblW w:w="5000" w:type="pct"/>
              <w:tblCellMar>
                <w:top w:w="28" w:type="dxa"/>
                <w:left w:w="57" w:type="dxa"/>
                <w:bottom w:w="28" w:type="dxa"/>
                <w:right w:w="57" w:type="dxa"/>
              </w:tblCellMar>
              <w:tblLook w:val="04A0" w:firstRow="1" w:lastRow="0" w:firstColumn="1" w:lastColumn="0" w:noHBand="0" w:noVBand="1"/>
            </w:tblPr>
            <w:tblGrid>
              <w:gridCol w:w="927"/>
              <w:gridCol w:w="2733"/>
              <w:gridCol w:w="1827"/>
            </w:tblGrid>
            <w:tr w:rsidR="00FA2612" w:rsidRPr="00365D60" w14:paraId="03613AB7" w14:textId="77777777" w:rsidTr="00FA2612">
              <w:tc>
                <w:tcPr>
                  <w:tcW w:w="845" w:type="pct"/>
                  <w:shd w:val="clear" w:color="auto" w:fill="182D4A"/>
                  <w:vAlign w:val="center"/>
                </w:tcPr>
                <w:p w14:paraId="09D74C4E" w14:textId="77777777" w:rsidR="00FA2612" w:rsidRPr="00365D60" w:rsidRDefault="00FA2612" w:rsidP="00FA2612">
                  <w:pPr>
                    <w:pStyle w:val="Level3"/>
                    <w:numPr>
                      <w:ilvl w:val="0"/>
                      <w:numId w:val="0"/>
                    </w:numPr>
                    <w:spacing w:before="60" w:after="60" w:line="240" w:lineRule="exact"/>
                    <w:jc w:val="center"/>
                    <w:outlineLvl w:val="9"/>
                    <w:rPr>
                      <w:rFonts w:ascii="Calibri" w:hAnsi="Calibri" w:cs="Calibri"/>
                      <w:b/>
                      <w:color w:val="FFFFFF" w:themeColor="background1"/>
                      <w:szCs w:val="24"/>
                    </w:rPr>
                  </w:pPr>
                  <w:r w:rsidRPr="00365D60">
                    <w:rPr>
                      <w:rFonts w:ascii="Calibri" w:hAnsi="Calibri" w:cs="Calibri"/>
                      <w:b/>
                      <w:color w:val="FFFFFF" w:themeColor="background1"/>
                      <w:szCs w:val="24"/>
                    </w:rPr>
                    <w:t>Parcela</w:t>
                  </w:r>
                </w:p>
              </w:tc>
              <w:tc>
                <w:tcPr>
                  <w:tcW w:w="2490" w:type="pct"/>
                  <w:shd w:val="clear" w:color="auto" w:fill="182D4A"/>
                  <w:vAlign w:val="center"/>
                </w:tcPr>
                <w:p w14:paraId="2396F52D" w14:textId="64BFBB74" w:rsidR="00FA2612" w:rsidRPr="00C6089D" w:rsidRDefault="00FA2612" w:rsidP="00FA2612">
                  <w:pPr>
                    <w:pStyle w:val="Level3"/>
                    <w:numPr>
                      <w:ilvl w:val="0"/>
                      <w:numId w:val="0"/>
                    </w:numPr>
                    <w:spacing w:before="60" w:after="60" w:line="240" w:lineRule="exact"/>
                    <w:jc w:val="center"/>
                    <w:outlineLvl w:val="9"/>
                    <w:rPr>
                      <w:rFonts w:ascii="Calibri" w:hAnsi="Calibri" w:cs="Calibri"/>
                      <w:b/>
                      <w:color w:val="FFFFFF" w:themeColor="background1"/>
                      <w:szCs w:val="24"/>
                    </w:rPr>
                  </w:pPr>
                  <w:r w:rsidRPr="00C6089D">
                    <w:rPr>
                      <w:rFonts w:ascii="Calibri" w:hAnsi="Calibri" w:cs="Calibri"/>
                      <w:b/>
                      <w:color w:val="FFFFFF" w:themeColor="background1"/>
                      <w:szCs w:val="24"/>
                    </w:rPr>
                    <w:t xml:space="preserve">Data de </w:t>
                  </w:r>
                  <w:r w:rsidRPr="00365D60">
                    <w:rPr>
                      <w:rFonts w:ascii="Calibri" w:hAnsi="Calibri" w:cs="Calibri"/>
                      <w:b/>
                      <w:color w:val="FFFFFF" w:themeColor="background1"/>
                      <w:szCs w:val="24"/>
                    </w:rPr>
                    <w:t>Amortização das Debêntures da Segunda Série</w:t>
                  </w:r>
                </w:p>
              </w:tc>
              <w:tc>
                <w:tcPr>
                  <w:tcW w:w="1665" w:type="pct"/>
                  <w:shd w:val="clear" w:color="auto" w:fill="182D4A"/>
                  <w:vAlign w:val="center"/>
                </w:tcPr>
                <w:p w14:paraId="71487299" w14:textId="00133E71" w:rsidR="00FA2612" w:rsidRPr="00C6089D" w:rsidRDefault="00FA2612" w:rsidP="00FA2612">
                  <w:pPr>
                    <w:pStyle w:val="Level3"/>
                    <w:numPr>
                      <w:ilvl w:val="0"/>
                      <w:numId w:val="0"/>
                    </w:numPr>
                    <w:spacing w:before="60" w:after="60" w:line="240" w:lineRule="exact"/>
                    <w:jc w:val="center"/>
                    <w:outlineLvl w:val="9"/>
                    <w:rPr>
                      <w:rFonts w:ascii="Calibri" w:hAnsi="Calibri" w:cs="Calibri"/>
                      <w:b/>
                      <w:color w:val="FFFFFF" w:themeColor="background1"/>
                      <w:szCs w:val="24"/>
                    </w:rPr>
                  </w:pPr>
                  <w:r w:rsidRPr="00365D60">
                    <w:rPr>
                      <w:rFonts w:ascii="Calibri" w:hAnsi="Calibri" w:cs="Calibri"/>
                      <w:b/>
                      <w:color w:val="FFFFFF" w:themeColor="background1"/>
                      <w:szCs w:val="24"/>
                    </w:rPr>
                    <w:t>%</w:t>
                  </w:r>
                  <w:r w:rsidRPr="00C6089D">
                    <w:rPr>
                      <w:rFonts w:ascii="Calibri" w:hAnsi="Calibri" w:cs="Calibri"/>
                      <w:b/>
                      <w:color w:val="FFFFFF" w:themeColor="background1"/>
                      <w:szCs w:val="24"/>
                    </w:rPr>
                    <w:t xml:space="preserve"> do Valor Nominal </w:t>
                  </w:r>
                  <w:r w:rsidR="0088039A" w:rsidRPr="0088039A">
                    <w:rPr>
                      <w:rFonts w:ascii="Calibri" w:hAnsi="Calibri" w:cs="Calibri"/>
                      <w:b/>
                      <w:color w:val="FFFFFF" w:themeColor="background1"/>
                      <w:szCs w:val="24"/>
                    </w:rPr>
                    <w:t xml:space="preserve">Unitário </w:t>
                  </w:r>
                  <w:r w:rsidRPr="00C6089D">
                    <w:rPr>
                      <w:rFonts w:ascii="Calibri" w:hAnsi="Calibri" w:cs="Calibri"/>
                      <w:b/>
                      <w:color w:val="FFFFFF" w:themeColor="background1"/>
                      <w:szCs w:val="24"/>
                    </w:rPr>
                    <w:t xml:space="preserve">Atualizado </w:t>
                  </w:r>
                  <w:r w:rsidRPr="00365D60">
                    <w:rPr>
                      <w:rFonts w:ascii="Calibri" w:hAnsi="Calibri" w:cs="Calibri"/>
                      <w:b/>
                      <w:color w:val="FFFFFF" w:themeColor="background1"/>
                      <w:szCs w:val="24"/>
                    </w:rPr>
                    <w:t>da Segunda Série a ser amortizado*</w:t>
                  </w:r>
                </w:p>
              </w:tc>
            </w:tr>
            <w:tr w:rsidR="00FA2612" w:rsidRPr="00365D60" w14:paraId="3A44BDD4" w14:textId="77777777" w:rsidTr="00C6089D">
              <w:tc>
                <w:tcPr>
                  <w:tcW w:w="845" w:type="pct"/>
                  <w:vAlign w:val="center"/>
                </w:tcPr>
                <w:p w14:paraId="44163DF2" w14:textId="77777777" w:rsidR="00FA2612" w:rsidRPr="00365D60" w:rsidDel="00745DE0" w:rsidRDefault="00FA2612" w:rsidP="00FA2612">
                  <w:pPr>
                    <w:pStyle w:val="Level3"/>
                    <w:numPr>
                      <w:ilvl w:val="0"/>
                      <w:numId w:val="0"/>
                    </w:numPr>
                    <w:spacing w:before="60" w:after="60" w:line="240" w:lineRule="exact"/>
                    <w:jc w:val="center"/>
                    <w:outlineLvl w:val="9"/>
                    <w:rPr>
                      <w:rFonts w:ascii="Calibri" w:hAnsi="Calibri" w:cs="Calibri"/>
                      <w:szCs w:val="24"/>
                    </w:rPr>
                  </w:pPr>
                  <w:r w:rsidRPr="00365D60">
                    <w:rPr>
                      <w:rFonts w:ascii="Calibri" w:hAnsi="Calibri" w:cs="Calibri"/>
                      <w:szCs w:val="24"/>
                    </w:rPr>
                    <w:t>1</w:t>
                  </w:r>
                </w:p>
              </w:tc>
              <w:tc>
                <w:tcPr>
                  <w:tcW w:w="2490" w:type="pct"/>
                </w:tcPr>
                <w:p w14:paraId="245340FC" w14:textId="710593B8" w:rsidR="00FA2612" w:rsidRPr="00C6089D" w:rsidRDefault="00FA2612" w:rsidP="00FA2612">
                  <w:pPr>
                    <w:pStyle w:val="Level3"/>
                    <w:numPr>
                      <w:ilvl w:val="0"/>
                      <w:numId w:val="0"/>
                    </w:numPr>
                    <w:spacing w:before="60" w:after="60" w:line="240" w:lineRule="exact"/>
                    <w:jc w:val="center"/>
                    <w:outlineLvl w:val="9"/>
                    <w:rPr>
                      <w:rFonts w:ascii="Calibri" w:hAnsi="Calibri" w:cs="Calibri"/>
                      <w:szCs w:val="24"/>
                    </w:rPr>
                  </w:pPr>
                  <w:r w:rsidRPr="00C6089D">
                    <w:rPr>
                      <w:rFonts w:ascii="Calibri" w:hAnsi="Calibri" w:cs="Calibri"/>
                      <w:szCs w:val="24"/>
                    </w:rPr>
                    <w:t xml:space="preserve">15 de </w:t>
                  </w:r>
                  <w:r w:rsidRPr="00365D60">
                    <w:rPr>
                      <w:rFonts w:ascii="Calibri" w:hAnsi="Calibri" w:cs="Calibri"/>
                      <w:szCs w:val="24"/>
                    </w:rPr>
                    <w:t>janeiro</w:t>
                  </w:r>
                  <w:r w:rsidRPr="00C6089D">
                    <w:rPr>
                      <w:rFonts w:ascii="Calibri" w:hAnsi="Calibri" w:cs="Calibri"/>
                      <w:szCs w:val="24"/>
                    </w:rPr>
                    <w:t xml:space="preserve"> de </w:t>
                  </w:r>
                  <w:r w:rsidRPr="00365D60">
                    <w:rPr>
                      <w:rFonts w:ascii="Calibri" w:hAnsi="Calibri" w:cs="Calibri"/>
                      <w:szCs w:val="24"/>
                    </w:rPr>
                    <w:t>2035</w:t>
                  </w:r>
                </w:p>
              </w:tc>
              <w:tc>
                <w:tcPr>
                  <w:tcW w:w="1665" w:type="pct"/>
                  <w:vAlign w:val="center"/>
                </w:tcPr>
                <w:p w14:paraId="28F0D5BF" w14:textId="4F27C74D" w:rsidR="00FA2612" w:rsidRPr="00C6089D" w:rsidRDefault="00FA2612" w:rsidP="00FA2612">
                  <w:pPr>
                    <w:pStyle w:val="Level3"/>
                    <w:numPr>
                      <w:ilvl w:val="0"/>
                      <w:numId w:val="0"/>
                    </w:numPr>
                    <w:spacing w:before="60" w:after="60" w:line="240" w:lineRule="exact"/>
                    <w:jc w:val="center"/>
                    <w:outlineLvl w:val="9"/>
                    <w:rPr>
                      <w:rFonts w:ascii="Calibri" w:hAnsi="Calibri" w:cs="Calibri"/>
                      <w:szCs w:val="24"/>
                    </w:rPr>
                  </w:pPr>
                  <w:r w:rsidRPr="00365D60">
                    <w:rPr>
                      <w:rFonts w:ascii="Calibri" w:hAnsi="Calibri" w:cs="Calibri"/>
                      <w:szCs w:val="24"/>
                      <w:lang w:eastAsia="en-GB"/>
                    </w:rPr>
                    <w:t>33,3333</w:t>
                  </w:r>
                  <w:r w:rsidRPr="00C6089D">
                    <w:rPr>
                      <w:rFonts w:ascii="Calibri" w:hAnsi="Calibri" w:cs="Calibri"/>
                      <w:szCs w:val="24"/>
                    </w:rPr>
                    <w:t>%</w:t>
                  </w:r>
                </w:p>
              </w:tc>
            </w:tr>
            <w:tr w:rsidR="00FA2612" w:rsidRPr="00365D60" w14:paraId="6A7EB4F0" w14:textId="77777777" w:rsidTr="00C6089D">
              <w:tc>
                <w:tcPr>
                  <w:tcW w:w="845" w:type="pct"/>
                  <w:vAlign w:val="center"/>
                </w:tcPr>
                <w:p w14:paraId="7A3345C1" w14:textId="77777777" w:rsidR="00FA2612" w:rsidRPr="00365D60" w:rsidDel="00745DE0" w:rsidRDefault="00FA2612" w:rsidP="00FA2612">
                  <w:pPr>
                    <w:pStyle w:val="Level3"/>
                    <w:numPr>
                      <w:ilvl w:val="0"/>
                      <w:numId w:val="0"/>
                    </w:numPr>
                    <w:spacing w:before="60" w:after="60" w:line="240" w:lineRule="exact"/>
                    <w:jc w:val="center"/>
                    <w:outlineLvl w:val="9"/>
                    <w:rPr>
                      <w:rFonts w:ascii="Calibri" w:hAnsi="Calibri" w:cs="Calibri"/>
                      <w:szCs w:val="24"/>
                    </w:rPr>
                  </w:pPr>
                  <w:r w:rsidRPr="00365D60">
                    <w:rPr>
                      <w:rFonts w:ascii="Calibri" w:hAnsi="Calibri" w:cs="Calibri"/>
                      <w:szCs w:val="24"/>
                    </w:rPr>
                    <w:t>2</w:t>
                  </w:r>
                </w:p>
              </w:tc>
              <w:tc>
                <w:tcPr>
                  <w:tcW w:w="2490" w:type="pct"/>
                </w:tcPr>
                <w:p w14:paraId="1C07F1DB" w14:textId="0485C721" w:rsidR="00FA2612" w:rsidRPr="00C6089D" w:rsidRDefault="00FA2612" w:rsidP="00FA2612">
                  <w:pPr>
                    <w:pStyle w:val="Level3"/>
                    <w:numPr>
                      <w:ilvl w:val="0"/>
                      <w:numId w:val="0"/>
                    </w:numPr>
                    <w:spacing w:before="60" w:after="60" w:line="240" w:lineRule="exact"/>
                    <w:jc w:val="center"/>
                    <w:outlineLvl w:val="9"/>
                    <w:rPr>
                      <w:rFonts w:ascii="Calibri" w:hAnsi="Calibri" w:cs="Calibri"/>
                      <w:szCs w:val="24"/>
                    </w:rPr>
                  </w:pPr>
                  <w:r w:rsidRPr="00C6089D">
                    <w:rPr>
                      <w:rFonts w:ascii="Calibri" w:hAnsi="Calibri" w:cs="Calibri"/>
                      <w:szCs w:val="24"/>
                    </w:rPr>
                    <w:t xml:space="preserve">15 de </w:t>
                  </w:r>
                  <w:r w:rsidRPr="00365D60">
                    <w:rPr>
                      <w:rFonts w:ascii="Calibri" w:hAnsi="Calibri" w:cs="Calibri"/>
                      <w:szCs w:val="24"/>
                    </w:rPr>
                    <w:t>janeiro</w:t>
                  </w:r>
                  <w:r w:rsidRPr="00C6089D">
                    <w:rPr>
                      <w:rFonts w:ascii="Calibri" w:hAnsi="Calibri" w:cs="Calibri"/>
                      <w:szCs w:val="24"/>
                    </w:rPr>
                    <w:t xml:space="preserve"> de </w:t>
                  </w:r>
                  <w:r w:rsidRPr="00365D60">
                    <w:rPr>
                      <w:rFonts w:ascii="Calibri" w:hAnsi="Calibri" w:cs="Calibri"/>
                      <w:szCs w:val="24"/>
                    </w:rPr>
                    <w:t>2036</w:t>
                  </w:r>
                </w:p>
              </w:tc>
              <w:tc>
                <w:tcPr>
                  <w:tcW w:w="1665" w:type="pct"/>
                  <w:vAlign w:val="center"/>
                </w:tcPr>
                <w:p w14:paraId="77D61208" w14:textId="09460944" w:rsidR="00FA2612" w:rsidRPr="00C6089D" w:rsidRDefault="00FA2612" w:rsidP="00FA2612">
                  <w:pPr>
                    <w:pStyle w:val="Level3"/>
                    <w:numPr>
                      <w:ilvl w:val="0"/>
                      <w:numId w:val="0"/>
                    </w:numPr>
                    <w:spacing w:before="60" w:after="60" w:line="240" w:lineRule="exact"/>
                    <w:jc w:val="center"/>
                    <w:outlineLvl w:val="9"/>
                    <w:rPr>
                      <w:rFonts w:ascii="Calibri" w:hAnsi="Calibri" w:cs="Calibri"/>
                      <w:szCs w:val="24"/>
                    </w:rPr>
                  </w:pPr>
                  <w:r w:rsidRPr="00365D60">
                    <w:rPr>
                      <w:rFonts w:ascii="Calibri" w:hAnsi="Calibri" w:cs="Calibri"/>
                      <w:szCs w:val="24"/>
                      <w:lang w:eastAsia="en-GB"/>
                    </w:rPr>
                    <w:t>50,0000</w:t>
                  </w:r>
                  <w:r w:rsidRPr="00C6089D">
                    <w:rPr>
                      <w:rFonts w:ascii="Calibri" w:hAnsi="Calibri" w:cs="Calibri"/>
                      <w:szCs w:val="24"/>
                    </w:rPr>
                    <w:t>%</w:t>
                  </w:r>
                </w:p>
              </w:tc>
            </w:tr>
          </w:tbl>
          <w:tbl>
            <w:tblPr>
              <w:tblStyle w:val="TableGrid1"/>
              <w:tblpPr w:leftFromText="180" w:rightFromText="180" w:vertAnchor="page" w:horzAnchor="margin" w:tblpY="6358"/>
              <w:tblOverlap w:val="never"/>
              <w:tblW w:w="5000" w:type="pct"/>
              <w:tblCellMar>
                <w:top w:w="28" w:type="dxa"/>
                <w:left w:w="57" w:type="dxa"/>
                <w:bottom w:w="28" w:type="dxa"/>
                <w:right w:w="57" w:type="dxa"/>
              </w:tblCellMar>
              <w:tblLook w:val="04A0" w:firstRow="1" w:lastRow="0" w:firstColumn="1" w:lastColumn="0" w:noHBand="0" w:noVBand="1"/>
            </w:tblPr>
            <w:tblGrid>
              <w:gridCol w:w="927"/>
              <w:gridCol w:w="2733"/>
              <w:gridCol w:w="1827"/>
            </w:tblGrid>
            <w:tr w:rsidR="00FA2612" w:rsidRPr="00365D60" w14:paraId="005BEF8A" w14:textId="77777777" w:rsidTr="00C6089D">
              <w:tc>
                <w:tcPr>
                  <w:tcW w:w="845" w:type="pct"/>
                  <w:vAlign w:val="center"/>
                </w:tcPr>
                <w:p w14:paraId="0BA10721" w14:textId="77777777" w:rsidR="00FA2612" w:rsidRPr="00365D60" w:rsidDel="00745DE0" w:rsidRDefault="00FA2612" w:rsidP="00FA2612">
                  <w:pPr>
                    <w:pStyle w:val="Level3"/>
                    <w:numPr>
                      <w:ilvl w:val="0"/>
                      <w:numId w:val="0"/>
                    </w:numPr>
                    <w:spacing w:before="60" w:after="60" w:line="240" w:lineRule="exact"/>
                    <w:jc w:val="center"/>
                    <w:outlineLvl w:val="9"/>
                    <w:rPr>
                      <w:rFonts w:ascii="Calibri" w:hAnsi="Calibri" w:cs="Calibri"/>
                      <w:szCs w:val="24"/>
                    </w:rPr>
                  </w:pPr>
                  <w:r w:rsidRPr="00365D60">
                    <w:rPr>
                      <w:rFonts w:ascii="Calibri" w:hAnsi="Calibri" w:cs="Calibri"/>
                      <w:szCs w:val="24"/>
                    </w:rPr>
                    <w:t>3</w:t>
                  </w:r>
                </w:p>
              </w:tc>
              <w:tc>
                <w:tcPr>
                  <w:tcW w:w="2490" w:type="pct"/>
                </w:tcPr>
                <w:p w14:paraId="3B9B229A" w14:textId="77777777" w:rsidR="00FA2612" w:rsidRPr="00C6089D" w:rsidRDefault="00FA2612" w:rsidP="00FA2612">
                  <w:pPr>
                    <w:pStyle w:val="Level3"/>
                    <w:numPr>
                      <w:ilvl w:val="0"/>
                      <w:numId w:val="0"/>
                    </w:numPr>
                    <w:spacing w:before="60" w:after="60" w:line="240" w:lineRule="exact"/>
                    <w:jc w:val="center"/>
                    <w:outlineLvl w:val="9"/>
                    <w:rPr>
                      <w:rFonts w:ascii="Calibri" w:hAnsi="Calibri" w:cs="Calibri"/>
                      <w:szCs w:val="24"/>
                    </w:rPr>
                  </w:pPr>
                  <w:r w:rsidRPr="00C6089D">
                    <w:rPr>
                      <w:rFonts w:ascii="Calibri" w:hAnsi="Calibri" w:cs="Calibri"/>
                      <w:szCs w:val="24"/>
                    </w:rPr>
                    <w:t>Data de Vencimento</w:t>
                  </w:r>
                  <w:r w:rsidRPr="00365D60">
                    <w:rPr>
                      <w:rFonts w:ascii="Calibri" w:hAnsi="Calibri" w:cs="Calibri"/>
                      <w:szCs w:val="24"/>
                    </w:rPr>
                    <w:t xml:space="preserve"> da Segunda Série</w:t>
                  </w:r>
                </w:p>
              </w:tc>
              <w:tc>
                <w:tcPr>
                  <w:tcW w:w="1665" w:type="pct"/>
                  <w:vAlign w:val="center"/>
                </w:tcPr>
                <w:p w14:paraId="498B4ED4" w14:textId="77777777" w:rsidR="00FA2612" w:rsidRPr="00C6089D" w:rsidRDefault="00FA2612" w:rsidP="00FA2612">
                  <w:pPr>
                    <w:pStyle w:val="Level3"/>
                    <w:numPr>
                      <w:ilvl w:val="0"/>
                      <w:numId w:val="0"/>
                    </w:numPr>
                    <w:spacing w:before="60" w:after="60" w:line="240" w:lineRule="exact"/>
                    <w:jc w:val="center"/>
                    <w:outlineLvl w:val="9"/>
                    <w:rPr>
                      <w:rFonts w:ascii="Calibri" w:hAnsi="Calibri" w:cs="Calibri"/>
                      <w:szCs w:val="24"/>
                    </w:rPr>
                  </w:pPr>
                  <w:r w:rsidRPr="00C6089D">
                    <w:rPr>
                      <w:rFonts w:ascii="Calibri" w:hAnsi="Calibri" w:cs="Calibri"/>
                      <w:szCs w:val="24"/>
                    </w:rPr>
                    <w:t>100,0000%</w:t>
                  </w:r>
                </w:p>
              </w:tc>
            </w:tr>
          </w:tbl>
          <w:p w14:paraId="10573D38" w14:textId="0FDF01D5" w:rsidR="003C424A" w:rsidRPr="00C6089D" w:rsidRDefault="003C424A" w:rsidP="00D1064E">
            <w:pPr>
              <w:pStyle w:val="Body"/>
              <w:rPr>
                <w:rFonts w:ascii="Calibri" w:hAnsi="Calibri" w:cs="Calibri"/>
                <w:sz w:val="24"/>
              </w:rPr>
            </w:pPr>
          </w:p>
        </w:tc>
      </w:tr>
      <w:tr w:rsidR="00FA2612" w:rsidRPr="00365D60" w14:paraId="629B5466" w14:textId="77777777" w:rsidTr="009955CC">
        <w:trPr>
          <w:jc w:val="center"/>
        </w:trPr>
        <w:tc>
          <w:tcPr>
            <w:tcW w:w="3119" w:type="dxa"/>
          </w:tcPr>
          <w:p w14:paraId="599AEBDE" w14:textId="77777777" w:rsidR="00FA2612" w:rsidRPr="00C6089D" w:rsidRDefault="00FA2612" w:rsidP="00AB0823">
            <w:pPr>
              <w:pStyle w:val="Body"/>
              <w:jc w:val="left"/>
              <w:rPr>
                <w:rFonts w:ascii="Calibri" w:hAnsi="Calibri" w:cs="Calibri"/>
                <w:b/>
                <w:sz w:val="24"/>
              </w:rPr>
            </w:pPr>
          </w:p>
        </w:tc>
        <w:tc>
          <w:tcPr>
            <w:tcW w:w="5611" w:type="dxa"/>
          </w:tcPr>
          <w:p w14:paraId="27577E77" w14:textId="7D4F1C89" w:rsidR="00FA2612" w:rsidRPr="00365D60" w:rsidRDefault="00FA2612" w:rsidP="00D1064E">
            <w:pPr>
              <w:pStyle w:val="Body"/>
              <w:rPr>
                <w:rFonts w:ascii="Calibri" w:hAnsi="Calibri" w:cs="Calibri"/>
                <w:sz w:val="24"/>
              </w:rPr>
            </w:pPr>
            <w:r w:rsidRPr="00365D60">
              <w:rPr>
                <w:rFonts w:ascii="Calibri" w:hAnsi="Calibri" w:cs="Calibri"/>
                <w:sz w:val="24"/>
              </w:rPr>
              <w:t xml:space="preserve">* Percentuais utilizados para o cálculo da parcela do Valor Nominal </w:t>
            </w:r>
            <w:r w:rsidR="0088039A">
              <w:rPr>
                <w:rFonts w:ascii="Calibri" w:hAnsi="Calibri" w:cs="Calibri"/>
                <w:sz w:val="24"/>
              </w:rPr>
              <w:t xml:space="preserve">Unitário </w:t>
            </w:r>
            <w:r w:rsidRPr="00365D60">
              <w:rPr>
                <w:rFonts w:ascii="Calibri" w:hAnsi="Calibri" w:cs="Calibri"/>
                <w:sz w:val="24"/>
              </w:rPr>
              <w:t>Atualizado da Segunda Série a ser amortizada.</w:t>
            </w:r>
          </w:p>
        </w:tc>
      </w:tr>
      <w:tr w:rsidR="00720C65" w:rsidRPr="00365D60" w14:paraId="1154F0CB" w14:textId="77777777" w:rsidTr="009955CC">
        <w:trPr>
          <w:jc w:val="center"/>
        </w:trPr>
        <w:tc>
          <w:tcPr>
            <w:tcW w:w="3119" w:type="dxa"/>
          </w:tcPr>
          <w:p w14:paraId="468AD2DA" w14:textId="23C43255" w:rsidR="00246319" w:rsidRPr="00C6089D" w:rsidRDefault="00246319" w:rsidP="00C25A78">
            <w:pPr>
              <w:pStyle w:val="Body"/>
              <w:jc w:val="left"/>
              <w:rPr>
                <w:rFonts w:ascii="Calibri" w:hAnsi="Calibri" w:cs="Calibri"/>
                <w:b/>
                <w:sz w:val="24"/>
              </w:rPr>
            </w:pPr>
            <w:bookmarkStart w:id="23" w:name="_Toc428328030"/>
            <w:r w:rsidRPr="00C6089D">
              <w:rPr>
                <w:rFonts w:ascii="Calibri" w:hAnsi="Calibri" w:cs="Calibri"/>
                <w:b/>
                <w:sz w:val="24"/>
              </w:rPr>
              <w:t>Atualização Monetária das Debêntures</w:t>
            </w:r>
            <w:bookmarkEnd w:id="23"/>
            <w:r w:rsidR="00EB7CC8" w:rsidRPr="00C6089D">
              <w:rPr>
                <w:rFonts w:ascii="Calibri" w:hAnsi="Calibri" w:cs="Calibri"/>
                <w:b/>
                <w:sz w:val="24"/>
              </w:rPr>
              <w:t xml:space="preserve"> </w:t>
            </w:r>
          </w:p>
        </w:tc>
        <w:tc>
          <w:tcPr>
            <w:tcW w:w="5611" w:type="dxa"/>
          </w:tcPr>
          <w:p w14:paraId="31AD294C" w14:textId="04555032" w:rsidR="00690C81" w:rsidRPr="00C6089D" w:rsidRDefault="00D1064E" w:rsidP="00C6089D">
            <w:pPr>
              <w:pStyle w:val="Level2"/>
              <w:numPr>
                <w:ilvl w:val="0"/>
                <w:numId w:val="0"/>
              </w:numPr>
              <w:outlineLvl w:val="9"/>
              <w:rPr>
                <w:rFonts w:ascii="Calibri" w:hAnsi="Calibri" w:cs="Calibri"/>
                <w:sz w:val="24"/>
                <w:szCs w:val="24"/>
              </w:rPr>
            </w:pPr>
            <w:r w:rsidRPr="00C6089D">
              <w:rPr>
                <w:rFonts w:ascii="Calibri" w:hAnsi="Calibri" w:cs="Calibri"/>
                <w:sz w:val="24"/>
              </w:rPr>
              <w:t xml:space="preserve">O Valor Nominal Unitário das Debêntures </w:t>
            </w:r>
            <w:r w:rsidR="008B25CA" w:rsidRPr="00365D60">
              <w:rPr>
                <w:rFonts w:ascii="Calibri" w:hAnsi="Calibri" w:cs="Calibri"/>
                <w:sz w:val="24"/>
              </w:rPr>
              <w:t>(</w:t>
            </w:r>
            <w:r w:rsidRPr="00C6089D">
              <w:rPr>
                <w:rFonts w:ascii="Calibri" w:hAnsi="Calibri" w:cs="Calibri"/>
                <w:sz w:val="24"/>
              </w:rPr>
              <w:t>ou saldo do Valor Nominal Unitário das Debêntures, conforme o caso</w:t>
            </w:r>
            <w:r w:rsidR="008B25CA" w:rsidRPr="00365D60">
              <w:rPr>
                <w:rFonts w:ascii="Calibri" w:hAnsi="Calibri" w:cs="Calibri"/>
                <w:sz w:val="24"/>
              </w:rPr>
              <w:t>)</w:t>
            </w:r>
            <w:r w:rsidRPr="00C6089D">
              <w:rPr>
                <w:rFonts w:ascii="Calibri" w:hAnsi="Calibri" w:cs="Calibri"/>
                <w:sz w:val="24"/>
              </w:rPr>
              <w:t xml:space="preserve"> será atualizado pela variação acumulada do Índice Nacional de Preços ao Consumidor Amplo (“</w:t>
            </w:r>
            <w:r w:rsidRPr="00C6089D">
              <w:rPr>
                <w:rFonts w:ascii="Calibri" w:hAnsi="Calibri" w:cs="Calibri"/>
                <w:sz w:val="24"/>
                <w:u w:val="single"/>
              </w:rPr>
              <w:t>IPCA</w:t>
            </w:r>
            <w:r w:rsidRPr="00C6089D">
              <w:rPr>
                <w:rFonts w:ascii="Calibri" w:hAnsi="Calibri" w:cs="Calibri"/>
                <w:sz w:val="24"/>
              </w:rPr>
              <w:t xml:space="preserve">”), </w:t>
            </w:r>
            <w:r w:rsidR="008B25CA" w:rsidRPr="00365D60">
              <w:rPr>
                <w:rFonts w:ascii="Calibri" w:hAnsi="Calibri" w:cs="Calibri"/>
                <w:sz w:val="24"/>
              </w:rPr>
              <w:lastRenderedPageBreak/>
              <w:t xml:space="preserve">apurado e </w:t>
            </w:r>
            <w:r w:rsidRPr="00C6089D">
              <w:rPr>
                <w:rFonts w:ascii="Calibri" w:hAnsi="Calibri" w:cs="Calibri"/>
                <w:sz w:val="24"/>
              </w:rPr>
              <w:t>divulgado mensalmente pelo Instituto Brasileiro de Geografia e Estatística (“</w:t>
            </w:r>
            <w:r w:rsidRPr="00C6089D">
              <w:rPr>
                <w:rFonts w:ascii="Calibri" w:hAnsi="Calibri" w:cs="Calibri"/>
                <w:sz w:val="24"/>
                <w:u w:val="single"/>
              </w:rPr>
              <w:t>IBGE</w:t>
            </w:r>
            <w:r w:rsidRPr="00C6089D">
              <w:rPr>
                <w:rFonts w:ascii="Calibri" w:hAnsi="Calibri" w:cs="Calibri"/>
                <w:sz w:val="24"/>
              </w:rPr>
              <w:t xml:space="preserve">”), </w:t>
            </w:r>
            <w:r w:rsidR="00690C81" w:rsidRPr="00C6089D">
              <w:rPr>
                <w:rFonts w:ascii="Calibri" w:hAnsi="Calibri" w:cs="Calibri"/>
                <w:sz w:val="24"/>
              </w:rPr>
              <w:t xml:space="preserve">desde a </w:t>
            </w:r>
            <w:r w:rsidR="00690C81" w:rsidRPr="00365D60">
              <w:rPr>
                <w:rFonts w:ascii="Calibri" w:hAnsi="Calibri" w:cs="Calibri"/>
                <w:sz w:val="24"/>
              </w:rPr>
              <w:t xml:space="preserve">Primeira Data de Integralização até a data de seu efetivo pagamento </w:t>
            </w:r>
            <w:r w:rsidR="00690C81" w:rsidRPr="00C6089D">
              <w:rPr>
                <w:rFonts w:ascii="Calibri" w:hAnsi="Calibri" w:cs="Calibri"/>
                <w:sz w:val="24"/>
              </w:rPr>
              <w:t>(“</w:t>
            </w:r>
            <w:r w:rsidR="00690C81" w:rsidRPr="00C6089D">
              <w:rPr>
                <w:rFonts w:ascii="Calibri" w:hAnsi="Calibri" w:cs="Calibri"/>
                <w:sz w:val="24"/>
                <w:u w:val="single"/>
              </w:rPr>
              <w:t>Atualização Monetária</w:t>
            </w:r>
            <w:r w:rsidR="00690C81" w:rsidRPr="00365D60">
              <w:rPr>
                <w:rFonts w:ascii="Calibri" w:hAnsi="Calibri" w:cs="Calibri"/>
                <w:sz w:val="24"/>
                <w:szCs w:val="24"/>
              </w:rPr>
              <w:t xml:space="preserve">”), sendo o produto da </w:t>
            </w:r>
            <w:r w:rsidR="00690C81" w:rsidRPr="00C6089D">
              <w:rPr>
                <w:rFonts w:ascii="Calibri" w:hAnsi="Calibri" w:cs="Calibri"/>
                <w:sz w:val="24"/>
                <w:szCs w:val="24"/>
              </w:rPr>
              <w:t>Atualização Monetária</w:t>
            </w:r>
            <w:r w:rsidR="00690C81" w:rsidRPr="00365D60">
              <w:rPr>
                <w:rFonts w:ascii="Calibri" w:hAnsi="Calibri" w:cs="Calibri"/>
                <w:sz w:val="24"/>
                <w:szCs w:val="24"/>
              </w:rPr>
              <w:t xml:space="preserve"> incorporado ao Valor Nominal Unitário (ou ao saldo do Valor Nominal Unitário, conforme aplicável) das Debêntures (“</w:t>
            </w:r>
            <w:r w:rsidR="00690C81" w:rsidRPr="00365D60">
              <w:rPr>
                <w:rFonts w:ascii="Calibri" w:hAnsi="Calibri" w:cs="Calibri"/>
                <w:sz w:val="24"/>
                <w:szCs w:val="24"/>
                <w:u w:val="single"/>
              </w:rPr>
              <w:t xml:space="preserve">Valor Nominal </w:t>
            </w:r>
            <w:r w:rsidR="0088039A" w:rsidRPr="0088039A">
              <w:rPr>
                <w:rFonts w:ascii="Calibri" w:hAnsi="Calibri" w:cs="Calibri"/>
                <w:sz w:val="24"/>
                <w:szCs w:val="24"/>
                <w:u w:val="single"/>
              </w:rPr>
              <w:t xml:space="preserve">Unitário </w:t>
            </w:r>
            <w:r w:rsidR="00690C81" w:rsidRPr="00365D60">
              <w:rPr>
                <w:rFonts w:ascii="Calibri" w:hAnsi="Calibri" w:cs="Calibri"/>
                <w:sz w:val="24"/>
                <w:szCs w:val="24"/>
                <w:u w:val="single"/>
              </w:rPr>
              <w:t>Atualizado</w:t>
            </w:r>
            <w:r w:rsidR="00690C81" w:rsidRPr="00365D60">
              <w:rPr>
                <w:rFonts w:ascii="Calibri" w:hAnsi="Calibri" w:cs="Calibri"/>
                <w:sz w:val="24"/>
                <w:szCs w:val="24"/>
              </w:rPr>
              <w:t xml:space="preserve">”). A Atualização Monetária será calculada de forma </w:t>
            </w:r>
            <w:r w:rsidR="00690C81" w:rsidRPr="00365D60">
              <w:rPr>
                <w:rFonts w:ascii="Calibri" w:hAnsi="Calibri" w:cs="Calibri"/>
                <w:i/>
                <w:iCs/>
                <w:sz w:val="24"/>
                <w:szCs w:val="24"/>
              </w:rPr>
              <w:t>pro rata temporis</w:t>
            </w:r>
            <w:r w:rsidR="00690C81" w:rsidRPr="00365D60">
              <w:rPr>
                <w:rFonts w:ascii="Calibri" w:hAnsi="Calibri" w:cs="Calibri"/>
                <w:sz w:val="24"/>
                <w:szCs w:val="24"/>
              </w:rPr>
              <w:t>, com base em 252 (duzentos e cinquenta e dois) Dias Úteis conforme a fórmula abaixo:</w:t>
            </w:r>
          </w:p>
          <w:p w14:paraId="5B1612A3" w14:textId="65E16CC9" w:rsidR="00690C81" w:rsidRPr="00365D60" w:rsidRDefault="00690C81" w:rsidP="0046682A">
            <w:pPr>
              <w:pStyle w:val="Level2"/>
              <w:numPr>
                <w:ilvl w:val="0"/>
                <w:numId w:val="0"/>
              </w:numPr>
              <w:jc w:val="center"/>
              <w:outlineLvl w:val="9"/>
              <w:rPr>
                <w:rFonts w:ascii="Calibri" w:hAnsi="Calibri" w:cs="Calibri"/>
                <w:sz w:val="24"/>
              </w:rPr>
            </w:pPr>
            <w:r w:rsidRPr="00365D60">
              <w:rPr>
                <w:rFonts w:ascii="Calibri" w:hAnsi="Calibri" w:cs="Calibri"/>
                <w:sz w:val="24"/>
              </w:rPr>
              <w:object w:dxaOrig="1359" w:dyaOrig="260" w14:anchorId="20D71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10.3pt" o:ole="" fillcolor="window">
                  <v:imagedata r:id="rId16" o:title=""/>
                </v:shape>
                <o:OLEObject Type="Embed" ProgID="Equation.3" ShapeID="_x0000_i1025" DrawAspect="Content" ObjectID="_1709223458" r:id="rId17"/>
              </w:object>
            </w:r>
          </w:p>
          <w:p w14:paraId="78D5E2BC" w14:textId="43CFE984" w:rsidR="00690C81" w:rsidRPr="00365D60" w:rsidRDefault="00690C81" w:rsidP="0046682A">
            <w:pPr>
              <w:pStyle w:val="Level2"/>
              <w:numPr>
                <w:ilvl w:val="0"/>
                <w:numId w:val="0"/>
              </w:numPr>
              <w:jc w:val="center"/>
              <w:outlineLvl w:val="9"/>
              <w:rPr>
                <w:rFonts w:ascii="Calibri" w:hAnsi="Calibri" w:cs="Calibri"/>
                <w:sz w:val="24"/>
              </w:rPr>
            </w:pPr>
            <w:r w:rsidRPr="00365D60">
              <w:rPr>
                <w:rFonts w:ascii="Calibri" w:hAnsi="Calibri" w:cs="Calibri"/>
                <w:sz w:val="24"/>
              </w:rPr>
              <w:t>onde:</w:t>
            </w:r>
          </w:p>
          <w:p w14:paraId="4068393D" w14:textId="77777777" w:rsidR="00690C81" w:rsidRPr="00365D60" w:rsidRDefault="00690C81" w:rsidP="004A71CF">
            <w:pPr>
              <w:pStyle w:val="Level2"/>
              <w:numPr>
                <w:ilvl w:val="0"/>
                <w:numId w:val="0"/>
              </w:numPr>
              <w:spacing w:line="240" w:lineRule="auto"/>
              <w:outlineLvl w:val="9"/>
              <w:rPr>
                <w:rFonts w:ascii="Calibri" w:hAnsi="Calibri" w:cs="Calibri"/>
                <w:sz w:val="24"/>
              </w:rPr>
            </w:pPr>
            <w:proofErr w:type="spellStart"/>
            <w:r w:rsidRPr="00365D60">
              <w:rPr>
                <w:rFonts w:ascii="Calibri" w:hAnsi="Calibri" w:cs="Calibri"/>
                <w:sz w:val="24"/>
              </w:rPr>
              <w:t>VNa</w:t>
            </w:r>
            <w:proofErr w:type="spellEnd"/>
            <w:r w:rsidRPr="00365D60">
              <w:rPr>
                <w:rFonts w:ascii="Calibri" w:hAnsi="Calibri" w:cs="Calibri"/>
                <w:sz w:val="24"/>
              </w:rPr>
              <w:t xml:space="preserve"> = Valor Nominal Unitário Atualizado das Debêntures calculado com 8 (oito) casas decimais, sem arredondamento; </w:t>
            </w:r>
          </w:p>
          <w:p w14:paraId="7968A536" w14:textId="14173FE0" w:rsidR="00690C81" w:rsidRPr="00365D60" w:rsidRDefault="00690C81" w:rsidP="004A71CF">
            <w:pPr>
              <w:pStyle w:val="Level2"/>
              <w:numPr>
                <w:ilvl w:val="0"/>
                <w:numId w:val="0"/>
              </w:numPr>
              <w:spacing w:line="240" w:lineRule="auto"/>
              <w:outlineLvl w:val="9"/>
              <w:rPr>
                <w:rFonts w:ascii="Calibri" w:hAnsi="Calibri" w:cs="Calibri"/>
                <w:sz w:val="24"/>
              </w:rPr>
            </w:pPr>
            <w:proofErr w:type="spellStart"/>
            <w:r w:rsidRPr="00365D60">
              <w:rPr>
                <w:rFonts w:ascii="Calibri" w:hAnsi="Calibri" w:cs="Calibri"/>
                <w:sz w:val="24"/>
              </w:rPr>
              <w:t>VNe</w:t>
            </w:r>
            <w:proofErr w:type="spellEnd"/>
            <w:r w:rsidRPr="00365D60">
              <w:rPr>
                <w:rFonts w:ascii="Calibri" w:hAnsi="Calibri" w:cs="Calibri"/>
                <w:sz w:val="24"/>
              </w:rPr>
              <w:t xml:space="preserve"> = Valor Nominal Unitário (</w:t>
            </w:r>
            <w:r w:rsidRPr="00C6089D">
              <w:rPr>
                <w:rFonts w:ascii="Calibri" w:hAnsi="Calibri" w:cs="Calibri"/>
                <w:sz w:val="24"/>
              </w:rPr>
              <w:t xml:space="preserve">ou </w:t>
            </w:r>
            <w:r w:rsidRPr="00365D60">
              <w:rPr>
                <w:rFonts w:ascii="Calibri" w:hAnsi="Calibri" w:cs="Calibri"/>
                <w:sz w:val="24"/>
              </w:rPr>
              <w:t xml:space="preserve">saldo do Valor Nominal Unitário, conforme o caso) das Debêntures informado/calculado com 8 (oito) casas decimais, sem </w:t>
            </w:r>
            <w:r w:rsidRPr="0046682A">
              <w:rPr>
                <w:rFonts w:ascii="Calibri" w:hAnsi="Calibri" w:cs="Calibri"/>
                <w:sz w:val="24"/>
                <w:szCs w:val="24"/>
              </w:rPr>
              <w:t>arredondamento</w:t>
            </w:r>
            <w:r w:rsidRPr="00365D60">
              <w:rPr>
                <w:rFonts w:ascii="Calibri" w:hAnsi="Calibri" w:cs="Calibri"/>
                <w:sz w:val="24"/>
              </w:rPr>
              <w:t xml:space="preserve">; </w:t>
            </w:r>
          </w:p>
          <w:p w14:paraId="3E96F078" w14:textId="5AFA3A95" w:rsidR="00690C81" w:rsidRPr="00365D60" w:rsidRDefault="00690C81" w:rsidP="004A71CF">
            <w:pPr>
              <w:pStyle w:val="Level2"/>
              <w:numPr>
                <w:ilvl w:val="0"/>
                <w:numId w:val="0"/>
              </w:numPr>
              <w:spacing w:line="240" w:lineRule="auto"/>
              <w:outlineLvl w:val="9"/>
              <w:rPr>
                <w:rFonts w:ascii="Calibri" w:hAnsi="Calibri" w:cs="Calibri"/>
                <w:sz w:val="24"/>
              </w:rPr>
            </w:pPr>
            <w:r w:rsidRPr="00365D60">
              <w:rPr>
                <w:rFonts w:ascii="Calibri" w:hAnsi="Calibri" w:cs="Calibri"/>
                <w:sz w:val="24"/>
              </w:rPr>
              <w:t xml:space="preserve">C = fator acumulado das variações mensais </w:t>
            </w:r>
            <w:r w:rsidRPr="00C6089D">
              <w:rPr>
                <w:rFonts w:ascii="Calibri" w:hAnsi="Calibri" w:cs="Calibri"/>
                <w:sz w:val="24"/>
              </w:rPr>
              <w:t>do IPCA</w:t>
            </w:r>
            <w:r w:rsidRPr="00365D60">
              <w:rPr>
                <w:rFonts w:ascii="Calibri" w:hAnsi="Calibri" w:cs="Calibri"/>
                <w:sz w:val="24"/>
              </w:rPr>
              <w:t>, calculado com 8 (oito) casas decimais, sem arredondamento, apurado da seguinte forma:</w:t>
            </w:r>
          </w:p>
          <w:p w14:paraId="3F93FC24" w14:textId="02439155" w:rsidR="00690C81" w:rsidRPr="00365D60" w:rsidRDefault="00690C81" w:rsidP="004A71CF">
            <w:pPr>
              <w:pStyle w:val="Level2"/>
              <w:numPr>
                <w:ilvl w:val="0"/>
                <w:numId w:val="0"/>
              </w:numPr>
              <w:spacing w:line="240" w:lineRule="auto"/>
              <w:jc w:val="center"/>
              <w:outlineLvl w:val="9"/>
              <w:rPr>
                <w:rFonts w:ascii="Calibri" w:hAnsi="Calibri" w:cs="Calibri"/>
                <w:sz w:val="24"/>
              </w:rPr>
            </w:pPr>
            <w:r w:rsidRPr="00365D60">
              <w:rPr>
                <w:rFonts w:ascii="Calibri" w:hAnsi="Calibri" w:cs="Calibri"/>
                <w:sz w:val="24"/>
              </w:rPr>
              <w:object w:dxaOrig="2079" w:dyaOrig="1120" w14:anchorId="779C9C3F">
                <v:shape id="_x0000_i1026" type="#_x0000_t75" style="width:97.7pt;height:46.3pt" o:ole="" fillcolor="window">
                  <v:imagedata r:id="rId18" o:title=""/>
                </v:shape>
                <o:OLEObject Type="Embed" ProgID="Equation.3" ShapeID="_x0000_i1026" DrawAspect="Content" ObjectID="_1709223459" r:id="rId19"/>
              </w:object>
            </w:r>
          </w:p>
          <w:p w14:paraId="2B3CD509" w14:textId="77777777" w:rsidR="00690C81" w:rsidRPr="00365D60" w:rsidRDefault="00690C81" w:rsidP="004A71CF">
            <w:pPr>
              <w:pStyle w:val="Level2"/>
              <w:numPr>
                <w:ilvl w:val="0"/>
                <w:numId w:val="0"/>
              </w:numPr>
              <w:spacing w:line="240" w:lineRule="auto"/>
              <w:jc w:val="center"/>
              <w:outlineLvl w:val="9"/>
              <w:rPr>
                <w:rFonts w:ascii="Calibri" w:hAnsi="Calibri" w:cs="Calibri"/>
                <w:sz w:val="24"/>
              </w:rPr>
            </w:pPr>
            <w:r w:rsidRPr="00365D60">
              <w:rPr>
                <w:rFonts w:ascii="Calibri" w:hAnsi="Calibri" w:cs="Calibri"/>
                <w:sz w:val="24"/>
              </w:rPr>
              <w:t>onde:</w:t>
            </w:r>
          </w:p>
          <w:p w14:paraId="57C57995" w14:textId="77777777" w:rsidR="00690C81" w:rsidRPr="00365D60" w:rsidRDefault="00690C81" w:rsidP="0086313B">
            <w:pPr>
              <w:pStyle w:val="Level2"/>
              <w:numPr>
                <w:ilvl w:val="0"/>
                <w:numId w:val="0"/>
              </w:numPr>
              <w:spacing w:line="216" w:lineRule="auto"/>
              <w:outlineLvl w:val="9"/>
              <w:rPr>
                <w:rFonts w:ascii="Calibri" w:hAnsi="Calibri" w:cs="Calibri"/>
                <w:sz w:val="24"/>
              </w:rPr>
            </w:pPr>
            <w:r w:rsidRPr="00365D60">
              <w:rPr>
                <w:rFonts w:ascii="Calibri" w:hAnsi="Calibri" w:cs="Calibri"/>
                <w:sz w:val="24"/>
              </w:rPr>
              <w:t>n = número total de números-índices do IPCA considerados na atualização monetária das Debêntures, sendo “n” um número inteiro;</w:t>
            </w:r>
          </w:p>
          <w:p w14:paraId="4DD635A0" w14:textId="4CA64789" w:rsidR="00690C81" w:rsidRPr="00365D60" w:rsidRDefault="00690C81" w:rsidP="0086313B">
            <w:pPr>
              <w:pStyle w:val="Level2"/>
              <w:numPr>
                <w:ilvl w:val="0"/>
                <w:numId w:val="0"/>
              </w:numPr>
              <w:spacing w:line="216" w:lineRule="auto"/>
              <w:outlineLvl w:val="9"/>
              <w:rPr>
                <w:rFonts w:ascii="Calibri" w:hAnsi="Calibri" w:cs="Calibri"/>
                <w:sz w:val="24"/>
              </w:rPr>
            </w:pPr>
            <w:proofErr w:type="spellStart"/>
            <w:r w:rsidRPr="00365D60">
              <w:rPr>
                <w:rFonts w:ascii="Calibri" w:hAnsi="Calibri" w:cs="Calibri"/>
                <w:sz w:val="24"/>
              </w:rPr>
              <w:t>NIk</w:t>
            </w:r>
            <w:proofErr w:type="spellEnd"/>
            <w:r w:rsidRPr="00365D60">
              <w:rPr>
                <w:rFonts w:ascii="Calibri" w:hAnsi="Calibri" w:cs="Calibri"/>
                <w:sz w:val="24"/>
              </w:rPr>
              <w:t xml:space="preserve"> = valor do número-índice do IPCA do mês anterior ao mês </w:t>
            </w:r>
            <w:r w:rsidRPr="00C6089D">
              <w:rPr>
                <w:rFonts w:ascii="Calibri" w:hAnsi="Calibri" w:cs="Calibri"/>
                <w:sz w:val="24"/>
              </w:rPr>
              <w:t xml:space="preserve">de </w:t>
            </w:r>
            <w:r w:rsidRPr="00365D60">
              <w:rPr>
                <w:rFonts w:ascii="Calibri" w:hAnsi="Calibri" w:cs="Calibri"/>
                <w:sz w:val="24"/>
              </w:rPr>
              <w:t>atualização, caso a atualização seja em data anterior ou na própria data de aniversário das Debêntures. Após a data de aniversário, “</w:t>
            </w:r>
            <w:proofErr w:type="spellStart"/>
            <w:r w:rsidRPr="00365D60">
              <w:rPr>
                <w:rFonts w:ascii="Calibri" w:hAnsi="Calibri" w:cs="Calibri"/>
                <w:sz w:val="24"/>
              </w:rPr>
              <w:t>NIk</w:t>
            </w:r>
            <w:proofErr w:type="spellEnd"/>
            <w:r w:rsidRPr="00365D60">
              <w:rPr>
                <w:rFonts w:ascii="Calibri" w:hAnsi="Calibri" w:cs="Calibri"/>
                <w:sz w:val="24"/>
              </w:rPr>
              <w:t>” corresponderá ao valor do número-índice do IPCA do mês de atualização;</w:t>
            </w:r>
          </w:p>
          <w:p w14:paraId="2DD41591" w14:textId="77777777" w:rsidR="00690C81" w:rsidRPr="00365D60" w:rsidRDefault="00690C81" w:rsidP="0046682A">
            <w:pPr>
              <w:pStyle w:val="Level2"/>
              <w:numPr>
                <w:ilvl w:val="0"/>
                <w:numId w:val="0"/>
              </w:numPr>
              <w:outlineLvl w:val="9"/>
              <w:rPr>
                <w:rFonts w:ascii="Calibri" w:hAnsi="Calibri" w:cs="Calibri"/>
                <w:sz w:val="24"/>
              </w:rPr>
            </w:pPr>
            <w:r w:rsidRPr="00365D60">
              <w:rPr>
                <w:rFonts w:ascii="Calibri" w:hAnsi="Calibri" w:cs="Calibri"/>
                <w:sz w:val="24"/>
              </w:rPr>
              <w:lastRenderedPageBreak/>
              <w:t>NIk-1 = valor do número-índice do IPCA do mês anterior ao mês “k”;</w:t>
            </w:r>
          </w:p>
          <w:p w14:paraId="3C4C185E" w14:textId="221331B5" w:rsidR="00690C81" w:rsidRPr="00365D60" w:rsidRDefault="00690C81" w:rsidP="0046682A">
            <w:pPr>
              <w:pStyle w:val="Level2"/>
              <w:numPr>
                <w:ilvl w:val="0"/>
                <w:numId w:val="0"/>
              </w:numPr>
              <w:outlineLvl w:val="9"/>
              <w:rPr>
                <w:rFonts w:ascii="Calibri" w:hAnsi="Calibri" w:cs="Calibri"/>
                <w:sz w:val="24"/>
              </w:rPr>
            </w:pPr>
            <w:proofErr w:type="spellStart"/>
            <w:r w:rsidRPr="00365D60">
              <w:rPr>
                <w:rFonts w:ascii="Calibri" w:hAnsi="Calibri" w:cs="Calibri"/>
                <w:sz w:val="24"/>
              </w:rPr>
              <w:t>dup</w:t>
            </w:r>
            <w:proofErr w:type="spellEnd"/>
            <w:r w:rsidRPr="00365D60">
              <w:rPr>
                <w:rFonts w:ascii="Calibri" w:hAnsi="Calibri" w:cs="Calibri"/>
                <w:sz w:val="24"/>
              </w:rPr>
              <w:t xml:space="preserve"> = número de</w:t>
            </w:r>
            <w:r w:rsidRPr="00C6089D">
              <w:rPr>
                <w:rFonts w:ascii="Calibri" w:hAnsi="Calibri" w:cs="Calibri"/>
                <w:sz w:val="24"/>
              </w:rPr>
              <w:t xml:space="preserve"> Dias Úteis </w:t>
            </w:r>
            <w:r w:rsidRPr="00365D60">
              <w:rPr>
                <w:rFonts w:ascii="Calibri" w:hAnsi="Calibri" w:cs="Calibri"/>
                <w:sz w:val="24"/>
              </w:rPr>
              <w:t>entre a primeira Data de Integralização ou a data de aniversário imediatamente anterior, conforme o caso, e a data de cálculo, limitado ao número total de Dias Úteis de vigência do número-índice do IPCA, sendo “</w:t>
            </w:r>
            <w:proofErr w:type="spellStart"/>
            <w:r w:rsidRPr="00365D60">
              <w:rPr>
                <w:rFonts w:ascii="Calibri" w:hAnsi="Calibri" w:cs="Calibri"/>
                <w:sz w:val="24"/>
              </w:rPr>
              <w:t>dup</w:t>
            </w:r>
            <w:proofErr w:type="spellEnd"/>
            <w:r w:rsidRPr="00365D60">
              <w:rPr>
                <w:rFonts w:ascii="Calibri" w:hAnsi="Calibri" w:cs="Calibri"/>
                <w:sz w:val="24"/>
              </w:rPr>
              <w:t>” um número inteiro; e</w:t>
            </w:r>
          </w:p>
          <w:p w14:paraId="4E4FACEF" w14:textId="77777777" w:rsidR="00690C81" w:rsidRPr="00365D60" w:rsidRDefault="00690C81" w:rsidP="0046682A">
            <w:pPr>
              <w:pStyle w:val="Level2"/>
              <w:numPr>
                <w:ilvl w:val="0"/>
                <w:numId w:val="0"/>
              </w:numPr>
              <w:outlineLvl w:val="9"/>
              <w:rPr>
                <w:rFonts w:ascii="Calibri" w:hAnsi="Calibri" w:cs="Calibri"/>
                <w:sz w:val="24"/>
              </w:rPr>
            </w:pPr>
            <w:proofErr w:type="spellStart"/>
            <w:r w:rsidRPr="00365D60">
              <w:rPr>
                <w:rFonts w:ascii="Calibri" w:hAnsi="Calibri" w:cs="Calibri"/>
                <w:sz w:val="24"/>
              </w:rPr>
              <w:t>dut</w:t>
            </w:r>
            <w:proofErr w:type="spellEnd"/>
            <w:r w:rsidRPr="00365D60">
              <w:rPr>
                <w:rFonts w:ascii="Calibri" w:hAnsi="Calibri" w:cs="Calibri"/>
                <w:sz w:val="24"/>
              </w:rPr>
              <w:t xml:space="preserve"> = número de Dias Úteis entre a data de aniversário imediatamente anterior e a data de aniversário imediatamente subsequente, sendo “</w:t>
            </w:r>
            <w:proofErr w:type="spellStart"/>
            <w:r w:rsidRPr="00365D60">
              <w:rPr>
                <w:rFonts w:ascii="Calibri" w:hAnsi="Calibri" w:cs="Calibri"/>
                <w:sz w:val="24"/>
              </w:rPr>
              <w:t>dut</w:t>
            </w:r>
            <w:proofErr w:type="spellEnd"/>
            <w:r w:rsidRPr="00365D60">
              <w:rPr>
                <w:rFonts w:ascii="Calibri" w:hAnsi="Calibri" w:cs="Calibri"/>
                <w:sz w:val="24"/>
              </w:rPr>
              <w:t>” um número inteiro.</w:t>
            </w:r>
          </w:p>
          <w:p w14:paraId="61AA1E0B" w14:textId="5C294881" w:rsidR="00690C81" w:rsidRPr="00365D60" w:rsidRDefault="00690C81" w:rsidP="0046682A">
            <w:pPr>
              <w:pStyle w:val="Level2"/>
              <w:numPr>
                <w:ilvl w:val="0"/>
                <w:numId w:val="0"/>
              </w:numPr>
              <w:outlineLvl w:val="9"/>
              <w:rPr>
                <w:rFonts w:ascii="Calibri" w:hAnsi="Calibri" w:cs="Calibri"/>
                <w:sz w:val="24"/>
              </w:rPr>
            </w:pPr>
            <w:r w:rsidRPr="00365D60">
              <w:rPr>
                <w:rFonts w:ascii="Calibri" w:hAnsi="Calibri" w:cs="Calibri"/>
                <w:sz w:val="24"/>
              </w:rPr>
              <w:t xml:space="preserve">A aplicação do IPCA incidirá no menor período permitido pela legislação em vigor, sem necessidade de ajuste </w:t>
            </w:r>
            <w:r w:rsidR="00C6089D">
              <w:rPr>
                <w:rFonts w:ascii="Calibri" w:hAnsi="Calibri" w:cs="Calibri"/>
                <w:sz w:val="24"/>
              </w:rPr>
              <w:t>na</w:t>
            </w:r>
            <w:r w:rsidRPr="00365D60">
              <w:rPr>
                <w:rFonts w:ascii="Calibri" w:hAnsi="Calibri" w:cs="Calibri"/>
                <w:sz w:val="24"/>
              </w:rPr>
              <w:t xml:space="preserve"> Escritura de Emissão ou qualquer outra formalidade. </w:t>
            </w:r>
          </w:p>
          <w:p w14:paraId="564F884D" w14:textId="77777777" w:rsidR="00690C81" w:rsidRPr="00365D60" w:rsidRDefault="00690C81" w:rsidP="00CA0F30">
            <w:pPr>
              <w:pStyle w:val="Level2"/>
              <w:numPr>
                <w:ilvl w:val="0"/>
                <w:numId w:val="0"/>
              </w:numPr>
              <w:spacing w:line="300" w:lineRule="auto"/>
              <w:outlineLvl w:val="9"/>
              <w:rPr>
                <w:rFonts w:ascii="Calibri" w:hAnsi="Calibri" w:cs="Calibri"/>
                <w:sz w:val="24"/>
              </w:rPr>
            </w:pPr>
            <w:r w:rsidRPr="00365D60">
              <w:rPr>
                <w:rFonts w:ascii="Calibri" w:hAnsi="Calibri" w:cs="Calibri"/>
                <w:sz w:val="24"/>
              </w:rPr>
              <w:t xml:space="preserve">O IPCA deverá ser utilizado considerando idêntico número de casas decimais divulgado pelo IBGE; </w:t>
            </w:r>
          </w:p>
          <w:p w14:paraId="442CD8ED" w14:textId="644BAF11" w:rsidR="00690C81" w:rsidRPr="00365D60" w:rsidRDefault="00690C81" w:rsidP="00CA0F30">
            <w:pPr>
              <w:pStyle w:val="roman4"/>
              <w:tabs>
                <w:tab w:val="clear" w:pos="2608"/>
                <w:tab w:val="num" w:pos="364"/>
              </w:tabs>
              <w:spacing w:line="300" w:lineRule="auto"/>
              <w:ind w:left="0" w:firstLine="0"/>
              <w:rPr>
                <w:rFonts w:ascii="Calibri" w:hAnsi="Calibri" w:cs="Calibri"/>
                <w:sz w:val="24"/>
                <w:szCs w:val="24"/>
              </w:rPr>
            </w:pPr>
            <w:r w:rsidRPr="00365D60">
              <w:rPr>
                <w:rFonts w:ascii="Calibri" w:hAnsi="Calibri" w:cs="Calibri"/>
                <w:sz w:val="24"/>
                <w:szCs w:val="24"/>
              </w:rPr>
              <w:t>Considera-se a “Data de Aniversário” todo dia 15 de cada mês;</w:t>
            </w:r>
          </w:p>
          <w:p w14:paraId="078AC59B" w14:textId="77777777" w:rsidR="00690C81" w:rsidRPr="00365D60" w:rsidRDefault="00690C81" w:rsidP="00CA0F30">
            <w:pPr>
              <w:pStyle w:val="roman4"/>
              <w:tabs>
                <w:tab w:val="clear" w:pos="2608"/>
                <w:tab w:val="num" w:pos="364"/>
              </w:tabs>
              <w:spacing w:line="300" w:lineRule="auto"/>
              <w:ind w:left="0" w:firstLine="0"/>
              <w:rPr>
                <w:rFonts w:ascii="Calibri" w:hAnsi="Calibri" w:cs="Calibri"/>
                <w:sz w:val="24"/>
                <w:szCs w:val="24"/>
              </w:rPr>
            </w:pPr>
            <w:r w:rsidRPr="00365D60">
              <w:rPr>
                <w:rFonts w:ascii="Calibri" w:hAnsi="Calibri" w:cs="Calibri"/>
                <w:sz w:val="24"/>
                <w:szCs w:val="24"/>
              </w:rPr>
              <w:t>Considera-se como mês de atualização, o período mensal compreendido entre duas datas de aniversários consecutivas das Debêntures;</w:t>
            </w:r>
          </w:p>
          <w:p w14:paraId="71CB860D" w14:textId="77777777" w:rsidR="00690C81" w:rsidRPr="00365D60" w:rsidRDefault="00690C81" w:rsidP="00CA0F30">
            <w:pPr>
              <w:pStyle w:val="roman4"/>
              <w:tabs>
                <w:tab w:val="clear" w:pos="2608"/>
                <w:tab w:val="num" w:pos="364"/>
              </w:tabs>
              <w:spacing w:line="300" w:lineRule="auto"/>
              <w:ind w:left="0" w:firstLine="0"/>
              <w:rPr>
                <w:rFonts w:ascii="Calibri" w:hAnsi="Calibri" w:cs="Calibri"/>
                <w:sz w:val="24"/>
                <w:szCs w:val="24"/>
              </w:rPr>
            </w:pPr>
            <w:r w:rsidRPr="00365D60">
              <w:rPr>
                <w:rFonts w:ascii="Calibri" w:hAnsi="Calibri" w:cs="Calibri"/>
                <w:sz w:val="24"/>
                <w:szCs w:val="24"/>
              </w:rPr>
              <w:t xml:space="preserve">O fator resultante da expressão </w:t>
            </w:r>
            <w:r w:rsidRPr="00365D60">
              <w:rPr>
                <w:rFonts w:ascii="Calibri" w:hAnsi="Calibri" w:cs="Calibri"/>
                <w:sz w:val="24"/>
                <w:szCs w:val="24"/>
              </w:rPr>
              <w:object w:dxaOrig="1060" w:dyaOrig="859" w14:anchorId="4E230CC1">
                <v:shape id="_x0000_i1027" type="#_x0000_t75" style="width:41.15pt;height:36pt" o:ole="">
                  <v:imagedata r:id="rId20" o:title=""/>
                </v:shape>
                <o:OLEObject Type="Embed" ProgID="Equation.3" ShapeID="_x0000_i1027" DrawAspect="Content" ObjectID="_1709223460" r:id="rId21"/>
              </w:object>
            </w:r>
            <w:r w:rsidRPr="00365D60">
              <w:rPr>
                <w:rFonts w:ascii="Calibri" w:hAnsi="Calibri" w:cs="Calibri"/>
                <w:sz w:val="24"/>
                <w:szCs w:val="24"/>
              </w:rPr>
              <w:t xml:space="preserve"> são considerados com 8 (oito) casas decimais, sem arredondamento. </w:t>
            </w:r>
          </w:p>
          <w:p w14:paraId="27E28A26" w14:textId="77777777" w:rsidR="00690C81" w:rsidRPr="00365D60" w:rsidRDefault="00690C81" w:rsidP="00CA0F30">
            <w:pPr>
              <w:pStyle w:val="roman4"/>
              <w:tabs>
                <w:tab w:val="clear" w:pos="2608"/>
                <w:tab w:val="num" w:pos="364"/>
              </w:tabs>
              <w:spacing w:line="300" w:lineRule="auto"/>
              <w:ind w:left="0" w:firstLine="0"/>
              <w:rPr>
                <w:rFonts w:ascii="Calibri" w:hAnsi="Calibri" w:cs="Calibri"/>
                <w:sz w:val="24"/>
                <w:szCs w:val="24"/>
              </w:rPr>
            </w:pPr>
            <w:r w:rsidRPr="00365D60">
              <w:rPr>
                <w:rFonts w:ascii="Calibri" w:hAnsi="Calibri" w:cs="Calibri"/>
                <w:sz w:val="24"/>
                <w:szCs w:val="24"/>
              </w:rPr>
              <w:t xml:space="preserve">O </w:t>
            </w:r>
            <w:proofErr w:type="spellStart"/>
            <w:r w:rsidRPr="00365D60">
              <w:rPr>
                <w:rFonts w:ascii="Calibri" w:hAnsi="Calibri" w:cs="Calibri"/>
                <w:sz w:val="24"/>
                <w:szCs w:val="24"/>
              </w:rPr>
              <w:t>produtório</w:t>
            </w:r>
            <w:proofErr w:type="spellEnd"/>
            <w:r w:rsidRPr="00365D60">
              <w:rPr>
                <w:rFonts w:ascii="Calibri" w:hAnsi="Calibri" w:cs="Calibri"/>
                <w:sz w:val="24"/>
                <w:szCs w:val="24"/>
              </w:rPr>
              <w:t xml:space="preserve"> é executado a partir do fator mais recente, acrescentando-se, em seguida, os mais remotos. Os resultados intermediários são calculados com 16 (dezesseis) casas decimais, sem arredondamento; </w:t>
            </w:r>
          </w:p>
          <w:p w14:paraId="38DA9D29" w14:textId="77777777" w:rsidR="00690C81" w:rsidRPr="00365D60" w:rsidRDefault="00690C81" w:rsidP="0087082D">
            <w:pPr>
              <w:pStyle w:val="roman4"/>
              <w:tabs>
                <w:tab w:val="clear" w:pos="2608"/>
                <w:tab w:val="num" w:pos="364"/>
              </w:tabs>
              <w:spacing w:line="260" w:lineRule="exact"/>
              <w:ind w:left="0" w:firstLine="0"/>
              <w:rPr>
                <w:rFonts w:ascii="Calibri" w:hAnsi="Calibri" w:cs="Calibri"/>
                <w:sz w:val="24"/>
                <w:szCs w:val="24"/>
              </w:rPr>
            </w:pPr>
            <w:r w:rsidRPr="00365D60">
              <w:rPr>
                <w:rFonts w:ascii="Calibri" w:hAnsi="Calibri" w:cs="Calibri"/>
                <w:sz w:val="24"/>
                <w:szCs w:val="24"/>
              </w:rPr>
              <w:lastRenderedPageBreak/>
              <w:t>Os valores dos finais de semana ou feriados serão iguais ao valor do Dia Útil subsequente, apropriando o “pro rata” do último Dia Útil anterior.</w:t>
            </w:r>
          </w:p>
          <w:p w14:paraId="37067016" w14:textId="2D9B8164" w:rsidR="00D1064E" w:rsidRPr="00365D60" w:rsidRDefault="00D1064E" w:rsidP="00945B8F">
            <w:pPr>
              <w:pStyle w:val="Level3"/>
              <w:numPr>
                <w:ilvl w:val="0"/>
                <w:numId w:val="0"/>
              </w:numPr>
              <w:spacing w:line="240" w:lineRule="auto"/>
              <w:rPr>
                <w:rFonts w:ascii="Calibri" w:hAnsi="Calibri" w:cs="Calibri"/>
                <w:sz w:val="24"/>
                <w:szCs w:val="24"/>
              </w:rPr>
            </w:pPr>
            <w:r w:rsidRPr="00365D60">
              <w:rPr>
                <w:rFonts w:ascii="Calibri" w:hAnsi="Calibri" w:cs="Calibri"/>
                <w:bCs/>
                <w:sz w:val="24"/>
                <w:szCs w:val="24"/>
                <w:u w:val="single"/>
              </w:rPr>
              <w:t>Indisponibilidade do IPCA</w:t>
            </w:r>
            <w:r w:rsidR="00A76600" w:rsidRPr="00365D60">
              <w:rPr>
                <w:rFonts w:ascii="Calibri" w:hAnsi="Calibri" w:cs="Calibri"/>
                <w:sz w:val="24"/>
                <w:szCs w:val="24"/>
              </w:rPr>
              <w:t>: No caso de indisponibilidade temporária do IPCA quando do pagamento de qualquer obrigação pecuniária prevista na Escritura de Emissão para as Debêntures, será utilizada, em sua substituição, a mesma variação produzida pelo último IPCA divulgado até a data do cálculo, não sendo devidas quaisquer compensações financeiras, tanto por parte da Emissora quanto pelos Debenturistas, quando da divulgação posterior do IPCA.</w:t>
            </w:r>
          </w:p>
          <w:p w14:paraId="0B0843FA" w14:textId="799570F0" w:rsidR="00A76600" w:rsidRPr="00C6089D" w:rsidRDefault="00A76600" w:rsidP="00D1064E">
            <w:pPr>
              <w:pStyle w:val="Level3"/>
              <w:numPr>
                <w:ilvl w:val="0"/>
                <w:numId w:val="0"/>
              </w:numPr>
              <w:rPr>
                <w:rFonts w:ascii="Calibri" w:hAnsi="Calibri" w:cs="Calibri"/>
                <w:kern w:val="0"/>
                <w:sz w:val="24"/>
                <w:szCs w:val="24"/>
              </w:rPr>
            </w:pPr>
            <w:r w:rsidRPr="00365D60">
              <w:rPr>
                <w:rFonts w:ascii="Calibri" w:hAnsi="Calibri" w:cs="Calibri"/>
                <w:kern w:val="0"/>
                <w:sz w:val="24"/>
                <w:szCs w:val="24"/>
              </w:rPr>
              <w:t>Na ausência de apuração e/ou divulgação do IPCA por prazo superior a 30 (trinta) dias contados da</w:t>
            </w:r>
            <w:r w:rsidRPr="00C6089D">
              <w:rPr>
                <w:rFonts w:ascii="Calibri" w:hAnsi="Calibri" w:cs="Calibri"/>
                <w:kern w:val="0"/>
                <w:sz w:val="24"/>
                <w:szCs w:val="24"/>
              </w:rPr>
              <w:t xml:space="preserve"> data esperada para sua apuração e/ou divulgação (“</w:t>
            </w:r>
            <w:r w:rsidRPr="00C6089D">
              <w:rPr>
                <w:rFonts w:ascii="Calibri" w:hAnsi="Calibri" w:cs="Calibri"/>
                <w:kern w:val="0"/>
                <w:sz w:val="24"/>
                <w:szCs w:val="24"/>
                <w:u w:val="single"/>
              </w:rPr>
              <w:t>Período de Ausência do IPCA</w:t>
            </w:r>
            <w:r w:rsidRPr="00365D60">
              <w:rPr>
                <w:rFonts w:ascii="Calibri" w:hAnsi="Calibri" w:cs="Calibri"/>
                <w:kern w:val="0"/>
                <w:sz w:val="24"/>
                <w:szCs w:val="24"/>
              </w:rPr>
              <w:t>”)</w:t>
            </w:r>
            <w:r w:rsidRPr="00C6089D">
              <w:rPr>
                <w:rFonts w:ascii="Calibri" w:hAnsi="Calibri" w:cs="Calibri"/>
                <w:kern w:val="0"/>
                <w:sz w:val="24"/>
                <w:szCs w:val="24"/>
              </w:rPr>
              <w:t xml:space="preserve"> ou</w:t>
            </w:r>
            <w:r w:rsidRPr="00365D60">
              <w:rPr>
                <w:rFonts w:ascii="Calibri" w:hAnsi="Calibri" w:cs="Calibri"/>
                <w:kern w:val="0"/>
                <w:sz w:val="24"/>
                <w:szCs w:val="24"/>
              </w:rPr>
              <w:t>, ainda, na hipótese</w:t>
            </w:r>
            <w:r w:rsidRPr="00C6089D">
              <w:rPr>
                <w:rFonts w:ascii="Calibri" w:hAnsi="Calibri" w:cs="Calibri"/>
                <w:kern w:val="0"/>
                <w:sz w:val="24"/>
                <w:szCs w:val="24"/>
              </w:rPr>
              <w:t xml:space="preserve"> de </w:t>
            </w:r>
            <w:r w:rsidRPr="00365D60">
              <w:rPr>
                <w:rFonts w:ascii="Calibri" w:hAnsi="Calibri" w:cs="Calibri"/>
                <w:kern w:val="0"/>
                <w:sz w:val="24"/>
                <w:szCs w:val="24"/>
              </w:rPr>
              <w:t>extinção ou inaplicabilidade</w:t>
            </w:r>
            <w:r w:rsidRPr="00C6089D">
              <w:rPr>
                <w:rFonts w:ascii="Calibri" w:hAnsi="Calibri" w:cs="Calibri"/>
                <w:kern w:val="0"/>
                <w:sz w:val="24"/>
                <w:szCs w:val="24"/>
              </w:rPr>
              <w:t xml:space="preserve"> por </w:t>
            </w:r>
            <w:r w:rsidRPr="00365D60">
              <w:rPr>
                <w:rFonts w:ascii="Calibri" w:hAnsi="Calibri" w:cs="Calibri"/>
                <w:kern w:val="0"/>
                <w:sz w:val="24"/>
                <w:szCs w:val="24"/>
              </w:rPr>
              <w:t>disposição</w:t>
            </w:r>
            <w:r w:rsidRPr="00C6089D">
              <w:rPr>
                <w:rFonts w:ascii="Calibri" w:hAnsi="Calibri" w:cs="Calibri"/>
                <w:kern w:val="0"/>
                <w:sz w:val="24"/>
                <w:szCs w:val="24"/>
              </w:rPr>
              <w:t xml:space="preserve"> legal ou </w:t>
            </w:r>
            <w:r w:rsidRPr="00365D60">
              <w:rPr>
                <w:rFonts w:ascii="Calibri" w:hAnsi="Calibri" w:cs="Calibri"/>
                <w:kern w:val="0"/>
                <w:sz w:val="24"/>
                <w:szCs w:val="24"/>
              </w:rPr>
              <w:t xml:space="preserve">determinação </w:t>
            </w:r>
            <w:r w:rsidRPr="00C6089D">
              <w:rPr>
                <w:rFonts w:ascii="Calibri" w:hAnsi="Calibri" w:cs="Calibri"/>
                <w:kern w:val="0"/>
                <w:sz w:val="24"/>
                <w:szCs w:val="24"/>
              </w:rPr>
              <w:t xml:space="preserve">judicial, </w:t>
            </w:r>
            <w:r w:rsidRPr="00365D60">
              <w:rPr>
                <w:rFonts w:ascii="Calibri" w:hAnsi="Calibri" w:cs="Calibri"/>
                <w:kern w:val="0"/>
                <w:sz w:val="24"/>
                <w:szCs w:val="24"/>
              </w:rPr>
              <w:t xml:space="preserve">o IPCA deverá ser substituído pelo </w:t>
            </w:r>
            <w:r w:rsidRPr="00C6089D">
              <w:rPr>
                <w:rFonts w:ascii="Calibri" w:hAnsi="Calibri" w:cs="Calibri"/>
                <w:kern w:val="0"/>
                <w:sz w:val="24"/>
                <w:szCs w:val="24"/>
              </w:rPr>
              <w:t xml:space="preserve">seu substituto legal ou, </w:t>
            </w:r>
            <w:r w:rsidRPr="00365D60">
              <w:rPr>
                <w:rFonts w:ascii="Calibri" w:hAnsi="Calibri" w:cs="Calibri"/>
                <w:kern w:val="0"/>
                <w:sz w:val="24"/>
                <w:szCs w:val="24"/>
              </w:rPr>
              <w:t>no caso de inexistir</w:t>
            </w:r>
            <w:r w:rsidRPr="00C6089D">
              <w:rPr>
                <w:rFonts w:ascii="Calibri" w:hAnsi="Calibri" w:cs="Calibri"/>
                <w:kern w:val="0"/>
                <w:sz w:val="24"/>
                <w:szCs w:val="24"/>
              </w:rPr>
              <w:t xml:space="preserve"> substituto legal</w:t>
            </w:r>
            <w:r w:rsidRPr="00365D60">
              <w:rPr>
                <w:rFonts w:ascii="Calibri" w:hAnsi="Calibri" w:cs="Calibri"/>
                <w:kern w:val="0"/>
                <w:sz w:val="24"/>
                <w:szCs w:val="24"/>
              </w:rPr>
              <w:t xml:space="preserve"> para o IPCA</w:t>
            </w:r>
            <w:r w:rsidRPr="00C6089D">
              <w:rPr>
                <w:rFonts w:ascii="Calibri" w:hAnsi="Calibri" w:cs="Calibri"/>
                <w:kern w:val="0"/>
                <w:sz w:val="24"/>
                <w:szCs w:val="24"/>
              </w:rPr>
              <w:t>, o Agente Fiduciário deverá</w:t>
            </w:r>
            <w:r w:rsidRPr="00365D60">
              <w:rPr>
                <w:rFonts w:ascii="Calibri" w:hAnsi="Calibri" w:cs="Calibri"/>
                <w:kern w:val="0"/>
                <w:sz w:val="24"/>
                <w:szCs w:val="24"/>
              </w:rPr>
              <w:t xml:space="preserve">, no prazo máximo de até 5 (cinco) Dias Úteis a contar do final do prazo de 30 (trinta) dias acima mencionado ou do evento de extinção ou inaplicabilidade, conforme o caso, </w:t>
            </w:r>
            <w:r w:rsidRPr="00C6089D">
              <w:rPr>
                <w:rFonts w:ascii="Calibri" w:hAnsi="Calibri" w:cs="Calibri"/>
                <w:kern w:val="0"/>
                <w:sz w:val="24"/>
                <w:szCs w:val="24"/>
              </w:rPr>
              <w:t>convocar Assembleia Geral de Debenturistas</w:t>
            </w:r>
            <w:r w:rsidRPr="00365D60">
              <w:rPr>
                <w:rFonts w:ascii="Calibri" w:hAnsi="Calibri" w:cs="Calibri"/>
                <w:kern w:val="0"/>
                <w:sz w:val="24"/>
                <w:szCs w:val="24"/>
              </w:rPr>
              <w:t xml:space="preserve">, </w:t>
            </w:r>
            <w:r w:rsidRPr="00C6089D">
              <w:rPr>
                <w:rFonts w:ascii="Calibri" w:hAnsi="Calibri" w:cs="Calibri"/>
                <w:kern w:val="0"/>
                <w:sz w:val="24"/>
                <w:szCs w:val="24"/>
              </w:rPr>
              <w:t>na forma e nos prazos estipulados no artigo 124 da Lei das Sociedades por Ações</w:t>
            </w:r>
            <w:r w:rsidRPr="00365D60">
              <w:rPr>
                <w:rFonts w:ascii="Calibri" w:hAnsi="Calibri" w:cs="Calibri"/>
                <w:kern w:val="0"/>
                <w:sz w:val="24"/>
                <w:szCs w:val="24"/>
              </w:rPr>
              <w:t xml:space="preserve"> e</w:t>
            </w:r>
            <w:r w:rsidRPr="00C6089D">
              <w:rPr>
                <w:rFonts w:ascii="Calibri" w:hAnsi="Calibri" w:cs="Calibri"/>
                <w:kern w:val="0"/>
                <w:sz w:val="24"/>
                <w:szCs w:val="24"/>
              </w:rPr>
              <w:t xml:space="preserve"> na Escritura de Emissão</w:t>
            </w:r>
            <w:r w:rsidRPr="00365D60">
              <w:rPr>
                <w:rFonts w:ascii="Calibri" w:hAnsi="Calibri" w:cs="Calibri"/>
                <w:kern w:val="0"/>
                <w:sz w:val="24"/>
                <w:szCs w:val="24"/>
              </w:rPr>
              <w:t>,</w:t>
            </w:r>
            <w:r w:rsidRPr="00C6089D">
              <w:rPr>
                <w:rFonts w:ascii="Calibri" w:hAnsi="Calibri" w:cs="Calibri"/>
                <w:kern w:val="0"/>
                <w:sz w:val="24"/>
                <w:szCs w:val="24"/>
              </w:rPr>
              <w:t xml:space="preserve"> para os Debenturistas </w:t>
            </w:r>
            <w:r w:rsidRPr="00365D60">
              <w:rPr>
                <w:rFonts w:ascii="Calibri" w:hAnsi="Calibri" w:cs="Calibri"/>
                <w:kern w:val="0"/>
                <w:sz w:val="24"/>
                <w:szCs w:val="24"/>
              </w:rPr>
              <w:t>definirem</w:t>
            </w:r>
            <w:r w:rsidRPr="00C6089D">
              <w:rPr>
                <w:rFonts w:ascii="Calibri" w:hAnsi="Calibri" w:cs="Calibri"/>
                <w:kern w:val="0"/>
                <w:sz w:val="24"/>
                <w:szCs w:val="24"/>
              </w:rPr>
              <w:t xml:space="preserve">, de comum acordo com a Emissora, </w:t>
            </w:r>
            <w:r w:rsidRPr="00365D60">
              <w:rPr>
                <w:rFonts w:ascii="Calibri" w:hAnsi="Calibri" w:cs="Calibri"/>
                <w:kern w:val="0"/>
                <w:sz w:val="24"/>
                <w:szCs w:val="24"/>
              </w:rPr>
              <w:t xml:space="preserve">observada a regulamentação aplicável, </w:t>
            </w:r>
            <w:r w:rsidRPr="00C6089D">
              <w:rPr>
                <w:rFonts w:ascii="Calibri" w:hAnsi="Calibri" w:cs="Calibri"/>
                <w:kern w:val="0"/>
                <w:sz w:val="24"/>
                <w:szCs w:val="24"/>
              </w:rPr>
              <w:t>o novo parâmetro a ser aplicado, o qual deverá refletir parâmetros utilizados em operações similares existentes à época (“</w:t>
            </w:r>
            <w:r w:rsidRPr="00C6089D">
              <w:rPr>
                <w:rFonts w:ascii="Calibri" w:hAnsi="Calibri" w:cs="Calibri"/>
                <w:kern w:val="0"/>
                <w:sz w:val="24"/>
                <w:szCs w:val="24"/>
                <w:u w:val="single"/>
              </w:rPr>
              <w:t>Taxa Substitutiva</w:t>
            </w:r>
            <w:r w:rsidRPr="00C6089D">
              <w:rPr>
                <w:rFonts w:ascii="Calibri" w:hAnsi="Calibri" w:cs="Calibri"/>
                <w:kern w:val="0"/>
                <w:sz w:val="24"/>
                <w:szCs w:val="24"/>
              </w:rPr>
              <w:t xml:space="preserve">”). Até a deliberação </w:t>
            </w:r>
            <w:r w:rsidRPr="00365D60">
              <w:rPr>
                <w:rFonts w:ascii="Calibri" w:hAnsi="Calibri" w:cs="Calibri"/>
                <w:kern w:val="0"/>
                <w:sz w:val="24"/>
                <w:szCs w:val="24"/>
              </w:rPr>
              <w:t>desse parâmetro</w:t>
            </w:r>
            <w:r w:rsidRPr="00C6089D">
              <w:rPr>
                <w:rFonts w:ascii="Calibri" w:hAnsi="Calibri" w:cs="Calibri"/>
                <w:kern w:val="0"/>
                <w:sz w:val="24"/>
                <w:szCs w:val="24"/>
              </w:rPr>
              <w:t xml:space="preserve"> será utilizada</w:t>
            </w:r>
            <w:r w:rsidRPr="00365D60">
              <w:rPr>
                <w:rFonts w:ascii="Calibri" w:hAnsi="Calibri" w:cs="Calibri"/>
                <w:kern w:val="0"/>
                <w:sz w:val="24"/>
                <w:szCs w:val="24"/>
              </w:rPr>
              <w:t>, para o cálculo do valor de quaisquer obrigações pecuniárias</w:t>
            </w:r>
            <w:r w:rsidRPr="00C6089D">
              <w:rPr>
                <w:rFonts w:ascii="Calibri" w:hAnsi="Calibri" w:cs="Calibri"/>
                <w:kern w:val="0"/>
                <w:sz w:val="24"/>
                <w:szCs w:val="24"/>
              </w:rPr>
              <w:t xml:space="preserve"> previstas </w:t>
            </w:r>
            <w:r w:rsidRPr="00365D60">
              <w:rPr>
                <w:rFonts w:ascii="Calibri" w:hAnsi="Calibri" w:cs="Calibri"/>
                <w:kern w:val="0"/>
                <w:sz w:val="24"/>
                <w:szCs w:val="24"/>
              </w:rPr>
              <w:t>n</w:t>
            </w:r>
            <w:r w:rsidR="00C6089D">
              <w:rPr>
                <w:rFonts w:ascii="Calibri" w:hAnsi="Calibri" w:cs="Calibri"/>
                <w:kern w:val="0"/>
                <w:sz w:val="24"/>
                <w:szCs w:val="24"/>
              </w:rPr>
              <w:t>a</w:t>
            </w:r>
            <w:r w:rsidRPr="00365D60">
              <w:rPr>
                <w:rFonts w:ascii="Calibri" w:hAnsi="Calibri" w:cs="Calibri"/>
                <w:kern w:val="0"/>
                <w:sz w:val="24"/>
                <w:szCs w:val="24"/>
              </w:rPr>
              <w:t xml:space="preserve"> Escritura de Emissão, a mesma variação produzida pelo último IPCA divulgado até a data do cálculo</w:t>
            </w:r>
            <w:r w:rsidRPr="00C6089D">
              <w:rPr>
                <w:rFonts w:ascii="Calibri" w:hAnsi="Calibri" w:cs="Calibri"/>
                <w:kern w:val="0"/>
                <w:sz w:val="24"/>
                <w:szCs w:val="24"/>
              </w:rPr>
              <w:t xml:space="preserve">, não </w:t>
            </w:r>
            <w:r w:rsidRPr="00365D60">
              <w:rPr>
                <w:rFonts w:ascii="Calibri" w:hAnsi="Calibri" w:cs="Calibri"/>
                <w:kern w:val="0"/>
                <w:sz w:val="24"/>
                <w:szCs w:val="24"/>
              </w:rPr>
              <w:t>sendo</w:t>
            </w:r>
            <w:r w:rsidRPr="00C6089D">
              <w:rPr>
                <w:rFonts w:ascii="Calibri" w:hAnsi="Calibri" w:cs="Calibri"/>
                <w:kern w:val="0"/>
                <w:sz w:val="24"/>
                <w:szCs w:val="24"/>
              </w:rPr>
              <w:t xml:space="preserve"> devidas quaisquer compensações financeiras</w:t>
            </w:r>
            <w:r w:rsidRPr="00365D60">
              <w:rPr>
                <w:rFonts w:ascii="Calibri" w:hAnsi="Calibri" w:cs="Calibri"/>
                <w:kern w:val="0"/>
                <w:sz w:val="24"/>
                <w:szCs w:val="24"/>
              </w:rPr>
              <w:t xml:space="preserve">, multas ou penalidades, tanto por parte da </w:t>
            </w:r>
            <w:r w:rsidRPr="00C6089D">
              <w:rPr>
                <w:rFonts w:ascii="Calibri" w:hAnsi="Calibri" w:cs="Calibri"/>
                <w:kern w:val="0"/>
                <w:sz w:val="24"/>
                <w:szCs w:val="24"/>
              </w:rPr>
              <w:lastRenderedPageBreak/>
              <w:t xml:space="preserve">Emissora </w:t>
            </w:r>
            <w:r w:rsidRPr="00365D60">
              <w:rPr>
                <w:rFonts w:ascii="Calibri" w:hAnsi="Calibri" w:cs="Calibri"/>
                <w:kern w:val="0"/>
                <w:sz w:val="24"/>
                <w:szCs w:val="24"/>
              </w:rPr>
              <w:t>quanto pelos</w:t>
            </w:r>
            <w:r w:rsidRPr="00C6089D">
              <w:rPr>
                <w:rFonts w:ascii="Calibri" w:hAnsi="Calibri" w:cs="Calibri"/>
                <w:kern w:val="0"/>
                <w:sz w:val="24"/>
                <w:szCs w:val="24"/>
              </w:rPr>
              <w:t xml:space="preserve"> Debenturistas, </w:t>
            </w:r>
            <w:r w:rsidRPr="00365D60">
              <w:rPr>
                <w:rFonts w:ascii="Calibri" w:hAnsi="Calibri" w:cs="Calibri"/>
                <w:kern w:val="0"/>
                <w:sz w:val="24"/>
                <w:szCs w:val="24"/>
              </w:rPr>
              <w:t>quando</w:t>
            </w:r>
            <w:r w:rsidRPr="00C6089D">
              <w:rPr>
                <w:rFonts w:ascii="Calibri" w:hAnsi="Calibri" w:cs="Calibri"/>
                <w:kern w:val="0"/>
                <w:sz w:val="24"/>
                <w:szCs w:val="24"/>
              </w:rPr>
              <w:t xml:space="preserve"> da </w:t>
            </w:r>
            <w:r w:rsidRPr="00365D60">
              <w:rPr>
                <w:rFonts w:ascii="Calibri" w:hAnsi="Calibri" w:cs="Calibri"/>
                <w:kern w:val="0"/>
                <w:sz w:val="24"/>
                <w:szCs w:val="24"/>
              </w:rPr>
              <w:t>divulgação posterior do IPCA.</w:t>
            </w:r>
          </w:p>
          <w:p w14:paraId="3C24C3BF" w14:textId="7E4A5C1B" w:rsidR="00A76600" w:rsidRPr="00C6089D" w:rsidRDefault="00A76600" w:rsidP="00945B8F">
            <w:pPr>
              <w:pStyle w:val="Level3"/>
              <w:numPr>
                <w:ilvl w:val="0"/>
                <w:numId w:val="0"/>
              </w:numPr>
              <w:spacing w:line="240" w:lineRule="auto"/>
              <w:rPr>
                <w:rFonts w:ascii="Calibri" w:hAnsi="Calibri" w:cs="Calibri"/>
                <w:kern w:val="0"/>
                <w:sz w:val="24"/>
                <w:szCs w:val="24"/>
              </w:rPr>
            </w:pPr>
            <w:r w:rsidRPr="00C6089D">
              <w:rPr>
                <w:rFonts w:ascii="Calibri" w:hAnsi="Calibri" w:cs="Calibri"/>
                <w:kern w:val="0"/>
                <w:sz w:val="24"/>
                <w:szCs w:val="24"/>
              </w:rPr>
              <w:t>Caso o IPCA venha a ser divulgado antes da realização da Assembleia Geral de Debenturistas</w:t>
            </w:r>
            <w:r w:rsidRPr="00365D60">
              <w:rPr>
                <w:rFonts w:ascii="Calibri" w:hAnsi="Calibri" w:cs="Calibri"/>
                <w:kern w:val="0"/>
                <w:sz w:val="24"/>
                <w:szCs w:val="24"/>
              </w:rPr>
              <w:t>, a referida Assembleia Geral de Debenturistas</w:t>
            </w:r>
            <w:r w:rsidRPr="00C6089D">
              <w:rPr>
                <w:rFonts w:ascii="Calibri" w:hAnsi="Calibri" w:cs="Calibri"/>
                <w:kern w:val="0"/>
                <w:sz w:val="24"/>
                <w:szCs w:val="24"/>
              </w:rPr>
              <w:t xml:space="preserve"> não será mais realizada, e o IPCA </w:t>
            </w:r>
            <w:r w:rsidRPr="00365D60">
              <w:rPr>
                <w:rFonts w:ascii="Calibri" w:hAnsi="Calibri" w:cs="Calibri"/>
                <w:kern w:val="0"/>
                <w:sz w:val="24"/>
                <w:szCs w:val="24"/>
              </w:rPr>
              <w:t xml:space="preserve">a partir de sua </w:t>
            </w:r>
            <w:r w:rsidRPr="00C6089D">
              <w:rPr>
                <w:rFonts w:ascii="Calibri" w:hAnsi="Calibri" w:cs="Calibri"/>
                <w:kern w:val="0"/>
                <w:sz w:val="24"/>
                <w:szCs w:val="24"/>
              </w:rPr>
              <w:t>divulgação</w:t>
            </w:r>
            <w:r w:rsidRPr="00365D60">
              <w:rPr>
                <w:rFonts w:ascii="Calibri" w:hAnsi="Calibri" w:cs="Calibri"/>
                <w:kern w:val="0"/>
                <w:sz w:val="24"/>
                <w:szCs w:val="24"/>
              </w:rPr>
              <w:t>, voltará a ser utilizado para o cálculo do Valor Nominal Unitário Atualizado das Debêntures desde o dia de sua indisponibilidade</w:t>
            </w:r>
            <w:r w:rsidRPr="00C6089D">
              <w:rPr>
                <w:rFonts w:ascii="Calibri" w:hAnsi="Calibri" w:cs="Calibri"/>
                <w:kern w:val="0"/>
                <w:sz w:val="24"/>
                <w:szCs w:val="24"/>
              </w:rPr>
              <w:t>.</w:t>
            </w:r>
          </w:p>
          <w:p w14:paraId="0D489D9D" w14:textId="0BBF43B5" w:rsidR="00A76600" w:rsidRPr="00C6089D" w:rsidRDefault="00A76600" w:rsidP="00D1064E">
            <w:pPr>
              <w:pStyle w:val="Level3"/>
              <w:numPr>
                <w:ilvl w:val="0"/>
                <w:numId w:val="0"/>
              </w:numPr>
              <w:rPr>
                <w:rFonts w:ascii="Calibri" w:hAnsi="Calibri" w:cs="Calibri"/>
                <w:sz w:val="24"/>
                <w:szCs w:val="24"/>
              </w:rPr>
            </w:pPr>
            <w:r w:rsidRPr="00365D60">
              <w:rPr>
                <w:rFonts w:ascii="Calibri" w:hAnsi="Calibri" w:cs="Calibri"/>
                <w:kern w:val="0"/>
                <w:sz w:val="24"/>
                <w:szCs w:val="24"/>
              </w:rPr>
              <w:t>Caso não haja</w:t>
            </w:r>
            <w:r w:rsidRPr="00C6089D">
              <w:rPr>
                <w:rFonts w:ascii="Calibri" w:hAnsi="Calibri" w:cs="Calibri"/>
                <w:kern w:val="0"/>
                <w:sz w:val="24"/>
                <w:szCs w:val="24"/>
              </w:rPr>
              <w:t xml:space="preserve"> acordo sobre a Taxa Substitutiva entre a Emissora e os Debenturistas</w:t>
            </w:r>
            <w:r w:rsidRPr="00365D60">
              <w:rPr>
                <w:rFonts w:ascii="Calibri" w:hAnsi="Calibri" w:cs="Calibri"/>
                <w:kern w:val="0"/>
                <w:sz w:val="24"/>
                <w:szCs w:val="24"/>
              </w:rPr>
              <w:t xml:space="preserve"> representando, no mínimo, 50% (cinquenta</w:t>
            </w:r>
            <w:r w:rsidRPr="00C6089D">
              <w:rPr>
                <w:rFonts w:ascii="Calibri" w:hAnsi="Calibri" w:cs="Calibri"/>
                <w:kern w:val="0"/>
                <w:sz w:val="24"/>
                <w:szCs w:val="24"/>
              </w:rPr>
              <w:t xml:space="preserve"> por </w:t>
            </w:r>
            <w:r w:rsidRPr="00365D60">
              <w:rPr>
                <w:rFonts w:ascii="Calibri" w:hAnsi="Calibri" w:cs="Calibri"/>
                <w:kern w:val="0"/>
                <w:sz w:val="24"/>
                <w:szCs w:val="24"/>
              </w:rPr>
              <w:t>cento) mais</w:t>
            </w:r>
            <w:r w:rsidRPr="00C6089D">
              <w:rPr>
                <w:rFonts w:ascii="Calibri" w:hAnsi="Calibri" w:cs="Calibri"/>
                <w:kern w:val="0"/>
                <w:sz w:val="24"/>
                <w:szCs w:val="24"/>
              </w:rPr>
              <w:t xml:space="preserve"> uma das </w:t>
            </w:r>
            <w:r w:rsidRPr="00365D60">
              <w:rPr>
                <w:rFonts w:ascii="Calibri" w:hAnsi="Calibri" w:cs="Calibri"/>
                <w:kern w:val="0"/>
                <w:sz w:val="24"/>
                <w:szCs w:val="24"/>
              </w:rPr>
              <w:t>Debêntures em Circulação em primeira convocação e maioria simples dos presentes</w:t>
            </w:r>
            <w:r w:rsidRPr="00C6089D">
              <w:rPr>
                <w:rFonts w:ascii="Calibri" w:hAnsi="Calibri" w:cs="Calibri"/>
                <w:kern w:val="0"/>
                <w:sz w:val="24"/>
                <w:szCs w:val="24"/>
              </w:rPr>
              <w:t xml:space="preserve"> em segunda convocação</w:t>
            </w:r>
            <w:r w:rsidRPr="00365D60">
              <w:rPr>
                <w:rFonts w:ascii="Calibri" w:hAnsi="Calibri" w:cs="Calibri"/>
                <w:kern w:val="0"/>
                <w:sz w:val="24"/>
                <w:szCs w:val="24"/>
              </w:rPr>
              <w:t xml:space="preserve"> das Debêntures, ainda que por falta de </w:t>
            </w:r>
            <w:r w:rsidRPr="00C6089D">
              <w:rPr>
                <w:rFonts w:ascii="Calibri" w:hAnsi="Calibri" w:cs="Calibri"/>
                <w:kern w:val="0"/>
                <w:sz w:val="24"/>
                <w:szCs w:val="24"/>
              </w:rPr>
              <w:t>quórum de deliberação</w:t>
            </w:r>
            <w:r w:rsidRPr="00365D60">
              <w:rPr>
                <w:rFonts w:ascii="Calibri" w:hAnsi="Calibri" w:cs="Calibri"/>
                <w:kern w:val="0"/>
                <w:sz w:val="24"/>
                <w:szCs w:val="24"/>
              </w:rPr>
              <w:t xml:space="preserve"> ou de instalação,</w:t>
            </w:r>
            <w:r w:rsidRPr="00C6089D">
              <w:rPr>
                <w:rFonts w:ascii="Calibri" w:hAnsi="Calibri" w:cs="Calibri"/>
                <w:kern w:val="0"/>
                <w:sz w:val="24"/>
                <w:szCs w:val="24"/>
              </w:rPr>
              <w:t xml:space="preserve"> em </w:t>
            </w:r>
            <w:r w:rsidRPr="00365D60">
              <w:rPr>
                <w:rFonts w:ascii="Calibri" w:hAnsi="Calibri" w:cs="Calibri"/>
                <w:kern w:val="0"/>
                <w:sz w:val="24"/>
                <w:szCs w:val="24"/>
              </w:rPr>
              <w:t>segunda convocação, a Emissora deverá resgatar</w:t>
            </w:r>
            <w:r w:rsidRPr="00C6089D">
              <w:rPr>
                <w:rFonts w:ascii="Calibri" w:hAnsi="Calibri" w:cs="Calibri"/>
                <w:kern w:val="0"/>
                <w:sz w:val="24"/>
                <w:szCs w:val="24"/>
              </w:rPr>
              <w:t xml:space="preserve"> antecipadamente </w:t>
            </w:r>
            <w:r w:rsidRPr="00365D60">
              <w:rPr>
                <w:rFonts w:ascii="Calibri" w:hAnsi="Calibri" w:cs="Calibri"/>
                <w:kern w:val="0"/>
                <w:sz w:val="24"/>
                <w:szCs w:val="24"/>
              </w:rPr>
              <w:t xml:space="preserve">a totalidade das Debêntures, </w:t>
            </w:r>
            <w:r w:rsidRPr="00365D60">
              <w:rPr>
                <w:rFonts w:ascii="Calibri" w:hAnsi="Calibri" w:cs="Calibri"/>
                <w:sz w:val="24"/>
                <w:szCs w:val="24"/>
              </w:rPr>
              <w:t>caso seja legalmente permitido à</w:t>
            </w:r>
            <w:r w:rsidRPr="00C6089D">
              <w:rPr>
                <w:rFonts w:ascii="Calibri" w:hAnsi="Calibri" w:cs="Calibri"/>
                <w:sz w:val="24"/>
                <w:szCs w:val="24"/>
              </w:rPr>
              <w:t xml:space="preserve"> Emissora</w:t>
            </w:r>
            <w:r w:rsidRPr="00365D60">
              <w:rPr>
                <w:rFonts w:ascii="Calibri" w:hAnsi="Calibri" w:cs="Calibri"/>
                <w:sz w:val="24"/>
                <w:szCs w:val="24"/>
              </w:rPr>
              <w:t xml:space="preserve"> realizar o resgate antecipado das Debêntures, nos termos da Lei 12.431, da Resolução do </w:t>
            </w:r>
            <w:r w:rsidRPr="00365D60">
              <w:rPr>
                <w:rFonts w:ascii="Calibri" w:hAnsi="Calibri" w:cs="Calibri"/>
                <w:iCs/>
                <w:sz w:val="24"/>
                <w:szCs w:val="24"/>
              </w:rPr>
              <w:t>Conselho Monetário Nacional (“</w:t>
            </w:r>
            <w:r w:rsidRPr="00365D60">
              <w:rPr>
                <w:rFonts w:ascii="Calibri" w:hAnsi="Calibri" w:cs="Calibri"/>
                <w:iCs/>
                <w:sz w:val="24"/>
                <w:szCs w:val="24"/>
                <w:u w:val="single"/>
              </w:rPr>
              <w:t>CMN</w:t>
            </w:r>
            <w:r w:rsidRPr="00365D60">
              <w:rPr>
                <w:rFonts w:ascii="Calibri" w:hAnsi="Calibri" w:cs="Calibri"/>
                <w:iCs/>
                <w:sz w:val="24"/>
                <w:szCs w:val="24"/>
              </w:rPr>
              <w:t>”)</w:t>
            </w:r>
            <w:r w:rsidR="006D5F5D">
              <w:rPr>
                <w:rFonts w:ascii="Calibri" w:hAnsi="Calibri" w:cs="Calibri"/>
                <w:iCs/>
                <w:sz w:val="24"/>
                <w:szCs w:val="24"/>
              </w:rPr>
              <w:t xml:space="preserve"> </w:t>
            </w:r>
            <w:r w:rsidRPr="00365D60">
              <w:rPr>
                <w:rFonts w:ascii="Calibri" w:hAnsi="Calibri" w:cs="Calibri"/>
                <w:sz w:val="24"/>
                <w:szCs w:val="24"/>
              </w:rPr>
              <w:t>4.751 e das demais disposições legais e regulamentares aplicáveis</w:t>
            </w:r>
            <w:r w:rsidRPr="00365D60">
              <w:rPr>
                <w:rFonts w:ascii="Calibri" w:hAnsi="Calibri" w:cs="Calibri"/>
                <w:kern w:val="0"/>
                <w:sz w:val="24"/>
                <w:szCs w:val="24"/>
              </w:rPr>
              <w:t>, sem multa ou prêmio de qualquer natureza</w:t>
            </w:r>
            <w:r w:rsidRPr="00C6089D">
              <w:rPr>
                <w:rFonts w:ascii="Calibri" w:hAnsi="Calibri" w:cs="Calibri"/>
                <w:kern w:val="0"/>
                <w:sz w:val="24"/>
                <w:szCs w:val="24"/>
              </w:rPr>
              <w:t xml:space="preserve">, no prazo de </w:t>
            </w:r>
            <w:r w:rsidRPr="00365D60">
              <w:rPr>
                <w:rFonts w:ascii="Calibri" w:hAnsi="Calibri" w:cs="Calibri"/>
                <w:kern w:val="0"/>
                <w:sz w:val="24"/>
                <w:szCs w:val="24"/>
              </w:rPr>
              <w:t>30 (trinta) dias contados da data da realização da respectiva Assembleia Geral de Debenturistas ou</w:t>
            </w:r>
            <w:r w:rsidRPr="00C6089D">
              <w:rPr>
                <w:rFonts w:ascii="Calibri" w:hAnsi="Calibri" w:cs="Calibri"/>
                <w:kern w:val="0"/>
                <w:sz w:val="24"/>
                <w:szCs w:val="24"/>
              </w:rPr>
              <w:t xml:space="preserve"> da data em que deveria ter sido realizada a </w:t>
            </w:r>
            <w:r w:rsidRPr="00365D60">
              <w:rPr>
                <w:rFonts w:ascii="Calibri" w:hAnsi="Calibri" w:cs="Calibri"/>
                <w:kern w:val="0"/>
                <w:sz w:val="24"/>
                <w:szCs w:val="24"/>
              </w:rPr>
              <w:t xml:space="preserve">respectiva </w:t>
            </w:r>
            <w:r w:rsidRPr="00C6089D">
              <w:rPr>
                <w:rFonts w:ascii="Calibri" w:hAnsi="Calibri" w:cs="Calibri"/>
                <w:kern w:val="0"/>
                <w:sz w:val="24"/>
                <w:szCs w:val="24"/>
              </w:rPr>
              <w:t xml:space="preserve">Assembleia Geral de </w:t>
            </w:r>
            <w:r w:rsidRPr="00365D60">
              <w:rPr>
                <w:rFonts w:ascii="Calibri" w:hAnsi="Calibri" w:cs="Calibri"/>
                <w:kern w:val="0"/>
                <w:sz w:val="24"/>
                <w:szCs w:val="24"/>
              </w:rPr>
              <w:t>Debenturista, pelo seu</w:t>
            </w:r>
            <w:r w:rsidRPr="00C6089D">
              <w:rPr>
                <w:rFonts w:ascii="Calibri" w:hAnsi="Calibri" w:cs="Calibri"/>
                <w:kern w:val="0"/>
                <w:sz w:val="24"/>
                <w:szCs w:val="24"/>
              </w:rPr>
              <w:t xml:space="preserve"> Valor Nominal Unitário Atualizado</w:t>
            </w:r>
            <w:r w:rsidRPr="00365D60">
              <w:rPr>
                <w:rFonts w:ascii="Calibri" w:hAnsi="Calibri" w:cs="Calibri"/>
                <w:kern w:val="0"/>
                <w:sz w:val="24"/>
                <w:szCs w:val="24"/>
              </w:rPr>
              <w:t xml:space="preserve">, acrescido da Remuneração das Debêntures devida calculada </w:t>
            </w:r>
            <w:r w:rsidRPr="00365D60">
              <w:rPr>
                <w:rFonts w:ascii="Calibri" w:hAnsi="Calibri" w:cs="Calibri"/>
                <w:i/>
                <w:kern w:val="0"/>
                <w:sz w:val="24"/>
                <w:szCs w:val="24"/>
              </w:rPr>
              <w:t>pro rata temporis</w:t>
            </w:r>
            <w:r w:rsidRPr="00365D60">
              <w:rPr>
                <w:rFonts w:ascii="Calibri" w:hAnsi="Calibri" w:cs="Calibri"/>
                <w:kern w:val="0"/>
                <w:sz w:val="24"/>
                <w:szCs w:val="24"/>
              </w:rPr>
              <w:t xml:space="preserve"> desde a primeira Data de Integralização ou data de </w:t>
            </w:r>
            <w:r w:rsidRPr="00C6089D">
              <w:rPr>
                <w:rFonts w:ascii="Calibri" w:hAnsi="Calibri" w:cs="Calibri"/>
                <w:kern w:val="0"/>
                <w:sz w:val="24"/>
                <w:szCs w:val="24"/>
              </w:rPr>
              <w:t>pagamento da Remuneração</w:t>
            </w:r>
            <w:r w:rsidRPr="00365D60">
              <w:rPr>
                <w:rFonts w:ascii="Calibri" w:hAnsi="Calibri" w:cs="Calibri"/>
                <w:kern w:val="0"/>
                <w:sz w:val="24"/>
                <w:szCs w:val="24"/>
              </w:rPr>
              <w:t xml:space="preserve"> das Debêntures imediatamente anterior, conforme o caso, até a data do efetivo pagamento. Para cálculo da Remuneração das Debêntures aplicável às Debêntures a serem resgatadas e, consequentemente, canceladas, para cada dia do Período de Ausência do IPCA será utilizada a mesma </w:t>
            </w:r>
            <w:r w:rsidRPr="00365D60">
              <w:rPr>
                <w:rFonts w:ascii="Calibri" w:hAnsi="Calibri" w:cs="Calibri"/>
                <w:kern w:val="0"/>
                <w:sz w:val="24"/>
                <w:szCs w:val="24"/>
              </w:rPr>
              <w:lastRenderedPageBreak/>
              <w:t>variação produzida pelo</w:t>
            </w:r>
            <w:r w:rsidRPr="00C6089D">
              <w:rPr>
                <w:rFonts w:ascii="Calibri" w:hAnsi="Calibri" w:cs="Calibri"/>
                <w:kern w:val="0"/>
                <w:sz w:val="24"/>
                <w:szCs w:val="24"/>
              </w:rPr>
              <w:t xml:space="preserve"> último IPCA divulgado </w:t>
            </w:r>
            <w:r w:rsidRPr="00365D60">
              <w:rPr>
                <w:rFonts w:ascii="Calibri" w:hAnsi="Calibri" w:cs="Calibri"/>
                <w:kern w:val="0"/>
                <w:sz w:val="24"/>
                <w:szCs w:val="24"/>
              </w:rPr>
              <w:t>até a data do cálculo</w:t>
            </w:r>
            <w:r w:rsidRPr="00C6089D">
              <w:rPr>
                <w:rFonts w:ascii="Calibri" w:hAnsi="Calibri" w:cs="Calibri"/>
                <w:kern w:val="0"/>
                <w:sz w:val="24"/>
                <w:szCs w:val="24"/>
              </w:rPr>
              <w:t>.</w:t>
            </w:r>
          </w:p>
          <w:p w14:paraId="4B8390C0" w14:textId="2292A62E" w:rsidR="00246319" w:rsidRPr="00C6089D" w:rsidRDefault="00D1064E" w:rsidP="00C5038C">
            <w:pPr>
              <w:pStyle w:val="Body"/>
              <w:rPr>
                <w:rFonts w:ascii="Calibri" w:hAnsi="Calibri" w:cs="Calibri"/>
                <w:sz w:val="24"/>
              </w:rPr>
            </w:pPr>
            <w:r w:rsidRPr="00C6089D">
              <w:rPr>
                <w:rFonts w:ascii="Calibri" w:hAnsi="Calibri" w:cs="Calibri"/>
                <w:b/>
                <w:sz w:val="24"/>
              </w:rPr>
              <w:t>Para mais informações sobre a Atualização Monetária, veja seção “Informações Relativas à Emissão, à Oferta e às Debêntures – Características da Emissão e das Debêntures – Atualização Monetária das Debêntures” no Prospecto Definitivo.</w:t>
            </w:r>
          </w:p>
        </w:tc>
      </w:tr>
      <w:tr w:rsidR="00720C65" w:rsidRPr="00365D60" w14:paraId="4A3DE4CC" w14:textId="77777777" w:rsidTr="009955CC">
        <w:trPr>
          <w:jc w:val="center"/>
        </w:trPr>
        <w:tc>
          <w:tcPr>
            <w:tcW w:w="3119" w:type="dxa"/>
          </w:tcPr>
          <w:p w14:paraId="02A64376" w14:textId="21BB364D" w:rsidR="00246319" w:rsidRPr="00C6089D" w:rsidRDefault="00246319" w:rsidP="00FA4718">
            <w:pPr>
              <w:pStyle w:val="Body"/>
              <w:jc w:val="left"/>
              <w:rPr>
                <w:rFonts w:ascii="Calibri" w:hAnsi="Calibri" w:cs="Calibri"/>
                <w:b/>
                <w:sz w:val="24"/>
              </w:rPr>
            </w:pPr>
            <w:r w:rsidRPr="00C6089D">
              <w:rPr>
                <w:rFonts w:ascii="Calibri" w:hAnsi="Calibri" w:cs="Calibri"/>
                <w:b/>
                <w:sz w:val="24"/>
              </w:rPr>
              <w:lastRenderedPageBreak/>
              <w:t xml:space="preserve">Remuneração das Debêntures </w:t>
            </w:r>
            <w:r w:rsidR="00A76600" w:rsidRPr="00365D60">
              <w:rPr>
                <w:rFonts w:ascii="Calibri" w:hAnsi="Calibri" w:cs="Calibri"/>
                <w:b/>
                <w:sz w:val="24"/>
              </w:rPr>
              <w:t>da Primeira Série</w:t>
            </w:r>
          </w:p>
        </w:tc>
        <w:tc>
          <w:tcPr>
            <w:tcW w:w="5611" w:type="dxa"/>
          </w:tcPr>
          <w:p w14:paraId="3461BFC3" w14:textId="66A0C3CD" w:rsidR="00A76600" w:rsidRPr="00C6089D" w:rsidRDefault="00A76600" w:rsidP="008567AC">
            <w:pPr>
              <w:pStyle w:val="Body"/>
              <w:rPr>
                <w:rFonts w:ascii="Calibri" w:hAnsi="Calibri" w:cs="Calibri"/>
                <w:sz w:val="24"/>
              </w:rPr>
            </w:pPr>
            <w:bookmarkStart w:id="24" w:name="_Ref420335686"/>
            <w:r w:rsidRPr="00365D60">
              <w:rPr>
                <w:rFonts w:ascii="Calibri" w:hAnsi="Calibri" w:cs="Calibri"/>
                <w:sz w:val="24"/>
              </w:rPr>
              <w:t>S</w:t>
            </w:r>
            <w:r w:rsidRPr="00365D60">
              <w:rPr>
                <w:rFonts w:ascii="Calibri" w:hAnsi="Calibri" w:cs="Calibri"/>
                <w:kern w:val="0"/>
                <w:sz w:val="24"/>
              </w:rPr>
              <w:t xml:space="preserve">obre o </w:t>
            </w:r>
            <w:bookmarkStart w:id="25" w:name="_Hlk88490504"/>
            <w:r w:rsidRPr="00365D60">
              <w:rPr>
                <w:rFonts w:ascii="Calibri" w:hAnsi="Calibri" w:cs="Calibri"/>
                <w:kern w:val="0"/>
                <w:sz w:val="24"/>
              </w:rPr>
              <w:t>Valor Nominal</w:t>
            </w:r>
            <w:r w:rsidR="0088039A">
              <w:rPr>
                <w:rFonts w:ascii="Calibri" w:hAnsi="Calibri" w:cs="Calibri"/>
                <w:sz w:val="24"/>
              </w:rPr>
              <w:t xml:space="preserve"> Unitário</w:t>
            </w:r>
            <w:r w:rsidRPr="00365D60">
              <w:rPr>
                <w:rFonts w:ascii="Calibri" w:hAnsi="Calibri" w:cs="Calibri"/>
                <w:kern w:val="0"/>
                <w:sz w:val="24"/>
              </w:rPr>
              <w:t xml:space="preserve"> Atualizado das Debêntures</w:t>
            </w:r>
            <w:r w:rsidRPr="00365D60">
              <w:rPr>
                <w:rFonts w:ascii="Calibri" w:hAnsi="Calibri" w:cs="Calibri"/>
                <w:bCs/>
                <w:iCs/>
                <w:kern w:val="0"/>
                <w:sz w:val="24"/>
              </w:rPr>
              <w:t xml:space="preserve"> da Primeira Série</w:t>
            </w:r>
            <w:bookmarkEnd w:id="25"/>
            <w:r w:rsidRPr="00365D60">
              <w:rPr>
                <w:rFonts w:ascii="Calibri" w:hAnsi="Calibri" w:cs="Calibri"/>
                <w:kern w:val="0"/>
                <w:sz w:val="24"/>
              </w:rPr>
              <w:t xml:space="preserve">, incidirão juros remuneratórios correspondentes </w:t>
            </w:r>
            <w:r w:rsidR="00113E52">
              <w:rPr>
                <w:rFonts w:ascii="Calibri" w:hAnsi="Calibri" w:cs="Calibri"/>
                <w:kern w:val="0"/>
                <w:sz w:val="24"/>
              </w:rPr>
              <w:t xml:space="preserve">a </w:t>
            </w:r>
            <w:r w:rsidR="00912BEB">
              <w:rPr>
                <w:rFonts w:ascii="Calibri" w:hAnsi="Calibri" w:cs="Calibri"/>
                <w:kern w:val="0"/>
                <w:sz w:val="24"/>
              </w:rPr>
              <w:t>5,9741</w:t>
            </w:r>
            <w:r w:rsidR="00A03A99">
              <w:rPr>
                <w:rFonts w:ascii="Calibri" w:hAnsi="Calibri" w:cs="Calibri"/>
                <w:kern w:val="0"/>
                <w:sz w:val="24"/>
              </w:rPr>
              <w:t xml:space="preserve">% </w:t>
            </w:r>
            <w:r w:rsidR="00912BEB">
              <w:rPr>
                <w:rFonts w:ascii="Calibri" w:hAnsi="Calibri" w:cs="Calibri"/>
                <w:kern w:val="0"/>
                <w:sz w:val="24"/>
              </w:rPr>
              <w:t xml:space="preserve">(cinco inteiros </w:t>
            </w:r>
            <w:r w:rsidR="00C146AA">
              <w:rPr>
                <w:rFonts w:ascii="Calibri" w:hAnsi="Calibri" w:cs="Calibri"/>
                <w:kern w:val="0"/>
                <w:sz w:val="24"/>
              </w:rPr>
              <w:t xml:space="preserve">e </w:t>
            </w:r>
            <w:r w:rsidR="00912BEB">
              <w:rPr>
                <w:rFonts w:ascii="Calibri" w:hAnsi="Calibri" w:cs="Calibri"/>
                <w:kern w:val="0"/>
                <w:sz w:val="24"/>
              </w:rPr>
              <w:t>nove</w:t>
            </w:r>
            <w:r w:rsidR="00E00493">
              <w:rPr>
                <w:rFonts w:ascii="Calibri" w:hAnsi="Calibri" w:cs="Calibri"/>
                <w:kern w:val="0"/>
                <w:sz w:val="24"/>
              </w:rPr>
              <w:t xml:space="preserve"> </w:t>
            </w:r>
            <w:r w:rsidR="00912BEB">
              <w:rPr>
                <w:rFonts w:ascii="Calibri" w:hAnsi="Calibri" w:cs="Calibri"/>
                <w:kern w:val="0"/>
                <w:sz w:val="24"/>
              </w:rPr>
              <w:t>mil</w:t>
            </w:r>
            <w:r w:rsidR="00C146AA">
              <w:rPr>
                <w:rFonts w:ascii="Calibri" w:hAnsi="Calibri" w:cs="Calibri"/>
                <w:kern w:val="0"/>
                <w:sz w:val="24"/>
              </w:rPr>
              <w:t>,</w:t>
            </w:r>
            <w:r w:rsidR="00912BEB">
              <w:rPr>
                <w:rFonts w:ascii="Calibri" w:hAnsi="Calibri" w:cs="Calibri"/>
                <w:kern w:val="0"/>
                <w:sz w:val="24"/>
              </w:rPr>
              <w:t xml:space="preserve"> setecentos e quarenta e um décimos de milésimos </w:t>
            </w:r>
            <w:r w:rsidR="00A03A99">
              <w:rPr>
                <w:rFonts w:ascii="Calibri" w:hAnsi="Calibri" w:cs="Calibri"/>
                <w:kern w:val="0"/>
                <w:sz w:val="24"/>
              </w:rPr>
              <w:t xml:space="preserve">por cento) </w:t>
            </w:r>
            <w:r w:rsidRPr="00365D60">
              <w:rPr>
                <w:rFonts w:ascii="Calibri" w:hAnsi="Calibri" w:cs="Calibri"/>
                <w:bCs/>
                <w:iCs/>
                <w:kern w:val="0"/>
                <w:sz w:val="24"/>
              </w:rPr>
              <w:t>ao ano, base 252 Dias Úteis</w:t>
            </w:r>
            <w:r w:rsidRPr="00365D60">
              <w:rPr>
                <w:rFonts w:ascii="Calibri" w:hAnsi="Calibri" w:cs="Calibri"/>
                <w:i/>
                <w:kern w:val="0"/>
                <w:sz w:val="24"/>
              </w:rPr>
              <w:t xml:space="preserve"> </w:t>
            </w:r>
            <w:r w:rsidRPr="00365D60">
              <w:rPr>
                <w:rFonts w:ascii="Calibri" w:hAnsi="Calibri" w:cs="Calibri"/>
                <w:kern w:val="0"/>
                <w:sz w:val="24"/>
              </w:rPr>
              <w:t>(“</w:t>
            </w:r>
            <w:r w:rsidRPr="00365D60">
              <w:rPr>
                <w:rFonts w:ascii="Calibri" w:hAnsi="Calibri" w:cs="Calibri"/>
                <w:kern w:val="0"/>
                <w:sz w:val="24"/>
                <w:u w:val="single"/>
              </w:rPr>
              <w:t>Juros Remuneratórios</w:t>
            </w:r>
            <w:r w:rsidRPr="00365D60">
              <w:rPr>
                <w:rFonts w:ascii="Calibri" w:hAnsi="Calibri" w:cs="Calibri"/>
                <w:bCs/>
                <w:iCs/>
                <w:kern w:val="0"/>
                <w:sz w:val="24"/>
                <w:u w:val="single"/>
              </w:rPr>
              <w:t xml:space="preserve"> da Primeira Série</w:t>
            </w:r>
            <w:r w:rsidRPr="00365D60">
              <w:rPr>
                <w:rFonts w:ascii="Calibri" w:hAnsi="Calibri" w:cs="Calibri"/>
                <w:kern w:val="0"/>
                <w:sz w:val="24"/>
              </w:rPr>
              <w:t>” e, em conjunto com a Atualização Monetária, a “</w:t>
            </w:r>
            <w:r w:rsidRPr="00365D60">
              <w:rPr>
                <w:rFonts w:ascii="Calibri" w:hAnsi="Calibri" w:cs="Calibri"/>
                <w:kern w:val="0"/>
                <w:sz w:val="24"/>
                <w:u w:val="single"/>
              </w:rPr>
              <w:t>Remuneração</w:t>
            </w:r>
            <w:r w:rsidRPr="00365D60">
              <w:rPr>
                <w:rFonts w:ascii="Calibri" w:hAnsi="Calibri" w:cs="Calibri"/>
                <w:bCs/>
                <w:iCs/>
                <w:kern w:val="0"/>
                <w:sz w:val="24"/>
                <w:u w:val="single"/>
              </w:rPr>
              <w:t xml:space="preserve"> da Primeira Série</w:t>
            </w:r>
            <w:r w:rsidRPr="00365D60">
              <w:rPr>
                <w:rFonts w:ascii="Calibri" w:hAnsi="Calibri" w:cs="Calibri"/>
                <w:bCs/>
                <w:iCs/>
                <w:kern w:val="0"/>
                <w:sz w:val="24"/>
              </w:rPr>
              <w:t>”).</w:t>
            </w:r>
          </w:p>
          <w:p w14:paraId="3F76C3AF" w14:textId="2FEE47C6" w:rsidR="00246319" w:rsidRPr="00C6089D" w:rsidRDefault="008567AC" w:rsidP="008567AC">
            <w:pPr>
              <w:pStyle w:val="Body"/>
              <w:rPr>
                <w:rFonts w:ascii="Calibri" w:hAnsi="Calibri" w:cs="Calibri"/>
                <w:sz w:val="24"/>
              </w:rPr>
            </w:pPr>
            <w:r w:rsidRPr="00C6089D">
              <w:rPr>
                <w:rFonts w:ascii="Calibri" w:eastAsia="Calibri" w:hAnsi="Calibri" w:cs="Calibri"/>
                <w:b/>
                <w:sz w:val="24"/>
              </w:rPr>
              <w:t>Para mais informações sobre a Remuneração</w:t>
            </w:r>
            <w:r w:rsidR="00A76600" w:rsidRPr="00FA2612">
              <w:rPr>
                <w:rFonts w:ascii="Calibri" w:eastAsia="Calibri" w:hAnsi="Calibri" w:cs="Calibri"/>
                <w:b/>
                <w:sz w:val="24"/>
              </w:rPr>
              <w:t xml:space="preserve"> da Primeira Série</w:t>
            </w:r>
            <w:r w:rsidRPr="00C6089D">
              <w:rPr>
                <w:rFonts w:ascii="Calibri" w:eastAsia="Calibri" w:hAnsi="Calibri" w:cs="Calibri"/>
                <w:b/>
                <w:sz w:val="24"/>
              </w:rPr>
              <w:t>, veja seção “Informações Relativas à Emissão, à Oferta e às Debêntures – Características</w:t>
            </w:r>
            <w:r w:rsidR="00FA2612" w:rsidRPr="00FA2612">
              <w:rPr>
                <w:rFonts w:ascii="Calibri" w:eastAsia="Calibri" w:hAnsi="Calibri" w:cs="Calibri"/>
                <w:b/>
                <w:sz w:val="24"/>
              </w:rPr>
              <w:t xml:space="preserve"> Gerais</w:t>
            </w:r>
            <w:r w:rsidRPr="00C6089D">
              <w:rPr>
                <w:rFonts w:ascii="Calibri" w:eastAsia="Calibri" w:hAnsi="Calibri" w:cs="Calibri"/>
                <w:b/>
                <w:sz w:val="24"/>
              </w:rPr>
              <w:t xml:space="preserve"> das Debêntures - Remuneração das Debêntures </w:t>
            </w:r>
            <w:r w:rsidR="00FA2612" w:rsidRPr="00FA2612">
              <w:rPr>
                <w:rFonts w:ascii="Calibri" w:eastAsia="Calibri" w:hAnsi="Calibri" w:cs="Calibri"/>
                <w:b/>
                <w:sz w:val="24"/>
              </w:rPr>
              <w:t>da Primeira Série</w:t>
            </w:r>
            <w:r w:rsidRPr="00C6089D">
              <w:rPr>
                <w:rFonts w:ascii="Calibri" w:eastAsia="Calibri" w:hAnsi="Calibri" w:cs="Calibri"/>
                <w:b/>
                <w:sz w:val="24"/>
              </w:rPr>
              <w:t xml:space="preserve">” </w:t>
            </w:r>
            <w:r w:rsidR="00812192" w:rsidRPr="00C6089D">
              <w:rPr>
                <w:rFonts w:ascii="Calibri" w:eastAsia="Calibri" w:hAnsi="Calibri" w:cs="Calibri"/>
                <w:b/>
                <w:sz w:val="24"/>
              </w:rPr>
              <w:t xml:space="preserve">no Prospecto </w:t>
            </w:r>
            <w:r w:rsidR="004058A3" w:rsidRPr="00C6089D">
              <w:rPr>
                <w:rFonts w:ascii="Calibri" w:eastAsia="Calibri" w:hAnsi="Calibri" w:cs="Calibri"/>
                <w:b/>
                <w:sz w:val="24"/>
              </w:rPr>
              <w:t>Definitivo</w:t>
            </w:r>
            <w:r w:rsidR="00812192" w:rsidRPr="00C6089D">
              <w:rPr>
                <w:rFonts w:ascii="Calibri" w:eastAsia="Calibri" w:hAnsi="Calibri" w:cs="Calibri"/>
                <w:b/>
                <w:sz w:val="24"/>
              </w:rPr>
              <w:t>.</w:t>
            </w:r>
            <w:r w:rsidR="004058A3" w:rsidRPr="00C6089D" w:rsidDel="00812192">
              <w:rPr>
                <w:rFonts w:ascii="Calibri" w:hAnsi="Calibri" w:cs="Calibri"/>
                <w:sz w:val="24"/>
              </w:rPr>
              <w:t xml:space="preserve"> </w:t>
            </w:r>
            <w:bookmarkEnd w:id="24"/>
          </w:p>
        </w:tc>
      </w:tr>
      <w:tr w:rsidR="00A76600" w:rsidRPr="00365D60" w14:paraId="6520AA70" w14:textId="77777777" w:rsidTr="009955CC">
        <w:trPr>
          <w:jc w:val="center"/>
        </w:trPr>
        <w:tc>
          <w:tcPr>
            <w:tcW w:w="3119" w:type="dxa"/>
          </w:tcPr>
          <w:p w14:paraId="79F7EF6B" w14:textId="32BCFAA2" w:rsidR="00A76600" w:rsidRPr="00C6089D" w:rsidRDefault="00A76600" w:rsidP="00FA4718">
            <w:pPr>
              <w:pStyle w:val="Body"/>
              <w:jc w:val="left"/>
              <w:rPr>
                <w:rFonts w:ascii="Calibri" w:hAnsi="Calibri" w:cs="Calibri"/>
                <w:b/>
                <w:sz w:val="24"/>
              </w:rPr>
            </w:pPr>
            <w:r w:rsidRPr="00C6089D">
              <w:rPr>
                <w:rFonts w:ascii="Calibri" w:hAnsi="Calibri" w:cs="Calibri"/>
                <w:b/>
                <w:sz w:val="24"/>
              </w:rPr>
              <w:t>Remuneração</w:t>
            </w:r>
            <w:r w:rsidRPr="00365D60">
              <w:rPr>
                <w:rFonts w:ascii="Calibri" w:hAnsi="Calibri" w:cs="Calibri"/>
                <w:b/>
                <w:sz w:val="24"/>
              </w:rPr>
              <w:t xml:space="preserve"> das Debêntures da Segunda Série</w:t>
            </w:r>
          </w:p>
        </w:tc>
        <w:tc>
          <w:tcPr>
            <w:tcW w:w="5611" w:type="dxa"/>
          </w:tcPr>
          <w:p w14:paraId="64FC1565" w14:textId="408476A6" w:rsidR="00A76600" w:rsidRPr="00365D60" w:rsidRDefault="00A76600" w:rsidP="0015359C">
            <w:pPr>
              <w:pStyle w:val="Body"/>
              <w:spacing w:line="300" w:lineRule="auto"/>
              <w:rPr>
                <w:rFonts w:ascii="Calibri" w:hAnsi="Calibri" w:cs="Calibri"/>
                <w:bCs/>
                <w:iCs/>
                <w:kern w:val="0"/>
                <w:sz w:val="24"/>
              </w:rPr>
            </w:pPr>
            <w:r w:rsidRPr="00365D60">
              <w:rPr>
                <w:rFonts w:ascii="Calibri" w:hAnsi="Calibri" w:cs="Calibri"/>
                <w:sz w:val="24"/>
              </w:rPr>
              <w:t>S</w:t>
            </w:r>
            <w:r w:rsidRPr="00365D60">
              <w:rPr>
                <w:rFonts w:ascii="Calibri" w:hAnsi="Calibri" w:cs="Calibri"/>
                <w:bCs/>
                <w:iCs/>
                <w:kern w:val="0"/>
                <w:sz w:val="24"/>
              </w:rPr>
              <w:t>obre o Valor Nominal</w:t>
            </w:r>
            <w:r w:rsidR="0088039A">
              <w:rPr>
                <w:rFonts w:ascii="Calibri" w:hAnsi="Calibri" w:cs="Calibri"/>
                <w:sz w:val="24"/>
              </w:rPr>
              <w:t xml:space="preserve"> Unitário</w:t>
            </w:r>
            <w:r w:rsidRPr="00365D60">
              <w:rPr>
                <w:rFonts w:ascii="Calibri" w:hAnsi="Calibri" w:cs="Calibri"/>
                <w:bCs/>
                <w:iCs/>
                <w:kern w:val="0"/>
                <w:sz w:val="24"/>
              </w:rPr>
              <w:t xml:space="preserve"> Atualizado das Debêntures da Segunda Série, incidirão juros remuneratórios correspondentes a </w:t>
            </w:r>
            <w:r w:rsidR="00E00493">
              <w:rPr>
                <w:rFonts w:ascii="Calibri" w:hAnsi="Calibri" w:cs="Calibri"/>
                <w:kern w:val="0"/>
                <w:sz w:val="24"/>
              </w:rPr>
              <w:t>6,1076</w:t>
            </w:r>
            <w:r w:rsidR="00A03A99">
              <w:rPr>
                <w:rFonts w:ascii="Calibri" w:hAnsi="Calibri" w:cs="Calibri"/>
                <w:kern w:val="0"/>
                <w:sz w:val="24"/>
              </w:rPr>
              <w:t xml:space="preserve">% </w:t>
            </w:r>
            <w:r w:rsidR="00E00493">
              <w:rPr>
                <w:rFonts w:ascii="Calibri" w:hAnsi="Calibri" w:cs="Calibri"/>
                <w:kern w:val="0"/>
                <w:sz w:val="24"/>
              </w:rPr>
              <w:t xml:space="preserve">(seis inteiros </w:t>
            </w:r>
            <w:r w:rsidR="00C146AA">
              <w:rPr>
                <w:rFonts w:ascii="Calibri" w:hAnsi="Calibri" w:cs="Calibri"/>
                <w:kern w:val="0"/>
                <w:sz w:val="24"/>
              </w:rPr>
              <w:t xml:space="preserve">e </w:t>
            </w:r>
            <w:r w:rsidR="00E00493">
              <w:rPr>
                <w:rFonts w:ascii="Calibri" w:hAnsi="Calibri" w:cs="Calibri"/>
                <w:kern w:val="0"/>
                <w:sz w:val="24"/>
              </w:rPr>
              <w:t xml:space="preserve">mil e setenta e seis décimos de milésimos </w:t>
            </w:r>
            <w:r w:rsidR="00A03A99">
              <w:rPr>
                <w:rFonts w:ascii="Calibri" w:hAnsi="Calibri" w:cs="Calibri"/>
                <w:kern w:val="0"/>
                <w:sz w:val="24"/>
              </w:rPr>
              <w:t>por cento)</w:t>
            </w:r>
            <w:r w:rsidRPr="00365D60">
              <w:rPr>
                <w:rFonts w:ascii="Calibri" w:hAnsi="Calibri" w:cs="Calibri"/>
                <w:bCs/>
                <w:iCs/>
                <w:kern w:val="0"/>
                <w:sz w:val="24"/>
              </w:rPr>
              <w:t xml:space="preserve"> ao ano, base 252 Dias Úteis(“</w:t>
            </w:r>
            <w:r w:rsidRPr="00365D60">
              <w:rPr>
                <w:rFonts w:ascii="Calibri" w:hAnsi="Calibri" w:cs="Calibri"/>
                <w:bCs/>
                <w:iCs/>
                <w:kern w:val="0"/>
                <w:sz w:val="24"/>
                <w:u w:val="single"/>
              </w:rPr>
              <w:t>Juros Remuneratórios da Segunda Série</w:t>
            </w:r>
            <w:r w:rsidRPr="00365D60">
              <w:rPr>
                <w:rFonts w:ascii="Calibri" w:hAnsi="Calibri" w:cs="Calibri"/>
                <w:bCs/>
                <w:iCs/>
                <w:kern w:val="0"/>
                <w:sz w:val="24"/>
              </w:rPr>
              <w:t>” e, em conjunto com a Atualização Monetária, a “</w:t>
            </w:r>
            <w:r w:rsidRPr="00365D60">
              <w:rPr>
                <w:rFonts w:ascii="Calibri" w:hAnsi="Calibri" w:cs="Calibri"/>
                <w:bCs/>
                <w:iCs/>
                <w:kern w:val="0"/>
                <w:sz w:val="24"/>
                <w:u w:val="single"/>
              </w:rPr>
              <w:t>Remuneração da Segunda Série</w:t>
            </w:r>
            <w:r w:rsidRPr="00365D60">
              <w:rPr>
                <w:rFonts w:ascii="Calibri" w:hAnsi="Calibri" w:cs="Calibri"/>
                <w:bCs/>
                <w:iCs/>
                <w:kern w:val="0"/>
                <w:sz w:val="24"/>
              </w:rPr>
              <w:t>”). Para fins da presente Escritura de Emissão, a Remuneração da Primeira Série e a Remuneração da Segunda Série, quando consideradas em conjunto, serão referidas apenas como “</w:t>
            </w:r>
            <w:r w:rsidRPr="00365D60">
              <w:rPr>
                <w:rFonts w:ascii="Calibri" w:hAnsi="Calibri" w:cs="Calibri"/>
                <w:bCs/>
                <w:iCs/>
                <w:kern w:val="0"/>
                <w:sz w:val="24"/>
                <w:u w:val="single"/>
              </w:rPr>
              <w:t>Remuneração</w:t>
            </w:r>
            <w:r w:rsidRPr="00365D60">
              <w:rPr>
                <w:rFonts w:ascii="Calibri" w:hAnsi="Calibri" w:cs="Calibri"/>
                <w:bCs/>
                <w:iCs/>
                <w:kern w:val="0"/>
                <w:sz w:val="24"/>
              </w:rPr>
              <w:t>” ou “</w:t>
            </w:r>
            <w:r w:rsidRPr="00365D60">
              <w:rPr>
                <w:rFonts w:ascii="Calibri" w:hAnsi="Calibri" w:cs="Calibri"/>
                <w:bCs/>
                <w:iCs/>
                <w:kern w:val="0"/>
                <w:sz w:val="24"/>
                <w:u w:val="single"/>
              </w:rPr>
              <w:t>Remunerações</w:t>
            </w:r>
            <w:r w:rsidRPr="00365D60">
              <w:rPr>
                <w:rFonts w:ascii="Calibri" w:hAnsi="Calibri" w:cs="Calibri"/>
                <w:bCs/>
                <w:iCs/>
                <w:kern w:val="0"/>
                <w:sz w:val="24"/>
              </w:rPr>
              <w:t>”.</w:t>
            </w:r>
          </w:p>
          <w:p w14:paraId="37A8E331" w14:textId="28AE956A" w:rsidR="00A76600" w:rsidRPr="00C6089D" w:rsidRDefault="00FA2612" w:rsidP="008567AC">
            <w:pPr>
              <w:pStyle w:val="Body"/>
              <w:rPr>
                <w:rFonts w:ascii="Calibri" w:hAnsi="Calibri" w:cs="Calibri"/>
                <w:sz w:val="24"/>
              </w:rPr>
            </w:pPr>
            <w:r w:rsidRPr="00C6089D">
              <w:rPr>
                <w:rFonts w:ascii="Calibri" w:eastAsia="Calibri" w:hAnsi="Calibri" w:cs="Calibri"/>
                <w:b/>
                <w:sz w:val="24"/>
              </w:rPr>
              <w:lastRenderedPageBreak/>
              <w:t>Para mais informações sobre a Remuneração</w:t>
            </w:r>
            <w:r w:rsidRPr="00FA2612">
              <w:rPr>
                <w:rFonts w:ascii="Calibri" w:eastAsia="Calibri" w:hAnsi="Calibri" w:cs="Calibri"/>
                <w:b/>
                <w:sz w:val="24"/>
              </w:rPr>
              <w:t xml:space="preserve"> da Primeira Série</w:t>
            </w:r>
            <w:r w:rsidRPr="00C6089D">
              <w:rPr>
                <w:rFonts w:ascii="Calibri" w:eastAsia="Calibri" w:hAnsi="Calibri" w:cs="Calibri"/>
                <w:b/>
                <w:sz w:val="24"/>
              </w:rPr>
              <w:t>, veja seção “Informações Relativas à Emissão, à Oferta e às Debêntures – Características</w:t>
            </w:r>
            <w:r w:rsidRPr="00FA2612">
              <w:rPr>
                <w:rFonts w:ascii="Calibri" w:eastAsia="Calibri" w:hAnsi="Calibri" w:cs="Calibri"/>
                <w:b/>
                <w:sz w:val="24"/>
              </w:rPr>
              <w:t xml:space="preserve"> Gerais</w:t>
            </w:r>
            <w:r w:rsidRPr="00C6089D">
              <w:rPr>
                <w:rFonts w:ascii="Calibri" w:eastAsia="Calibri" w:hAnsi="Calibri" w:cs="Calibri"/>
                <w:b/>
                <w:sz w:val="24"/>
              </w:rPr>
              <w:t xml:space="preserve"> das Debêntures - Remuneração das Debêntures </w:t>
            </w:r>
            <w:r w:rsidRPr="00FA2612">
              <w:rPr>
                <w:rFonts w:ascii="Calibri" w:eastAsia="Calibri" w:hAnsi="Calibri" w:cs="Calibri"/>
                <w:b/>
                <w:sz w:val="24"/>
              </w:rPr>
              <w:t xml:space="preserve">da </w:t>
            </w:r>
            <w:r>
              <w:rPr>
                <w:rFonts w:ascii="Calibri" w:eastAsia="Calibri" w:hAnsi="Calibri" w:cs="Calibri"/>
                <w:b/>
                <w:sz w:val="24"/>
              </w:rPr>
              <w:t>Segunda</w:t>
            </w:r>
            <w:r w:rsidRPr="00FA2612">
              <w:rPr>
                <w:rFonts w:ascii="Calibri" w:eastAsia="Calibri" w:hAnsi="Calibri" w:cs="Calibri"/>
                <w:b/>
                <w:sz w:val="24"/>
              </w:rPr>
              <w:t xml:space="preserve"> Série</w:t>
            </w:r>
            <w:r w:rsidRPr="00C6089D">
              <w:rPr>
                <w:rFonts w:ascii="Calibri" w:eastAsia="Calibri" w:hAnsi="Calibri" w:cs="Calibri"/>
                <w:b/>
                <w:sz w:val="24"/>
              </w:rPr>
              <w:t>” no Prospecto Definitivo.</w:t>
            </w:r>
          </w:p>
        </w:tc>
      </w:tr>
      <w:tr w:rsidR="00720C65" w:rsidRPr="00365D60" w14:paraId="567BACFE" w14:textId="77777777" w:rsidTr="009955CC">
        <w:trPr>
          <w:jc w:val="center"/>
        </w:trPr>
        <w:tc>
          <w:tcPr>
            <w:tcW w:w="3119" w:type="dxa"/>
          </w:tcPr>
          <w:p w14:paraId="1616E0B9" w14:textId="31F05D13" w:rsidR="00246319" w:rsidRPr="00365D60" w:rsidRDefault="002F1DB7" w:rsidP="00202163">
            <w:pPr>
              <w:pStyle w:val="Body"/>
              <w:jc w:val="left"/>
              <w:rPr>
                <w:rFonts w:ascii="Calibri" w:hAnsi="Calibri" w:cs="Calibri"/>
                <w:b/>
                <w:sz w:val="24"/>
              </w:rPr>
            </w:pPr>
            <w:r w:rsidRPr="00365D60">
              <w:rPr>
                <w:rFonts w:ascii="Calibri" w:hAnsi="Calibri" w:cs="Calibri"/>
                <w:b/>
                <w:sz w:val="24"/>
              </w:rPr>
              <w:lastRenderedPageBreak/>
              <w:t>Pagamento da Remuneração</w:t>
            </w:r>
            <w:r w:rsidR="00A76600" w:rsidRPr="00365D60">
              <w:rPr>
                <w:rFonts w:ascii="Calibri" w:hAnsi="Calibri" w:cs="Calibri"/>
                <w:b/>
                <w:sz w:val="24"/>
              </w:rPr>
              <w:t xml:space="preserve"> da Primeira Série</w:t>
            </w:r>
          </w:p>
        </w:tc>
        <w:tc>
          <w:tcPr>
            <w:tcW w:w="5611" w:type="dxa"/>
          </w:tcPr>
          <w:p w14:paraId="283C722B" w14:textId="5AA90381" w:rsidR="00FA4718" w:rsidRPr="00365D60" w:rsidRDefault="00A76600" w:rsidP="00FA4718">
            <w:pPr>
              <w:pStyle w:val="Body"/>
              <w:rPr>
                <w:rFonts w:ascii="Calibri" w:hAnsi="Calibri" w:cs="Calibri"/>
                <w:sz w:val="24"/>
              </w:rPr>
            </w:pPr>
            <w:r w:rsidRPr="00365D60">
              <w:rPr>
                <w:rFonts w:ascii="Calibri" w:hAnsi="Calibri" w:cs="Calibri"/>
                <w:sz w:val="24"/>
              </w:rPr>
              <w:t>Sem prejuízo dos pagamentos em decorrência de vencimento antecipado das obrigações decorrentes das Debêntures, nos termos previstos na Escritura de Emissão, os Juros Remuneratórios da Primeira Série serão pagos pela Emissora aos Debenturistas semestralmente a partir da Data de Emissão, sendo, portanto, os pagamentos devidos no dia 15 dos meses julho e janeiro de cada ano, e caso referida data não seja um Dia Útil, o primeiro Dia Útil subsequente. O primeiro pagamento ocorrerá no dia 15 de julho de 2022 e o último na Data de Vencimento da Primeira Série (cada uma dessas datas, uma “</w:t>
            </w:r>
            <w:r w:rsidRPr="00365D60">
              <w:rPr>
                <w:rFonts w:ascii="Calibri" w:hAnsi="Calibri" w:cs="Calibri"/>
                <w:sz w:val="24"/>
                <w:u w:val="single"/>
              </w:rPr>
              <w:t>Data de Pagamento de Juros Remuneratórios da Primeira Série</w:t>
            </w:r>
            <w:r w:rsidRPr="00365D60">
              <w:rPr>
                <w:rFonts w:ascii="Calibri" w:hAnsi="Calibri" w:cs="Calibri"/>
                <w:sz w:val="24"/>
              </w:rPr>
              <w:t>”).</w:t>
            </w:r>
          </w:p>
          <w:tbl>
            <w:tblPr>
              <w:tblStyle w:val="Tabelacomgrade"/>
              <w:tblW w:w="0" w:type="auto"/>
              <w:tblLook w:val="04A0" w:firstRow="1" w:lastRow="0" w:firstColumn="1" w:lastColumn="0" w:noHBand="0" w:noVBand="1"/>
            </w:tblPr>
            <w:tblGrid>
              <w:gridCol w:w="1211"/>
              <w:gridCol w:w="4276"/>
            </w:tblGrid>
            <w:tr w:rsidR="005233A7" w:rsidRPr="00365D60" w14:paraId="63CF574E" w14:textId="77777777" w:rsidTr="005233A7">
              <w:tc>
                <w:tcPr>
                  <w:tcW w:w="1211" w:type="dxa"/>
                  <w:shd w:val="clear" w:color="auto" w:fill="D9D9D9" w:themeFill="background1" w:themeFillShade="D9"/>
                </w:tcPr>
                <w:p w14:paraId="4B433EB4" w14:textId="204A9F18" w:rsidR="005233A7" w:rsidRPr="00365D60" w:rsidRDefault="005233A7" w:rsidP="005233A7">
                  <w:pPr>
                    <w:pStyle w:val="p0"/>
                    <w:suppressAutoHyphens/>
                    <w:spacing w:before="60" w:after="60" w:line="240" w:lineRule="auto"/>
                    <w:jc w:val="center"/>
                    <w:rPr>
                      <w:rFonts w:ascii="Calibri" w:hAnsi="Calibri" w:cs="Calibri"/>
                      <w:b/>
                      <w:bCs/>
                      <w:color w:val="000000"/>
                    </w:rPr>
                  </w:pPr>
                  <w:r w:rsidRPr="00365D60">
                    <w:rPr>
                      <w:rFonts w:ascii="Calibri" w:hAnsi="Calibri" w:cs="Calibri"/>
                      <w:b/>
                      <w:bCs/>
                      <w:color w:val="000000"/>
                    </w:rPr>
                    <w:t>Parcelas</w:t>
                  </w:r>
                </w:p>
              </w:tc>
              <w:tc>
                <w:tcPr>
                  <w:tcW w:w="4276" w:type="dxa"/>
                  <w:shd w:val="clear" w:color="auto" w:fill="D9D9D9" w:themeFill="background1" w:themeFillShade="D9"/>
                </w:tcPr>
                <w:p w14:paraId="6DC96FB5" w14:textId="544B9B4B" w:rsidR="005233A7" w:rsidRPr="00365D60" w:rsidRDefault="005233A7" w:rsidP="005233A7">
                  <w:pPr>
                    <w:pStyle w:val="p0"/>
                    <w:suppressAutoHyphens/>
                    <w:spacing w:before="60" w:after="60" w:line="240" w:lineRule="auto"/>
                    <w:jc w:val="center"/>
                    <w:rPr>
                      <w:rFonts w:ascii="Calibri" w:hAnsi="Calibri" w:cs="Calibri"/>
                      <w:b/>
                      <w:bCs/>
                      <w:color w:val="000000"/>
                    </w:rPr>
                  </w:pPr>
                  <w:r w:rsidRPr="00365D60">
                    <w:rPr>
                      <w:rFonts w:ascii="Calibri" w:hAnsi="Calibri" w:cs="Calibri"/>
                      <w:b/>
                      <w:bCs/>
                      <w:color w:val="000000"/>
                    </w:rPr>
                    <w:t>Data de Pagamento da Remuneração</w:t>
                  </w:r>
                </w:p>
              </w:tc>
            </w:tr>
            <w:tr w:rsidR="005233A7" w:rsidRPr="00365D60" w14:paraId="32861B59" w14:textId="77777777" w:rsidTr="00EC721D">
              <w:tc>
                <w:tcPr>
                  <w:tcW w:w="1211" w:type="dxa"/>
                </w:tcPr>
                <w:p w14:paraId="2455428D" w14:textId="4CEA8E96"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w:t>
                  </w:r>
                </w:p>
              </w:tc>
              <w:tc>
                <w:tcPr>
                  <w:tcW w:w="4276" w:type="dxa"/>
                  <w:vAlign w:val="center"/>
                </w:tcPr>
                <w:p w14:paraId="75E6CE52" w14:textId="58470998"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15/07/2022</w:t>
                  </w:r>
                </w:p>
              </w:tc>
            </w:tr>
            <w:tr w:rsidR="005233A7" w:rsidRPr="00365D60" w14:paraId="03EF48E2" w14:textId="77777777" w:rsidTr="00EC721D">
              <w:tc>
                <w:tcPr>
                  <w:tcW w:w="1211" w:type="dxa"/>
                </w:tcPr>
                <w:p w14:paraId="5DD3ED09" w14:textId="5D6D00CF"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2</w:t>
                  </w:r>
                </w:p>
              </w:tc>
              <w:tc>
                <w:tcPr>
                  <w:tcW w:w="4276" w:type="dxa"/>
                  <w:vAlign w:val="center"/>
                </w:tcPr>
                <w:p w14:paraId="26396BF4" w14:textId="3847E622"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15/01/2023</w:t>
                  </w:r>
                </w:p>
              </w:tc>
            </w:tr>
            <w:tr w:rsidR="005233A7" w:rsidRPr="00365D60" w14:paraId="15404162" w14:textId="77777777" w:rsidTr="00EC721D">
              <w:tc>
                <w:tcPr>
                  <w:tcW w:w="1211" w:type="dxa"/>
                </w:tcPr>
                <w:p w14:paraId="0DCBC665" w14:textId="39C4E9C1"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3</w:t>
                  </w:r>
                </w:p>
              </w:tc>
              <w:tc>
                <w:tcPr>
                  <w:tcW w:w="4276" w:type="dxa"/>
                  <w:vAlign w:val="center"/>
                </w:tcPr>
                <w:p w14:paraId="5D86BE52" w14:textId="39547EFE"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15/07/2023</w:t>
                  </w:r>
                </w:p>
              </w:tc>
            </w:tr>
            <w:tr w:rsidR="005233A7" w:rsidRPr="00365D60" w14:paraId="52262405" w14:textId="77777777" w:rsidTr="00EC721D">
              <w:tc>
                <w:tcPr>
                  <w:tcW w:w="1211" w:type="dxa"/>
                </w:tcPr>
                <w:p w14:paraId="5D190E2A" w14:textId="524861CF"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4</w:t>
                  </w:r>
                </w:p>
              </w:tc>
              <w:tc>
                <w:tcPr>
                  <w:tcW w:w="4276" w:type="dxa"/>
                  <w:vAlign w:val="center"/>
                </w:tcPr>
                <w:p w14:paraId="254138A0" w14:textId="7998AB8A"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15/01/2024</w:t>
                  </w:r>
                </w:p>
              </w:tc>
            </w:tr>
            <w:tr w:rsidR="005233A7" w:rsidRPr="00365D60" w14:paraId="3640D9EF" w14:textId="77777777" w:rsidTr="00EC721D">
              <w:tc>
                <w:tcPr>
                  <w:tcW w:w="1211" w:type="dxa"/>
                </w:tcPr>
                <w:p w14:paraId="1C40C21D" w14:textId="3DDD341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5</w:t>
                  </w:r>
                </w:p>
              </w:tc>
              <w:tc>
                <w:tcPr>
                  <w:tcW w:w="4276" w:type="dxa"/>
                  <w:vAlign w:val="center"/>
                </w:tcPr>
                <w:p w14:paraId="7B639465" w14:textId="70F9C218"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15/07/2024</w:t>
                  </w:r>
                </w:p>
              </w:tc>
            </w:tr>
            <w:tr w:rsidR="005233A7" w:rsidRPr="00365D60" w14:paraId="468E46ED" w14:textId="77777777" w:rsidTr="00EC721D">
              <w:tc>
                <w:tcPr>
                  <w:tcW w:w="1211" w:type="dxa"/>
                </w:tcPr>
                <w:p w14:paraId="70F56762" w14:textId="6A2433CA"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6</w:t>
                  </w:r>
                </w:p>
              </w:tc>
              <w:tc>
                <w:tcPr>
                  <w:tcW w:w="4276" w:type="dxa"/>
                  <w:vAlign w:val="center"/>
                </w:tcPr>
                <w:p w14:paraId="118C1856" w14:textId="38980163"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15/01/2025</w:t>
                  </w:r>
                </w:p>
              </w:tc>
            </w:tr>
            <w:tr w:rsidR="005233A7" w:rsidRPr="00365D60" w14:paraId="0F1BF01C" w14:textId="77777777" w:rsidTr="00EC721D">
              <w:tc>
                <w:tcPr>
                  <w:tcW w:w="1211" w:type="dxa"/>
                </w:tcPr>
                <w:p w14:paraId="5B43C7F7" w14:textId="09E3B9A2"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7</w:t>
                  </w:r>
                </w:p>
              </w:tc>
              <w:tc>
                <w:tcPr>
                  <w:tcW w:w="4276" w:type="dxa"/>
                  <w:vAlign w:val="center"/>
                </w:tcPr>
                <w:p w14:paraId="525B2EB6" w14:textId="3A7A17BE"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15/07/2025</w:t>
                  </w:r>
                </w:p>
              </w:tc>
            </w:tr>
            <w:tr w:rsidR="005233A7" w:rsidRPr="00365D60" w14:paraId="688A4BB6" w14:textId="77777777" w:rsidTr="00EC721D">
              <w:tc>
                <w:tcPr>
                  <w:tcW w:w="1211" w:type="dxa"/>
                </w:tcPr>
                <w:p w14:paraId="64AC273B" w14:textId="76749CA8"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8</w:t>
                  </w:r>
                </w:p>
              </w:tc>
              <w:tc>
                <w:tcPr>
                  <w:tcW w:w="4276" w:type="dxa"/>
                  <w:vAlign w:val="center"/>
                </w:tcPr>
                <w:p w14:paraId="3B69E531" w14:textId="78EDB9A0"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15/01/2026</w:t>
                  </w:r>
                </w:p>
              </w:tc>
            </w:tr>
            <w:tr w:rsidR="005233A7" w:rsidRPr="00365D60" w14:paraId="54EEDFE7" w14:textId="77777777" w:rsidTr="00EC721D">
              <w:tc>
                <w:tcPr>
                  <w:tcW w:w="1211" w:type="dxa"/>
                </w:tcPr>
                <w:p w14:paraId="26869C6F" w14:textId="1DAD77F2"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9</w:t>
                  </w:r>
                </w:p>
              </w:tc>
              <w:tc>
                <w:tcPr>
                  <w:tcW w:w="4276" w:type="dxa"/>
                  <w:vAlign w:val="center"/>
                </w:tcPr>
                <w:p w14:paraId="152C0600" w14:textId="52F714A7"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15/07/2026</w:t>
                  </w:r>
                </w:p>
              </w:tc>
            </w:tr>
            <w:tr w:rsidR="005233A7" w:rsidRPr="00365D60" w14:paraId="694A5EB9" w14:textId="77777777" w:rsidTr="00EC721D">
              <w:tc>
                <w:tcPr>
                  <w:tcW w:w="1211" w:type="dxa"/>
                </w:tcPr>
                <w:p w14:paraId="6B1079B5" w14:textId="6940A51E"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10</w:t>
                  </w:r>
                </w:p>
              </w:tc>
              <w:tc>
                <w:tcPr>
                  <w:tcW w:w="4276" w:type="dxa"/>
                  <w:vAlign w:val="center"/>
                </w:tcPr>
                <w:p w14:paraId="7219F7F5" w14:textId="6BE0294D"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15/01/2027</w:t>
                  </w:r>
                </w:p>
              </w:tc>
            </w:tr>
            <w:tr w:rsidR="005233A7" w:rsidRPr="00365D60" w14:paraId="39866136" w14:textId="77777777" w:rsidTr="00EC721D">
              <w:tc>
                <w:tcPr>
                  <w:tcW w:w="1211" w:type="dxa"/>
                </w:tcPr>
                <w:p w14:paraId="3E79B608" w14:textId="0C0D825D"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11</w:t>
                  </w:r>
                </w:p>
              </w:tc>
              <w:tc>
                <w:tcPr>
                  <w:tcW w:w="4276" w:type="dxa"/>
                  <w:vAlign w:val="center"/>
                </w:tcPr>
                <w:p w14:paraId="5E493515" w14:textId="119D58A0"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15/07/2027</w:t>
                  </w:r>
                </w:p>
              </w:tc>
            </w:tr>
            <w:tr w:rsidR="005233A7" w:rsidRPr="00365D60" w14:paraId="3C5726B4" w14:textId="77777777" w:rsidTr="00EC721D">
              <w:tc>
                <w:tcPr>
                  <w:tcW w:w="1211" w:type="dxa"/>
                </w:tcPr>
                <w:p w14:paraId="734C34BF" w14:textId="58E97E36"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12</w:t>
                  </w:r>
                </w:p>
              </w:tc>
              <w:tc>
                <w:tcPr>
                  <w:tcW w:w="4276" w:type="dxa"/>
                  <w:vAlign w:val="center"/>
                </w:tcPr>
                <w:p w14:paraId="4D908550" w14:textId="5C5DAA18"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15/01/2028</w:t>
                  </w:r>
                </w:p>
              </w:tc>
            </w:tr>
            <w:tr w:rsidR="005233A7" w:rsidRPr="00365D60" w14:paraId="6B25BD76" w14:textId="77777777" w:rsidTr="00EC721D">
              <w:tc>
                <w:tcPr>
                  <w:tcW w:w="1211" w:type="dxa"/>
                </w:tcPr>
                <w:p w14:paraId="09E56AC3" w14:textId="1DAEF0DE"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13</w:t>
                  </w:r>
                </w:p>
              </w:tc>
              <w:tc>
                <w:tcPr>
                  <w:tcW w:w="4276" w:type="dxa"/>
                  <w:vAlign w:val="center"/>
                </w:tcPr>
                <w:p w14:paraId="413D63AD" w14:textId="10534EDC"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15/07/2028</w:t>
                  </w:r>
                </w:p>
              </w:tc>
            </w:tr>
            <w:tr w:rsidR="005233A7" w:rsidRPr="00365D60" w14:paraId="549A81D1" w14:textId="77777777" w:rsidTr="00EC721D">
              <w:tc>
                <w:tcPr>
                  <w:tcW w:w="1211" w:type="dxa"/>
                </w:tcPr>
                <w:p w14:paraId="702E76CB" w14:textId="02576C6E"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lastRenderedPageBreak/>
                    <w:t>14</w:t>
                  </w:r>
                </w:p>
              </w:tc>
              <w:tc>
                <w:tcPr>
                  <w:tcW w:w="4276" w:type="dxa"/>
                  <w:vAlign w:val="center"/>
                </w:tcPr>
                <w:p w14:paraId="419036FE" w14:textId="6705163A"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15/01/2029</w:t>
                  </w:r>
                </w:p>
              </w:tc>
            </w:tr>
            <w:tr w:rsidR="005233A7" w:rsidRPr="00365D60" w14:paraId="2E653B23" w14:textId="77777777" w:rsidTr="00EC721D">
              <w:tc>
                <w:tcPr>
                  <w:tcW w:w="1211" w:type="dxa"/>
                </w:tcPr>
                <w:p w14:paraId="46731D12" w14:textId="3FD210B2"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15</w:t>
                  </w:r>
                </w:p>
              </w:tc>
              <w:tc>
                <w:tcPr>
                  <w:tcW w:w="4276" w:type="dxa"/>
                  <w:vAlign w:val="center"/>
                </w:tcPr>
                <w:p w14:paraId="492F15D4" w14:textId="493293C6"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15/07/2029</w:t>
                  </w:r>
                </w:p>
              </w:tc>
            </w:tr>
            <w:tr w:rsidR="005233A7" w:rsidRPr="00365D60" w14:paraId="212B4D25" w14:textId="77777777" w:rsidTr="00EC721D">
              <w:tc>
                <w:tcPr>
                  <w:tcW w:w="1211" w:type="dxa"/>
                </w:tcPr>
                <w:p w14:paraId="781854EE" w14:textId="68066F70"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16</w:t>
                  </w:r>
                </w:p>
              </w:tc>
              <w:tc>
                <w:tcPr>
                  <w:tcW w:w="4276" w:type="dxa"/>
                  <w:vAlign w:val="center"/>
                </w:tcPr>
                <w:p w14:paraId="587F27EB" w14:textId="345BF191"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15/01/2030</w:t>
                  </w:r>
                </w:p>
              </w:tc>
            </w:tr>
            <w:tr w:rsidR="005233A7" w:rsidRPr="00365D60" w14:paraId="54F0667B" w14:textId="77777777" w:rsidTr="00EC721D">
              <w:tc>
                <w:tcPr>
                  <w:tcW w:w="1211" w:type="dxa"/>
                </w:tcPr>
                <w:p w14:paraId="153B5810" w14:textId="11C4DB68"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17</w:t>
                  </w:r>
                </w:p>
              </w:tc>
              <w:tc>
                <w:tcPr>
                  <w:tcW w:w="4276" w:type="dxa"/>
                  <w:vAlign w:val="center"/>
                </w:tcPr>
                <w:p w14:paraId="20AE2C90" w14:textId="464F0AF6"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15/07/2030</w:t>
                  </w:r>
                </w:p>
              </w:tc>
            </w:tr>
            <w:tr w:rsidR="005233A7" w:rsidRPr="00365D60" w14:paraId="6CB2D1A8" w14:textId="77777777" w:rsidTr="00EC721D">
              <w:tc>
                <w:tcPr>
                  <w:tcW w:w="1211" w:type="dxa"/>
                </w:tcPr>
                <w:p w14:paraId="789BB6CE" w14:textId="35ED759E"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18</w:t>
                  </w:r>
                </w:p>
              </w:tc>
              <w:tc>
                <w:tcPr>
                  <w:tcW w:w="4276" w:type="dxa"/>
                  <w:vAlign w:val="center"/>
                </w:tcPr>
                <w:p w14:paraId="08C0EF8E" w14:textId="61645D8D"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15/01/2031</w:t>
                  </w:r>
                </w:p>
              </w:tc>
            </w:tr>
            <w:tr w:rsidR="005233A7" w:rsidRPr="00365D60" w14:paraId="5C2C8B63" w14:textId="77777777" w:rsidTr="00EC721D">
              <w:tc>
                <w:tcPr>
                  <w:tcW w:w="1211" w:type="dxa"/>
                </w:tcPr>
                <w:p w14:paraId="23220747" w14:textId="50F28EFA"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19</w:t>
                  </w:r>
                </w:p>
              </w:tc>
              <w:tc>
                <w:tcPr>
                  <w:tcW w:w="4276" w:type="dxa"/>
                  <w:vAlign w:val="center"/>
                </w:tcPr>
                <w:p w14:paraId="6B7E0256" w14:textId="6265D06C"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15/07/2031</w:t>
                  </w:r>
                </w:p>
              </w:tc>
            </w:tr>
            <w:tr w:rsidR="005233A7" w:rsidRPr="00365D60" w14:paraId="75D41C87" w14:textId="77777777" w:rsidTr="00EC721D">
              <w:tc>
                <w:tcPr>
                  <w:tcW w:w="1211" w:type="dxa"/>
                </w:tcPr>
                <w:p w14:paraId="65CA561D" w14:textId="143EB711"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20</w:t>
                  </w:r>
                </w:p>
              </w:tc>
              <w:tc>
                <w:tcPr>
                  <w:tcW w:w="4276" w:type="dxa"/>
                </w:tcPr>
                <w:p w14:paraId="1E567506" w14:textId="76F9B624"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Data de Vencimento da Primeira Série</w:t>
                  </w:r>
                </w:p>
              </w:tc>
            </w:tr>
          </w:tbl>
          <w:p w14:paraId="06B7DBE6" w14:textId="597CB9F3" w:rsidR="005C5052" w:rsidRPr="00365D60" w:rsidRDefault="005C5052" w:rsidP="005C5052">
            <w:pPr>
              <w:pStyle w:val="Body"/>
              <w:rPr>
                <w:rFonts w:ascii="Calibri" w:hAnsi="Calibri" w:cs="Calibri"/>
                <w:sz w:val="24"/>
              </w:rPr>
            </w:pPr>
          </w:p>
        </w:tc>
      </w:tr>
      <w:tr w:rsidR="005233A7" w:rsidRPr="00365D60" w14:paraId="432F8143" w14:textId="77777777" w:rsidTr="009955CC">
        <w:trPr>
          <w:jc w:val="center"/>
        </w:trPr>
        <w:tc>
          <w:tcPr>
            <w:tcW w:w="3119" w:type="dxa"/>
          </w:tcPr>
          <w:p w14:paraId="7E90D656" w14:textId="25219979" w:rsidR="005233A7" w:rsidRPr="00365D60" w:rsidRDefault="005233A7" w:rsidP="00AB0823">
            <w:pPr>
              <w:pStyle w:val="Body"/>
              <w:jc w:val="left"/>
              <w:rPr>
                <w:rFonts w:ascii="Calibri" w:hAnsi="Calibri" w:cs="Calibri"/>
                <w:b/>
                <w:sz w:val="24"/>
              </w:rPr>
            </w:pPr>
            <w:r w:rsidRPr="00365D60">
              <w:rPr>
                <w:rFonts w:ascii="Calibri" w:hAnsi="Calibri" w:cs="Calibri"/>
                <w:b/>
                <w:sz w:val="24"/>
              </w:rPr>
              <w:lastRenderedPageBreak/>
              <w:t>Pagamento da Remuneração da Segunda Série</w:t>
            </w:r>
          </w:p>
        </w:tc>
        <w:tc>
          <w:tcPr>
            <w:tcW w:w="5611" w:type="dxa"/>
          </w:tcPr>
          <w:p w14:paraId="6EB01342" w14:textId="77EAB232" w:rsidR="005233A7" w:rsidRPr="00302181" w:rsidRDefault="005233A7" w:rsidP="005233A7">
            <w:pPr>
              <w:pStyle w:val="Level2"/>
              <w:numPr>
                <w:ilvl w:val="0"/>
                <w:numId w:val="0"/>
              </w:numPr>
              <w:outlineLvl w:val="9"/>
              <w:rPr>
                <w:rFonts w:ascii="Calibri" w:hAnsi="Calibri" w:cs="Calibri"/>
                <w:spacing w:val="-6"/>
                <w:sz w:val="24"/>
                <w:szCs w:val="24"/>
              </w:rPr>
            </w:pPr>
            <w:r w:rsidRPr="00302181">
              <w:rPr>
                <w:rFonts w:ascii="Calibri" w:hAnsi="Calibri" w:cs="Calibri"/>
                <w:spacing w:val="-6"/>
                <w:sz w:val="24"/>
                <w:szCs w:val="24"/>
              </w:rPr>
              <w:t>Sem prejuízo dos pagamentos em decorrência de vencimento antecipado das obrigações decorrentes das Debêntures, nos termos previstos na Escritura de Emissão, os Juros Remuneratórios da Segunda Série serão pagos pela Emissora aos Debenturistas semestralmente a partir da Data de Emissão, sendo, portanto, os pagamentos devidos no dia 15 dos meses julho e janeiro de cada ano, e caso referida data não seja um Dia Útil, o primeiro Dia Útil subsequente. O primeiro pagamento ocorrerá em 15 de julho de 2022 e o último pagamento ocorrerá na Data de Vencimento da Segunda Série (cada uma dessas datas, uma “</w:t>
            </w:r>
            <w:r w:rsidRPr="00302181">
              <w:rPr>
                <w:rFonts w:ascii="Calibri" w:hAnsi="Calibri" w:cs="Calibri"/>
                <w:spacing w:val="-6"/>
                <w:sz w:val="24"/>
                <w:szCs w:val="24"/>
                <w:u w:val="single"/>
              </w:rPr>
              <w:t>Data de Pagamento de Juros Remuneratórios da Segunda Série</w:t>
            </w:r>
            <w:r w:rsidRPr="00302181">
              <w:rPr>
                <w:rFonts w:ascii="Calibri" w:hAnsi="Calibri" w:cs="Calibri"/>
                <w:spacing w:val="-6"/>
                <w:sz w:val="24"/>
                <w:szCs w:val="24"/>
              </w:rPr>
              <w:t>” e, em conjunto com cada uma das Datas de Pagamento de Juros Remuneratórios da Primeira Série, referidos como “</w:t>
            </w:r>
            <w:r w:rsidRPr="00302181">
              <w:rPr>
                <w:rFonts w:ascii="Calibri" w:hAnsi="Calibri" w:cs="Calibri"/>
                <w:spacing w:val="-6"/>
                <w:sz w:val="24"/>
                <w:szCs w:val="24"/>
                <w:u w:val="single"/>
              </w:rPr>
              <w:t>Data de Pagamento de Juros Remuneratórios</w:t>
            </w:r>
            <w:r w:rsidRPr="00302181">
              <w:rPr>
                <w:rFonts w:ascii="Calibri" w:hAnsi="Calibri" w:cs="Calibri"/>
                <w:spacing w:val="-6"/>
                <w:sz w:val="24"/>
                <w:szCs w:val="24"/>
              </w:rPr>
              <w:t>”).</w:t>
            </w:r>
          </w:p>
          <w:tbl>
            <w:tblPr>
              <w:tblStyle w:val="Tabelacomgrade"/>
              <w:tblW w:w="0" w:type="auto"/>
              <w:tblLook w:val="04A0" w:firstRow="1" w:lastRow="0" w:firstColumn="1" w:lastColumn="0" w:noHBand="0" w:noVBand="1"/>
            </w:tblPr>
            <w:tblGrid>
              <w:gridCol w:w="1211"/>
              <w:gridCol w:w="4276"/>
            </w:tblGrid>
            <w:tr w:rsidR="005233A7" w:rsidRPr="00365D60" w14:paraId="7129656C" w14:textId="77777777" w:rsidTr="00EC721D">
              <w:tc>
                <w:tcPr>
                  <w:tcW w:w="1211" w:type="dxa"/>
                  <w:shd w:val="clear" w:color="auto" w:fill="D9D9D9" w:themeFill="background1" w:themeFillShade="D9"/>
                </w:tcPr>
                <w:p w14:paraId="2B0DDB77" w14:textId="77777777" w:rsidR="005233A7" w:rsidRPr="00365D60" w:rsidRDefault="005233A7" w:rsidP="005233A7">
                  <w:pPr>
                    <w:pStyle w:val="p0"/>
                    <w:suppressAutoHyphens/>
                    <w:spacing w:before="60" w:after="60" w:line="240" w:lineRule="auto"/>
                    <w:jc w:val="center"/>
                    <w:rPr>
                      <w:rFonts w:ascii="Calibri" w:hAnsi="Calibri" w:cs="Calibri"/>
                      <w:b/>
                      <w:bCs/>
                      <w:color w:val="000000"/>
                    </w:rPr>
                  </w:pPr>
                  <w:r w:rsidRPr="00365D60">
                    <w:rPr>
                      <w:rFonts w:ascii="Calibri" w:hAnsi="Calibri" w:cs="Calibri"/>
                      <w:b/>
                      <w:bCs/>
                      <w:color w:val="000000"/>
                    </w:rPr>
                    <w:t>Parcelas</w:t>
                  </w:r>
                </w:p>
              </w:tc>
              <w:tc>
                <w:tcPr>
                  <w:tcW w:w="4276" w:type="dxa"/>
                  <w:shd w:val="clear" w:color="auto" w:fill="D9D9D9" w:themeFill="background1" w:themeFillShade="D9"/>
                </w:tcPr>
                <w:p w14:paraId="4DA940D7" w14:textId="77777777" w:rsidR="005233A7" w:rsidRPr="00365D60" w:rsidRDefault="005233A7" w:rsidP="005233A7">
                  <w:pPr>
                    <w:pStyle w:val="p0"/>
                    <w:suppressAutoHyphens/>
                    <w:spacing w:before="60" w:after="60" w:line="240" w:lineRule="auto"/>
                    <w:jc w:val="center"/>
                    <w:rPr>
                      <w:rFonts w:ascii="Calibri" w:hAnsi="Calibri" w:cs="Calibri"/>
                      <w:b/>
                      <w:bCs/>
                      <w:color w:val="000000"/>
                    </w:rPr>
                  </w:pPr>
                  <w:r w:rsidRPr="00365D60">
                    <w:rPr>
                      <w:rFonts w:ascii="Calibri" w:hAnsi="Calibri" w:cs="Calibri"/>
                      <w:b/>
                      <w:bCs/>
                      <w:color w:val="000000"/>
                    </w:rPr>
                    <w:t>Data de Pagamento da Remuneração</w:t>
                  </w:r>
                </w:p>
              </w:tc>
            </w:tr>
            <w:tr w:rsidR="005233A7" w:rsidRPr="00365D60" w14:paraId="0FFE19CA" w14:textId="77777777" w:rsidTr="00EC721D">
              <w:tc>
                <w:tcPr>
                  <w:tcW w:w="1211" w:type="dxa"/>
                </w:tcPr>
                <w:p w14:paraId="5C24E0F6"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w:t>
                  </w:r>
                </w:p>
              </w:tc>
              <w:tc>
                <w:tcPr>
                  <w:tcW w:w="4276" w:type="dxa"/>
                  <w:vAlign w:val="center"/>
                </w:tcPr>
                <w:p w14:paraId="0DD7199B" w14:textId="6D56C372"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15/07/2022</w:t>
                  </w:r>
                </w:p>
              </w:tc>
            </w:tr>
            <w:tr w:rsidR="005233A7" w:rsidRPr="00365D60" w14:paraId="447F7FC6" w14:textId="77777777" w:rsidTr="00EC721D">
              <w:tc>
                <w:tcPr>
                  <w:tcW w:w="1211" w:type="dxa"/>
                </w:tcPr>
                <w:p w14:paraId="223022FE"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2</w:t>
                  </w:r>
                </w:p>
              </w:tc>
              <w:tc>
                <w:tcPr>
                  <w:tcW w:w="4276" w:type="dxa"/>
                  <w:vAlign w:val="center"/>
                </w:tcPr>
                <w:p w14:paraId="2BBB1E20" w14:textId="4C49C8FB"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15/01/2023</w:t>
                  </w:r>
                </w:p>
              </w:tc>
            </w:tr>
            <w:tr w:rsidR="005233A7" w:rsidRPr="00365D60" w14:paraId="56340D4B" w14:textId="77777777" w:rsidTr="00EC721D">
              <w:tc>
                <w:tcPr>
                  <w:tcW w:w="1211" w:type="dxa"/>
                </w:tcPr>
                <w:p w14:paraId="6A55BA13"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3</w:t>
                  </w:r>
                </w:p>
              </w:tc>
              <w:tc>
                <w:tcPr>
                  <w:tcW w:w="4276" w:type="dxa"/>
                  <w:vAlign w:val="center"/>
                </w:tcPr>
                <w:p w14:paraId="75D0615C" w14:textId="115812B5"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15/07/2023</w:t>
                  </w:r>
                </w:p>
              </w:tc>
            </w:tr>
            <w:tr w:rsidR="005233A7" w:rsidRPr="00365D60" w14:paraId="45C63EC5" w14:textId="77777777" w:rsidTr="00EC721D">
              <w:tc>
                <w:tcPr>
                  <w:tcW w:w="1211" w:type="dxa"/>
                </w:tcPr>
                <w:p w14:paraId="25EECE4A"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4</w:t>
                  </w:r>
                </w:p>
              </w:tc>
              <w:tc>
                <w:tcPr>
                  <w:tcW w:w="4276" w:type="dxa"/>
                  <w:vAlign w:val="center"/>
                </w:tcPr>
                <w:p w14:paraId="556CB0C4" w14:textId="7494437D"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15/01/2024</w:t>
                  </w:r>
                </w:p>
              </w:tc>
            </w:tr>
            <w:tr w:rsidR="005233A7" w:rsidRPr="00365D60" w14:paraId="17A07B9F" w14:textId="77777777" w:rsidTr="00EC721D">
              <w:tc>
                <w:tcPr>
                  <w:tcW w:w="1211" w:type="dxa"/>
                </w:tcPr>
                <w:p w14:paraId="6162F729"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5</w:t>
                  </w:r>
                </w:p>
              </w:tc>
              <w:tc>
                <w:tcPr>
                  <w:tcW w:w="4276" w:type="dxa"/>
                  <w:vAlign w:val="center"/>
                </w:tcPr>
                <w:p w14:paraId="2CB0D9CE" w14:textId="25726C9D"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15/07/2024</w:t>
                  </w:r>
                </w:p>
              </w:tc>
            </w:tr>
            <w:tr w:rsidR="005233A7" w:rsidRPr="00365D60" w14:paraId="01BEA71E" w14:textId="77777777" w:rsidTr="00EC721D">
              <w:tc>
                <w:tcPr>
                  <w:tcW w:w="1211" w:type="dxa"/>
                </w:tcPr>
                <w:p w14:paraId="02B336B1"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6</w:t>
                  </w:r>
                </w:p>
              </w:tc>
              <w:tc>
                <w:tcPr>
                  <w:tcW w:w="4276" w:type="dxa"/>
                  <w:vAlign w:val="center"/>
                </w:tcPr>
                <w:p w14:paraId="3045D30F" w14:textId="4E66BB04"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15/01/2025</w:t>
                  </w:r>
                </w:p>
              </w:tc>
            </w:tr>
            <w:tr w:rsidR="005233A7" w:rsidRPr="00365D60" w14:paraId="44669C58" w14:textId="77777777" w:rsidTr="00EC721D">
              <w:tc>
                <w:tcPr>
                  <w:tcW w:w="1211" w:type="dxa"/>
                </w:tcPr>
                <w:p w14:paraId="0A1DEB04"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7</w:t>
                  </w:r>
                </w:p>
              </w:tc>
              <w:tc>
                <w:tcPr>
                  <w:tcW w:w="4276" w:type="dxa"/>
                  <w:vAlign w:val="center"/>
                </w:tcPr>
                <w:p w14:paraId="38CDA603" w14:textId="5CB5C708"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15/07/2025</w:t>
                  </w:r>
                </w:p>
              </w:tc>
            </w:tr>
            <w:tr w:rsidR="005233A7" w:rsidRPr="00365D60" w14:paraId="7448345D" w14:textId="77777777" w:rsidTr="00EC721D">
              <w:tc>
                <w:tcPr>
                  <w:tcW w:w="1211" w:type="dxa"/>
                </w:tcPr>
                <w:p w14:paraId="2F88AFAA"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8</w:t>
                  </w:r>
                </w:p>
              </w:tc>
              <w:tc>
                <w:tcPr>
                  <w:tcW w:w="4276" w:type="dxa"/>
                  <w:vAlign w:val="center"/>
                </w:tcPr>
                <w:p w14:paraId="29C7E27A" w14:textId="0189D432"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15/01/2026</w:t>
                  </w:r>
                </w:p>
              </w:tc>
            </w:tr>
            <w:tr w:rsidR="005233A7" w:rsidRPr="00365D60" w14:paraId="35669B0E" w14:textId="77777777" w:rsidTr="00EC721D">
              <w:tc>
                <w:tcPr>
                  <w:tcW w:w="1211" w:type="dxa"/>
                </w:tcPr>
                <w:p w14:paraId="110DD005"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lastRenderedPageBreak/>
                    <w:t>9</w:t>
                  </w:r>
                </w:p>
              </w:tc>
              <w:tc>
                <w:tcPr>
                  <w:tcW w:w="4276" w:type="dxa"/>
                  <w:vAlign w:val="center"/>
                </w:tcPr>
                <w:p w14:paraId="59F20996" w14:textId="111581EE"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15/07/2026</w:t>
                  </w:r>
                </w:p>
              </w:tc>
            </w:tr>
            <w:tr w:rsidR="005233A7" w:rsidRPr="00365D60" w14:paraId="31E2D6ED" w14:textId="77777777" w:rsidTr="00EC721D">
              <w:tc>
                <w:tcPr>
                  <w:tcW w:w="1211" w:type="dxa"/>
                </w:tcPr>
                <w:p w14:paraId="3C574094"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10</w:t>
                  </w:r>
                </w:p>
              </w:tc>
              <w:tc>
                <w:tcPr>
                  <w:tcW w:w="4276" w:type="dxa"/>
                  <w:vAlign w:val="center"/>
                </w:tcPr>
                <w:p w14:paraId="7A553518" w14:textId="34469890"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15/01/2027</w:t>
                  </w:r>
                </w:p>
              </w:tc>
            </w:tr>
            <w:tr w:rsidR="005233A7" w:rsidRPr="00365D60" w14:paraId="21B9BEFE" w14:textId="77777777" w:rsidTr="00EC721D">
              <w:tc>
                <w:tcPr>
                  <w:tcW w:w="1211" w:type="dxa"/>
                </w:tcPr>
                <w:p w14:paraId="665C09A7"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11</w:t>
                  </w:r>
                </w:p>
              </w:tc>
              <w:tc>
                <w:tcPr>
                  <w:tcW w:w="4276" w:type="dxa"/>
                  <w:vAlign w:val="center"/>
                </w:tcPr>
                <w:p w14:paraId="73EB3769" w14:textId="2076427C"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15/07/2027</w:t>
                  </w:r>
                </w:p>
              </w:tc>
            </w:tr>
            <w:tr w:rsidR="005233A7" w:rsidRPr="00365D60" w14:paraId="1F14B6EA" w14:textId="77777777" w:rsidTr="00EC721D">
              <w:tc>
                <w:tcPr>
                  <w:tcW w:w="1211" w:type="dxa"/>
                </w:tcPr>
                <w:p w14:paraId="6DE0D5E3"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12</w:t>
                  </w:r>
                </w:p>
              </w:tc>
              <w:tc>
                <w:tcPr>
                  <w:tcW w:w="4276" w:type="dxa"/>
                  <w:vAlign w:val="center"/>
                </w:tcPr>
                <w:p w14:paraId="657A4778" w14:textId="23E73EAC"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15/01/2028</w:t>
                  </w:r>
                </w:p>
              </w:tc>
            </w:tr>
            <w:tr w:rsidR="005233A7" w:rsidRPr="00365D60" w14:paraId="5BD612AC" w14:textId="77777777" w:rsidTr="00EC721D">
              <w:tc>
                <w:tcPr>
                  <w:tcW w:w="1211" w:type="dxa"/>
                </w:tcPr>
                <w:p w14:paraId="78B9ED32"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13</w:t>
                  </w:r>
                </w:p>
              </w:tc>
              <w:tc>
                <w:tcPr>
                  <w:tcW w:w="4276" w:type="dxa"/>
                  <w:vAlign w:val="center"/>
                </w:tcPr>
                <w:p w14:paraId="0FCD8E3A" w14:textId="5CE12AB9"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15/07/2028</w:t>
                  </w:r>
                </w:p>
              </w:tc>
            </w:tr>
            <w:tr w:rsidR="005233A7" w:rsidRPr="00365D60" w14:paraId="047961A1" w14:textId="77777777" w:rsidTr="00EC721D">
              <w:tc>
                <w:tcPr>
                  <w:tcW w:w="1211" w:type="dxa"/>
                </w:tcPr>
                <w:p w14:paraId="3E9734E4"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14</w:t>
                  </w:r>
                </w:p>
              </w:tc>
              <w:tc>
                <w:tcPr>
                  <w:tcW w:w="4276" w:type="dxa"/>
                  <w:vAlign w:val="center"/>
                </w:tcPr>
                <w:p w14:paraId="49D4D197" w14:textId="7F5868C9"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15/01/2029</w:t>
                  </w:r>
                </w:p>
              </w:tc>
            </w:tr>
            <w:tr w:rsidR="005233A7" w:rsidRPr="00365D60" w14:paraId="0A1FF1A8" w14:textId="77777777" w:rsidTr="00EC721D">
              <w:tc>
                <w:tcPr>
                  <w:tcW w:w="1211" w:type="dxa"/>
                </w:tcPr>
                <w:p w14:paraId="3FA313D0"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15</w:t>
                  </w:r>
                </w:p>
              </w:tc>
              <w:tc>
                <w:tcPr>
                  <w:tcW w:w="4276" w:type="dxa"/>
                  <w:vAlign w:val="center"/>
                </w:tcPr>
                <w:p w14:paraId="6E3BE07C" w14:textId="36BCA7C9"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15/07/2029</w:t>
                  </w:r>
                </w:p>
              </w:tc>
            </w:tr>
            <w:tr w:rsidR="005233A7" w:rsidRPr="00365D60" w14:paraId="741E6601" w14:textId="77777777" w:rsidTr="00EC721D">
              <w:tc>
                <w:tcPr>
                  <w:tcW w:w="1211" w:type="dxa"/>
                </w:tcPr>
                <w:p w14:paraId="06867035"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16</w:t>
                  </w:r>
                </w:p>
              </w:tc>
              <w:tc>
                <w:tcPr>
                  <w:tcW w:w="4276" w:type="dxa"/>
                  <w:vAlign w:val="center"/>
                </w:tcPr>
                <w:p w14:paraId="6E8B613D" w14:textId="352C3EC9"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15/01/2030</w:t>
                  </w:r>
                </w:p>
              </w:tc>
            </w:tr>
            <w:tr w:rsidR="005233A7" w:rsidRPr="00365D60" w14:paraId="2D4180C0" w14:textId="77777777" w:rsidTr="00EC721D">
              <w:tc>
                <w:tcPr>
                  <w:tcW w:w="1211" w:type="dxa"/>
                </w:tcPr>
                <w:p w14:paraId="4D3C3683"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17</w:t>
                  </w:r>
                </w:p>
              </w:tc>
              <w:tc>
                <w:tcPr>
                  <w:tcW w:w="4276" w:type="dxa"/>
                  <w:vAlign w:val="center"/>
                </w:tcPr>
                <w:p w14:paraId="1A042D10" w14:textId="0325B1BD"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15/07/2030</w:t>
                  </w:r>
                </w:p>
              </w:tc>
            </w:tr>
            <w:tr w:rsidR="005233A7" w:rsidRPr="00365D60" w14:paraId="0144BE2F" w14:textId="77777777" w:rsidTr="00EC721D">
              <w:tc>
                <w:tcPr>
                  <w:tcW w:w="1211" w:type="dxa"/>
                </w:tcPr>
                <w:p w14:paraId="44F51998"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18</w:t>
                  </w:r>
                </w:p>
              </w:tc>
              <w:tc>
                <w:tcPr>
                  <w:tcW w:w="4276" w:type="dxa"/>
                  <w:vAlign w:val="center"/>
                </w:tcPr>
                <w:p w14:paraId="09E3BFE1" w14:textId="6D27A01C"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15/01/2031</w:t>
                  </w:r>
                </w:p>
              </w:tc>
            </w:tr>
            <w:tr w:rsidR="005233A7" w:rsidRPr="00365D60" w14:paraId="672A3ABF" w14:textId="77777777" w:rsidTr="00EC721D">
              <w:tc>
                <w:tcPr>
                  <w:tcW w:w="1211" w:type="dxa"/>
                </w:tcPr>
                <w:p w14:paraId="4540C154"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19</w:t>
                  </w:r>
                </w:p>
              </w:tc>
              <w:tc>
                <w:tcPr>
                  <w:tcW w:w="4276" w:type="dxa"/>
                  <w:vAlign w:val="center"/>
                </w:tcPr>
                <w:p w14:paraId="60458C74" w14:textId="4EB61014"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15/07/2031</w:t>
                  </w:r>
                </w:p>
              </w:tc>
            </w:tr>
            <w:tr w:rsidR="005233A7" w:rsidRPr="00365D60" w14:paraId="3EEE2996" w14:textId="77777777" w:rsidTr="00EC721D">
              <w:tc>
                <w:tcPr>
                  <w:tcW w:w="1211" w:type="dxa"/>
                </w:tcPr>
                <w:p w14:paraId="5A1C8DD9" w14:textId="77777777"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20</w:t>
                  </w:r>
                </w:p>
              </w:tc>
              <w:tc>
                <w:tcPr>
                  <w:tcW w:w="4276" w:type="dxa"/>
                  <w:vAlign w:val="center"/>
                </w:tcPr>
                <w:p w14:paraId="147A9D38" w14:textId="718BD9D0"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15/01/2032</w:t>
                  </w:r>
                </w:p>
              </w:tc>
            </w:tr>
            <w:tr w:rsidR="005233A7" w:rsidRPr="00365D60" w14:paraId="3D2E7DBB" w14:textId="77777777" w:rsidTr="00EC721D">
              <w:tc>
                <w:tcPr>
                  <w:tcW w:w="1211" w:type="dxa"/>
                </w:tcPr>
                <w:p w14:paraId="202EC427" w14:textId="2CF6BDF6"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21</w:t>
                  </w:r>
                </w:p>
              </w:tc>
              <w:tc>
                <w:tcPr>
                  <w:tcW w:w="4276" w:type="dxa"/>
                  <w:vAlign w:val="center"/>
                </w:tcPr>
                <w:p w14:paraId="3D27DBF8" w14:textId="54669EB6"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15/07/2032</w:t>
                  </w:r>
                </w:p>
              </w:tc>
            </w:tr>
            <w:tr w:rsidR="005233A7" w:rsidRPr="00365D60" w14:paraId="148128E3" w14:textId="77777777" w:rsidTr="00EC721D">
              <w:tc>
                <w:tcPr>
                  <w:tcW w:w="1211" w:type="dxa"/>
                </w:tcPr>
                <w:p w14:paraId="3B9A3119" w14:textId="72AFA019"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22</w:t>
                  </w:r>
                </w:p>
              </w:tc>
              <w:tc>
                <w:tcPr>
                  <w:tcW w:w="4276" w:type="dxa"/>
                  <w:vAlign w:val="center"/>
                </w:tcPr>
                <w:p w14:paraId="255A4E78" w14:textId="595CD9BB"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15/01/2033</w:t>
                  </w:r>
                </w:p>
              </w:tc>
            </w:tr>
            <w:tr w:rsidR="005233A7" w:rsidRPr="00365D60" w14:paraId="36FC25E0" w14:textId="77777777" w:rsidTr="00EC721D">
              <w:tc>
                <w:tcPr>
                  <w:tcW w:w="1211" w:type="dxa"/>
                </w:tcPr>
                <w:p w14:paraId="3A0A5765" w14:textId="09DF2732"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23</w:t>
                  </w:r>
                </w:p>
              </w:tc>
              <w:tc>
                <w:tcPr>
                  <w:tcW w:w="4276" w:type="dxa"/>
                  <w:vAlign w:val="center"/>
                </w:tcPr>
                <w:p w14:paraId="39C789BF" w14:textId="29D98357"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15/07/2033</w:t>
                  </w:r>
                </w:p>
              </w:tc>
            </w:tr>
            <w:tr w:rsidR="005233A7" w:rsidRPr="00365D60" w14:paraId="4BA3F0D6" w14:textId="77777777" w:rsidTr="00EC721D">
              <w:tc>
                <w:tcPr>
                  <w:tcW w:w="1211" w:type="dxa"/>
                </w:tcPr>
                <w:p w14:paraId="0245D2C7" w14:textId="1C194584"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24</w:t>
                  </w:r>
                </w:p>
              </w:tc>
              <w:tc>
                <w:tcPr>
                  <w:tcW w:w="4276" w:type="dxa"/>
                  <w:vAlign w:val="center"/>
                </w:tcPr>
                <w:p w14:paraId="4BB3CBF2" w14:textId="78DBC2E9"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15/01/2034</w:t>
                  </w:r>
                </w:p>
              </w:tc>
            </w:tr>
            <w:tr w:rsidR="005233A7" w:rsidRPr="00365D60" w14:paraId="063F4626" w14:textId="77777777" w:rsidTr="00EC721D">
              <w:tc>
                <w:tcPr>
                  <w:tcW w:w="1211" w:type="dxa"/>
                </w:tcPr>
                <w:p w14:paraId="6B5B1E20" w14:textId="27BB75EF"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25</w:t>
                  </w:r>
                </w:p>
              </w:tc>
              <w:tc>
                <w:tcPr>
                  <w:tcW w:w="4276" w:type="dxa"/>
                  <w:vAlign w:val="center"/>
                </w:tcPr>
                <w:p w14:paraId="219FB068" w14:textId="79F6E07D"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15/07/2034</w:t>
                  </w:r>
                </w:p>
              </w:tc>
            </w:tr>
            <w:tr w:rsidR="005233A7" w:rsidRPr="00365D60" w14:paraId="5AD0CCC4" w14:textId="77777777" w:rsidTr="00EC721D">
              <w:tc>
                <w:tcPr>
                  <w:tcW w:w="1211" w:type="dxa"/>
                </w:tcPr>
                <w:p w14:paraId="4472D468" w14:textId="07B51C58"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26</w:t>
                  </w:r>
                </w:p>
              </w:tc>
              <w:tc>
                <w:tcPr>
                  <w:tcW w:w="4276" w:type="dxa"/>
                  <w:vAlign w:val="center"/>
                </w:tcPr>
                <w:p w14:paraId="044B60E4" w14:textId="506F958B"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15/01/2035</w:t>
                  </w:r>
                </w:p>
              </w:tc>
            </w:tr>
            <w:tr w:rsidR="005233A7" w:rsidRPr="00365D60" w14:paraId="2FC05A42" w14:textId="77777777" w:rsidTr="00EC721D">
              <w:tc>
                <w:tcPr>
                  <w:tcW w:w="1211" w:type="dxa"/>
                </w:tcPr>
                <w:p w14:paraId="174C4F0D" w14:textId="6A8DEEC3"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27</w:t>
                  </w:r>
                </w:p>
              </w:tc>
              <w:tc>
                <w:tcPr>
                  <w:tcW w:w="4276" w:type="dxa"/>
                  <w:vAlign w:val="center"/>
                </w:tcPr>
                <w:p w14:paraId="65816303" w14:textId="2C8CE7F9"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15/07/2035</w:t>
                  </w:r>
                </w:p>
              </w:tc>
            </w:tr>
            <w:tr w:rsidR="005233A7" w:rsidRPr="00365D60" w14:paraId="75FFDBAC" w14:textId="77777777" w:rsidTr="00EC721D">
              <w:tc>
                <w:tcPr>
                  <w:tcW w:w="1211" w:type="dxa"/>
                </w:tcPr>
                <w:p w14:paraId="01536C99" w14:textId="4D57B0F9"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28</w:t>
                  </w:r>
                </w:p>
              </w:tc>
              <w:tc>
                <w:tcPr>
                  <w:tcW w:w="4276" w:type="dxa"/>
                  <w:vAlign w:val="center"/>
                </w:tcPr>
                <w:p w14:paraId="7879DC28" w14:textId="4597DA5D"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15/01/2036</w:t>
                  </w:r>
                </w:p>
              </w:tc>
            </w:tr>
            <w:tr w:rsidR="005233A7" w:rsidRPr="00365D60" w14:paraId="1BF74BA0" w14:textId="77777777" w:rsidTr="00EC721D">
              <w:tc>
                <w:tcPr>
                  <w:tcW w:w="1211" w:type="dxa"/>
                </w:tcPr>
                <w:p w14:paraId="739B4580" w14:textId="78E6E8C2"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29</w:t>
                  </w:r>
                </w:p>
              </w:tc>
              <w:tc>
                <w:tcPr>
                  <w:tcW w:w="4276" w:type="dxa"/>
                  <w:vAlign w:val="center"/>
                </w:tcPr>
                <w:p w14:paraId="26C62E9F" w14:textId="53A59D83"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color w:val="000000"/>
                    </w:rPr>
                    <w:t>15/07/2036</w:t>
                  </w:r>
                </w:p>
              </w:tc>
            </w:tr>
            <w:tr w:rsidR="005233A7" w:rsidRPr="00365D60" w14:paraId="585C3CCC" w14:textId="77777777" w:rsidTr="00EC721D">
              <w:tc>
                <w:tcPr>
                  <w:tcW w:w="1211" w:type="dxa"/>
                </w:tcPr>
                <w:p w14:paraId="791D0600" w14:textId="39C0D945" w:rsidR="005233A7" w:rsidRPr="00365D60" w:rsidRDefault="005233A7" w:rsidP="005233A7">
                  <w:pPr>
                    <w:pStyle w:val="p0"/>
                    <w:suppressAutoHyphens/>
                    <w:spacing w:before="60" w:after="60" w:line="240" w:lineRule="auto"/>
                    <w:jc w:val="center"/>
                    <w:rPr>
                      <w:rFonts w:ascii="Calibri" w:hAnsi="Calibri" w:cs="Calibri"/>
                      <w:b/>
                      <w:color w:val="000000"/>
                    </w:rPr>
                  </w:pPr>
                  <w:r w:rsidRPr="00365D60">
                    <w:rPr>
                      <w:rFonts w:ascii="Calibri" w:hAnsi="Calibri" w:cs="Calibri"/>
                      <w:b/>
                      <w:color w:val="000000"/>
                    </w:rPr>
                    <w:t>30</w:t>
                  </w:r>
                </w:p>
              </w:tc>
              <w:tc>
                <w:tcPr>
                  <w:tcW w:w="4276" w:type="dxa"/>
                </w:tcPr>
                <w:p w14:paraId="697C15C6" w14:textId="5E877156" w:rsidR="005233A7" w:rsidRPr="00365D60" w:rsidRDefault="005233A7" w:rsidP="005233A7">
                  <w:pPr>
                    <w:pStyle w:val="p0"/>
                    <w:suppressAutoHyphens/>
                    <w:spacing w:before="60" w:after="60" w:line="240" w:lineRule="auto"/>
                    <w:jc w:val="center"/>
                    <w:rPr>
                      <w:rFonts w:ascii="Calibri" w:hAnsi="Calibri" w:cs="Calibri"/>
                      <w:color w:val="000000"/>
                    </w:rPr>
                  </w:pPr>
                  <w:r w:rsidRPr="00365D60">
                    <w:rPr>
                      <w:rFonts w:ascii="Calibri" w:hAnsi="Calibri" w:cs="Calibri"/>
                    </w:rPr>
                    <w:t>Data de Vencimento da Segunda Série</w:t>
                  </w:r>
                </w:p>
              </w:tc>
            </w:tr>
          </w:tbl>
          <w:p w14:paraId="157BA32C" w14:textId="77777777" w:rsidR="005233A7" w:rsidRPr="00365D60" w:rsidRDefault="005233A7" w:rsidP="00185E3D">
            <w:pPr>
              <w:pStyle w:val="Body"/>
              <w:rPr>
                <w:rFonts w:ascii="Calibri" w:hAnsi="Calibri" w:cs="Calibri"/>
                <w:sz w:val="24"/>
              </w:rPr>
            </w:pPr>
          </w:p>
        </w:tc>
      </w:tr>
      <w:tr w:rsidR="00720C65" w:rsidRPr="00365D60" w14:paraId="26A79A7A" w14:textId="77777777" w:rsidTr="009955CC">
        <w:trPr>
          <w:jc w:val="center"/>
        </w:trPr>
        <w:tc>
          <w:tcPr>
            <w:tcW w:w="3119" w:type="dxa"/>
          </w:tcPr>
          <w:p w14:paraId="61A86D14" w14:textId="0174C671" w:rsidR="00246319" w:rsidRPr="00C6089D" w:rsidRDefault="00246319" w:rsidP="00AB0823">
            <w:pPr>
              <w:pStyle w:val="Body"/>
              <w:jc w:val="left"/>
              <w:rPr>
                <w:rFonts w:ascii="Calibri" w:hAnsi="Calibri" w:cs="Calibri"/>
                <w:b/>
                <w:sz w:val="24"/>
              </w:rPr>
            </w:pPr>
            <w:bookmarkStart w:id="26" w:name="_Toc428328032"/>
            <w:r w:rsidRPr="00C6089D">
              <w:rPr>
                <w:rFonts w:ascii="Calibri" w:hAnsi="Calibri" w:cs="Calibri"/>
                <w:b/>
                <w:sz w:val="24"/>
              </w:rPr>
              <w:lastRenderedPageBreak/>
              <w:t xml:space="preserve">Forma de Subscrição e Integralização </w:t>
            </w:r>
            <w:bookmarkEnd w:id="26"/>
          </w:p>
        </w:tc>
        <w:tc>
          <w:tcPr>
            <w:tcW w:w="5611" w:type="dxa"/>
          </w:tcPr>
          <w:p w14:paraId="156D8C2F" w14:textId="1BAAAD05" w:rsidR="009C4350" w:rsidRPr="00C6089D" w:rsidRDefault="00EC721D" w:rsidP="00DB59D4">
            <w:pPr>
              <w:pStyle w:val="Body"/>
              <w:spacing w:line="240" w:lineRule="auto"/>
              <w:rPr>
                <w:rFonts w:ascii="Calibri" w:hAnsi="Calibri" w:cs="Calibri"/>
                <w:sz w:val="24"/>
                <w:u w:val="single"/>
              </w:rPr>
            </w:pPr>
            <w:r w:rsidRPr="00365D60">
              <w:rPr>
                <w:rFonts w:ascii="Calibri" w:hAnsi="Calibri" w:cs="Calibri"/>
                <w:sz w:val="24"/>
              </w:rPr>
              <w:t>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p>
        </w:tc>
      </w:tr>
      <w:tr w:rsidR="001E7279" w:rsidRPr="00365D60" w14:paraId="0E79C595" w14:textId="77777777" w:rsidTr="009955CC">
        <w:trPr>
          <w:jc w:val="center"/>
        </w:trPr>
        <w:tc>
          <w:tcPr>
            <w:tcW w:w="3119" w:type="dxa"/>
          </w:tcPr>
          <w:p w14:paraId="03B32C79" w14:textId="2C08BCA8" w:rsidR="001E7279" w:rsidRPr="00365D60" w:rsidRDefault="001E7279" w:rsidP="001E7279">
            <w:pPr>
              <w:pStyle w:val="Body"/>
              <w:jc w:val="left"/>
              <w:rPr>
                <w:rFonts w:ascii="Calibri" w:hAnsi="Calibri" w:cs="Calibri"/>
                <w:b/>
                <w:sz w:val="24"/>
              </w:rPr>
            </w:pPr>
            <w:r w:rsidRPr="00365D60">
              <w:rPr>
                <w:rFonts w:ascii="Calibri" w:hAnsi="Calibri" w:cs="Calibri"/>
                <w:b/>
                <w:sz w:val="24"/>
              </w:rPr>
              <w:t>Comprovação de Titularidade das Debêntures</w:t>
            </w:r>
          </w:p>
        </w:tc>
        <w:tc>
          <w:tcPr>
            <w:tcW w:w="5611" w:type="dxa"/>
          </w:tcPr>
          <w:p w14:paraId="0BBDE152" w14:textId="663A4216" w:rsidR="001E7279" w:rsidRPr="00365D60" w:rsidRDefault="001E7279" w:rsidP="00595261">
            <w:pPr>
              <w:pStyle w:val="Body"/>
              <w:spacing w:line="264" w:lineRule="auto"/>
              <w:rPr>
                <w:rFonts w:ascii="Calibri" w:hAnsi="Calibri" w:cs="Calibri"/>
                <w:sz w:val="24"/>
              </w:rPr>
            </w:pPr>
            <w:r w:rsidRPr="00365D60">
              <w:rPr>
                <w:rFonts w:ascii="Calibri" w:hAnsi="Calibri" w:cs="Calibri"/>
                <w:sz w:val="24"/>
              </w:rPr>
              <w:t xml:space="preserve">Para todos os fins de direito, a titularidade das Debêntures será comprovada pelo extrato de conta de depósito emitido pelo Escriturador e, adicionalmente, </w:t>
            </w:r>
            <w:r w:rsidRPr="00365D60">
              <w:rPr>
                <w:rFonts w:ascii="Calibri" w:hAnsi="Calibri" w:cs="Calibri"/>
                <w:sz w:val="24"/>
              </w:rPr>
              <w:lastRenderedPageBreak/>
              <w:t>com relação às Debêntures que estiverem custodiadas eletronicamente na B3, conforme o caso, será expedido por esta extrato em nome do Debenturista, que servirá de comprovante de titularidade de tais Debêntures.</w:t>
            </w:r>
          </w:p>
        </w:tc>
      </w:tr>
      <w:tr w:rsidR="001E7279" w:rsidRPr="00365D60" w14:paraId="374998F4" w14:textId="77777777" w:rsidTr="009955CC">
        <w:trPr>
          <w:jc w:val="center"/>
        </w:trPr>
        <w:tc>
          <w:tcPr>
            <w:tcW w:w="3119" w:type="dxa"/>
          </w:tcPr>
          <w:p w14:paraId="458AA288" w14:textId="36F5B7F0" w:rsidR="001E7279" w:rsidRPr="00365D60" w:rsidRDefault="001E7279" w:rsidP="001E7279">
            <w:pPr>
              <w:pStyle w:val="Body"/>
              <w:jc w:val="left"/>
              <w:rPr>
                <w:rFonts w:ascii="Calibri" w:hAnsi="Calibri" w:cs="Calibri"/>
                <w:b/>
                <w:sz w:val="24"/>
              </w:rPr>
            </w:pPr>
            <w:r w:rsidRPr="00365D60">
              <w:rPr>
                <w:rFonts w:ascii="Calibri" w:hAnsi="Calibri" w:cs="Calibri"/>
                <w:b/>
                <w:sz w:val="24"/>
              </w:rPr>
              <w:lastRenderedPageBreak/>
              <w:t>Tratamento Tributário e Imunidade Tributária dos Debenturistas</w:t>
            </w:r>
          </w:p>
        </w:tc>
        <w:tc>
          <w:tcPr>
            <w:tcW w:w="5611" w:type="dxa"/>
          </w:tcPr>
          <w:p w14:paraId="0B9E35B4" w14:textId="24C0FBA1" w:rsidR="001E7279" w:rsidRPr="00365D60" w:rsidRDefault="001E7279" w:rsidP="001E7279">
            <w:pPr>
              <w:pStyle w:val="Body"/>
              <w:rPr>
                <w:rFonts w:ascii="Calibri" w:hAnsi="Calibri" w:cs="Calibri"/>
                <w:sz w:val="24"/>
              </w:rPr>
            </w:pPr>
            <w:r w:rsidRPr="00365D60">
              <w:rPr>
                <w:rFonts w:ascii="Calibri" w:hAnsi="Calibri" w:cs="Calibri"/>
                <w:sz w:val="24"/>
              </w:rPr>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88039A" w:rsidRPr="0088039A">
              <w:rPr>
                <w:rFonts w:ascii="Calibri" w:hAnsi="Calibri" w:cs="Calibri"/>
                <w:sz w:val="24"/>
              </w:rPr>
              <w:t>Agente de Liquidação</w:t>
            </w:r>
            <w:r w:rsidRPr="00365D60">
              <w:rPr>
                <w:rFonts w:ascii="Calibri" w:hAnsi="Calibri" w:cs="Calibri"/>
                <w:sz w:val="24"/>
              </w:rPr>
              <w:t xml:space="preserv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88039A" w:rsidRPr="0088039A">
              <w:rPr>
                <w:rFonts w:ascii="Calibri" w:hAnsi="Calibri" w:cs="Calibri"/>
                <w:sz w:val="24"/>
              </w:rPr>
              <w:t>Agente de Liquidação</w:t>
            </w:r>
            <w:r w:rsidRPr="00365D60">
              <w:rPr>
                <w:rFonts w:ascii="Calibri" w:hAnsi="Calibri" w:cs="Calibri"/>
                <w:sz w:val="24"/>
              </w:rPr>
              <w:t xml:space="preserve"> ou ao Escriturador, conforme o caso, tal alteração no prazo de 2 (dois) Dias Úteis contados da data da formalização da referida alteração.</w:t>
            </w:r>
          </w:p>
          <w:p w14:paraId="4F7EE0C1" w14:textId="77777777" w:rsidR="001E7279" w:rsidRPr="00365D60" w:rsidRDefault="001E7279" w:rsidP="001E7279">
            <w:pPr>
              <w:pStyle w:val="Body"/>
              <w:rPr>
                <w:rFonts w:ascii="Calibri" w:hAnsi="Calibri" w:cs="Calibri"/>
                <w:sz w:val="24"/>
              </w:rPr>
            </w:pPr>
            <w:r w:rsidRPr="00365D60">
              <w:rPr>
                <w:rFonts w:ascii="Calibri" w:hAnsi="Calibri" w:cs="Calibri"/>
                <w:sz w:val="24"/>
              </w:rPr>
              <w:t>Caso a Emissora destine os recursos obtidos com a Emissão de forma diversa da prevista na Escritura de Emissão, dando causa ao seu desenquadramento definitivo da Lei 12.431, a Emissora será responsável pelo pagamento de multa equivalente a 20% (vinte por cento) do valor captado não alocado no Projeto de Investimento, observado o artigo 2º, parágrafos 5º, 6º e 7º, da Lei 12.431.</w:t>
            </w:r>
          </w:p>
          <w:p w14:paraId="728A1B63" w14:textId="790A8F7E" w:rsidR="001E7279" w:rsidRPr="00365D60" w:rsidRDefault="001E7279" w:rsidP="00945B8F">
            <w:pPr>
              <w:pStyle w:val="Body"/>
              <w:spacing w:line="240" w:lineRule="auto"/>
              <w:rPr>
                <w:rFonts w:ascii="Calibri" w:hAnsi="Calibri" w:cs="Calibri"/>
                <w:sz w:val="24"/>
              </w:rPr>
            </w:pPr>
            <w:r w:rsidRPr="00365D60">
              <w:rPr>
                <w:rFonts w:ascii="Calibri" w:hAnsi="Calibri" w:cs="Calibri"/>
                <w:b/>
                <w:bCs/>
                <w:sz w:val="24"/>
              </w:rPr>
              <w:t xml:space="preserve">Para mais informações sobre o Tratamento Tributário, consulte as Seções “Informações Relativas à Emissão, à Oferta e às Debêntures – Características da Emissão e das Debêntures – Tratamento Tributário e Imunidade </w:t>
            </w:r>
            <w:r w:rsidRPr="00365D60">
              <w:rPr>
                <w:rFonts w:ascii="Calibri" w:hAnsi="Calibri" w:cs="Calibri"/>
                <w:b/>
                <w:bCs/>
                <w:sz w:val="24"/>
              </w:rPr>
              <w:lastRenderedPageBreak/>
              <w:t xml:space="preserve">Tributária dos Debenturistas” e “Fatores de Risco Relacionados à Oferta e às Debêntures – </w:t>
            </w:r>
            <w:r w:rsidRPr="00365D60">
              <w:rPr>
                <w:rFonts w:ascii="Calibri" w:hAnsi="Calibri" w:cs="Calibri"/>
                <w:b/>
                <w:bCs/>
                <w:iCs/>
                <w:sz w:val="24"/>
                <w:lang w:eastAsia="pt-BR"/>
              </w:rPr>
              <w:t>As Debêntures podem deixar de satisfazer determinadas características que as enquadrem como debêntures com incentivo fiscal”, no Prospecto Definitivo</w:t>
            </w:r>
            <w:r w:rsidRPr="00365D60">
              <w:rPr>
                <w:rFonts w:ascii="Calibri" w:hAnsi="Calibri" w:cs="Calibri"/>
                <w:b/>
                <w:i/>
                <w:sz w:val="24"/>
                <w:lang w:eastAsia="pt-BR"/>
              </w:rPr>
              <w:t>.</w:t>
            </w:r>
            <w:r w:rsidRPr="00365D60">
              <w:rPr>
                <w:rFonts w:ascii="Calibri" w:hAnsi="Calibri" w:cs="Calibri"/>
                <w:sz w:val="24"/>
              </w:rPr>
              <w:t xml:space="preserve"> </w:t>
            </w:r>
          </w:p>
        </w:tc>
      </w:tr>
      <w:tr w:rsidR="001E7279" w:rsidRPr="00365D60" w14:paraId="0E910804" w14:textId="77777777" w:rsidTr="009955CC">
        <w:trPr>
          <w:jc w:val="center"/>
        </w:trPr>
        <w:tc>
          <w:tcPr>
            <w:tcW w:w="3119" w:type="dxa"/>
          </w:tcPr>
          <w:p w14:paraId="552FE54C" w14:textId="498E8AFC" w:rsidR="001E7279" w:rsidRPr="00C6089D" w:rsidRDefault="001E7279" w:rsidP="001E7279">
            <w:pPr>
              <w:pStyle w:val="Body"/>
              <w:jc w:val="left"/>
              <w:rPr>
                <w:rFonts w:ascii="Calibri" w:hAnsi="Calibri" w:cs="Calibri"/>
                <w:b/>
                <w:sz w:val="24"/>
              </w:rPr>
            </w:pPr>
            <w:bookmarkStart w:id="27" w:name="_Toc428328034"/>
            <w:r w:rsidRPr="00C6089D">
              <w:rPr>
                <w:rFonts w:ascii="Calibri" w:hAnsi="Calibri" w:cs="Calibri"/>
                <w:b/>
                <w:sz w:val="24"/>
              </w:rPr>
              <w:lastRenderedPageBreak/>
              <w:t>Aquisição Facultativa</w:t>
            </w:r>
            <w:bookmarkEnd w:id="27"/>
            <w:r w:rsidRPr="00C6089D">
              <w:rPr>
                <w:rFonts w:ascii="Calibri" w:hAnsi="Calibri" w:cs="Calibri"/>
                <w:b/>
                <w:sz w:val="24"/>
              </w:rPr>
              <w:t xml:space="preserve"> </w:t>
            </w:r>
          </w:p>
        </w:tc>
        <w:tc>
          <w:tcPr>
            <w:tcW w:w="5611" w:type="dxa"/>
          </w:tcPr>
          <w:p w14:paraId="4B5445CD" w14:textId="25C311BC" w:rsidR="001E7279" w:rsidRPr="00C6089D" w:rsidRDefault="00906D5C" w:rsidP="001E7279">
            <w:pPr>
              <w:pStyle w:val="Body"/>
              <w:rPr>
                <w:rFonts w:ascii="Calibri" w:hAnsi="Calibri" w:cs="Calibri"/>
                <w:sz w:val="24"/>
              </w:rPr>
            </w:pPr>
            <w:bookmarkStart w:id="28" w:name="_Ref420336687"/>
            <w:r w:rsidRPr="004057A3">
              <w:rPr>
                <w:rFonts w:ascii="Calibri" w:hAnsi="Calibri" w:cs="Calibri"/>
                <w:sz w:val="24"/>
              </w:rPr>
              <w:t xml:space="preserve">A Emissora e suas partes relacionadas poderão, a qualquer tempo </w:t>
            </w:r>
            <w:r w:rsidR="004D7752">
              <w:rPr>
                <w:rFonts w:ascii="Calibri" w:hAnsi="Calibri" w:cs="Calibri"/>
                <w:sz w:val="24"/>
              </w:rPr>
              <w:t>após 24 meses</w:t>
            </w:r>
            <w:r w:rsidR="00113E52">
              <w:rPr>
                <w:rFonts w:ascii="Calibri" w:hAnsi="Calibri" w:cs="Calibri"/>
                <w:sz w:val="24"/>
              </w:rPr>
              <w:t xml:space="preserve"> da Data de Emissão</w:t>
            </w:r>
            <w:r w:rsidR="004D7752">
              <w:rPr>
                <w:rFonts w:ascii="Calibri" w:hAnsi="Calibri" w:cs="Calibri"/>
                <w:sz w:val="24"/>
              </w:rPr>
              <w:t>,</w:t>
            </w:r>
            <w:r w:rsidRPr="004057A3">
              <w:rPr>
                <w:rFonts w:ascii="Calibri" w:hAnsi="Calibri" w:cs="Calibri"/>
                <w:sz w:val="24"/>
              </w:rPr>
              <w:t xml:space="preserve"> nos termos do artigo 1º, parágrafo 1º, inciso II, combinado com o artigo 2º, parágrafo 1º, da Lei 12.431, ou antes de tal data, desde que venha a ser legalmente permitido, nos termos da Lei 12.431, da regulamentação do CMN ou de outra legislação ou regulamentação aplicável e observados ainda os termos da Instrução da CVM nº 620, de 17 de março de 2020, adquirir parte ou a totalidade das Debêntures, a seu critério</w:t>
            </w:r>
            <w:r w:rsidR="001E7279" w:rsidRPr="00365D60">
              <w:rPr>
                <w:rFonts w:ascii="Calibri" w:hAnsi="Calibri" w:cs="Calibri"/>
                <w:sz w:val="24"/>
              </w:rPr>
              <w:t>, condicionado ao aceite do respectivo Debenturista vendedor e observado o disposto no artigo 55, parágrafo 3º, da Lei das Sociedades por Ações, desde que observado as eventuais regras expedidas pela CVM, devendo tal fato, se assim exigido pelas disposições legais e regulamentares aplicáveis, constar do relatório da administração e das Demonstrações Financeiras As Debêntures adquiridas pela Emissora de acordo com esta Cláusula poderão, observados os termos da Lei 12.431, da regulamentação do CMN ou de outra legislação ou regulamentação aplicável, a critério da Emissora, ser canceladas, permanecer na tesouraria da Emissora, ou ser novamente colocadas no mercado. As Debêntures adquiridas pela Emissora para permanência em tesouraria, se e quando recolocadas no mercado, farão jus à mesma Remuneração aplicável às demais Debêntures.</w:t>
            </w:r>
          </w:p>
          <w:p w14:paraId="455FFD9B" w14:textId="36DA2BD4" w:rsidR="001E7279" w:rsidRPr="00C6089D" w:rsidRDefault="001E7279" w:rsidP="001E7279">
            <w:pPr>
              <w:pStyle w:val="Body"/>
              <w:rPr>
                <w:rFonts w:ascii="Calibri" w:hAnsi="Calibri" w:cs="Calibri"/>
                <w:sz w:val="24"/>
              </w:rPr>
            </w:pPr>
            <w:r w:rsidRPr="00365D60">
              <w:rPr>
                <w:rFonts w:ascii="Calibri" w:hAnsi="Calibri" w:cs="Calibri"/>
                <w:b/>
                <w:sz w:val="24"/>
              </w:rPr>
              <w:t xml:space="preserve">Para mais informações sobre a Aquisição Facultativa, veja a seção “Fatores de Risco Relacionados à Oferta e às Debêntures - </w:t>
            </w:r>
            <w:r w:rsidR="00C671F8" w:rsidRPr="00C671F8">
              <w:rPr>
                <w:rFonts w:ascii="Calibri" w:hAnsi="Calibri" w:cs="Calibri"/>
                <w:b/>
                <w:sz w:val="24"/>
              </w:rPr>
              <w:t xml:space="preserve">As Debêntures poderão ser objeto de </w:t>
            </w:r>
            <w:r w:rsidR="00C671F8" w:rsidRPr="00C671F8">
              <w:rPr>
                <w:rFonts w:ascii="Calibri" w:hAnsi="Calibri" w:cs="Calibri"/>
                <w:b/>
                <w:sz w:val="24"/>
              </w:rPr>
              <w:lastRenderedPageBreak/>
              <w:t>Oferta de Resgate Antecipado, Aquisição Facultativa e Resgate Obrigatório Total, nos termos previstos na Escritura de Emissão, o que poderá impactar de maneira adversa na liquidez das Debêntures no mercado secundário</w:t>
            </w:r>
            <w:r w:rsidRPr="00365D60">
              <w:rPr>
                <w:rFonts w:ascii="Calibri" w:hAnsi="Calibri" w:cs="Calibri"/>
                <w:b/>
                <w:sz w:val="24"/>
              </w:rPr>
              <w:t>”, no Prospecto Definitivo.</w:t>
            </w:r>
            <w:bookmarkEnd w:id="28"/>
          </w:p>
        </w:tc>
      </w:tr>
      <w:tr w:rsidR="001E7279" w:rsidRPr="00365D60" w14:paraId="49B1FA7F" w14:textId="77777777" w:rsidTr="009955CC">
        <w:trPr>
          <w:jc w:val="center"/>
        </w:trPr>
        <w:tc>
          <w:tcPr>
            <w:tcW w:w="3119" w:type="dxa"/>
          </w:tcPr>
          <w:p w14:paraId="4685438F" w14:textId="1BBB2BBB" w:rsidR="001E7279" w:rsidRPr="00365D60" w:rsidRDefault="001E7279" w:rsidP="001E7279">
            <w:pPr>
              <w:pStyle w:val="Body"/>
              <w:jc w:val="left"/>
              <w:rPr>
                <w:rFonts w:ascii="Calibri" w:hAnsi="Calibri" w:cs="Calibri"/>
                <w:b/>
                <w:sz w:val="24"/>
              </w:rPr>
            </w:pPr>
            <w:r w:rsidRPr="00365D60">
              <w:rPr>
                <w:rFonts w:ascii="Calibri" w:hAnsi="Calibri" w:cs="Calibri"/>
                <w:b/>
                <w:sz w:val="24"/>
              </w:rPr>
              <w:lastRenderedPageBreak/>
              <w:t>Resgate Obrigatório Total</w:t>
            </w:r>
          </w:p>
        </w:tc>
        <w:tc>
          <w:tcPr>
            <w:tcW w:w="5611" w:type="dxa"/>
          </w:tcPr>
          <w:p w14:paraId="76896226" w14:textId="11358E36" w:rsidR="001E7279" w:rsidRPr="00365D60" w:rsidRDefault="001E7279" w:rsidP="001E7279">
            <w:pPr>
              <w:pStyle w:val="Body"/>
              <w:rPr>
                <w:rFonts w:ascii="Calibri" w:eastAsia="Calibri" w:hAnsi="Calibri" w:cs="Calibri"/>
                <w:sz w:val="24"/>
              </w:rPr>
            </w:pPr>
            <w:r w:rsidRPr="00365D60">
              <w:rPr>
                <w:rFonts w:ascii="Calibri" w:eastAsia="Calibri" w:hAnsi="Calibri" w:cs="Calibri"/>
                <w:sz w:val="24"/>
              </w:rPr>
              <w:t xml:space="preserve">Ocorrido </w:t>
            </w:r>
            <w:r w:rsidR="00906D5C" w:rsidRPr="004057A3">
              <w:rPr>
                <w:rFonts w:ascii="Calibri" w:eastAsia="Calibri" w:hAnsi="Calibri" w:cs="Calibri"/>
                <w:sz w:val="24"/>
              </w:rPr>
              <w:t>o evento previsto na Cláusula 6.9.4 da Escritura de Emissão</w:t>
            </w:r>
            <w:r w:rsidRPr="00365D60">
              <w:rPr>
                <w:rFonts w:ascii="Calibri" w:eastAsia="Calibri" w:hAnsi="Calibri" w:cs="Calibri"/>
                <w:sz w:val="24"/>
              </w:rPr>
              <w:t>, e desde que transcorrido o prazo médio ponderado mínimo de 4 (quatro) anos, considerando os pagamentos transcorridos entre a Data de Emissão e a data do efetivo resgate antecipado, nos termos do inciso I, do artigo 1º, da Resolução CMN 4.751 e calculado nos termos da Resolução do CMN nº 3.947, de 27 de janeiro de 2011 ("</w:t>
            </w:r>
            <w:r w:rsidRPr="00365D60">
              <w:rPr>
                <w:rFonts w:ascii="Calibri" w:eastAsia="Calibri" w:hAnsi="Calibri" w:cs="Calibri"/>
                <w:sz w:val="24"/>
                <w:u w:val="single"/>
              </w:rPr>
              <w:t>Resolução CMN 3.947</w:t>
            </w:r>
            <w:r w:rsidRPr="00365D60">
              <w:rPr>
                <w:rFonts w:ascii="Calibri" w:eastAsia="Calibri" w:hAnsi="Calibri" w:cs="Calibri"/>
                <w:sz w:val="24"/>
              </w:rPr>
              <w:t>"), a Emissora estará obrigada a realizar o resgate antecipado da totalidade das Debêntures, observado o procedimento descrito na Escritura de Emissão ("</w:t>
            </w:r>
            <w:r w:rsidRPr="00365D60">
              <w:rPr>
                <w:rFonts w:ascii="Calibri" w:eastAsia="Calibri" w:hAnsi="Calibri" w:cs="Calibri"/>
                <w:sz w:val="24"/>
                <w:u w:val="single"/>
              </w:rPr>
              <w:t>Resgate Obrigatório</w:t>
            </w:r>
            <w:r w:rsidRPr="00365D60">
              <w:rPr>
                <w:rFonts w:ascii="Calibri" w:eastAsia="Calibri" w:hAnsi="Calibri" w:cs="Calibri"/>
                <w:sz w:val="24"/>
              </w:rPr>
              <w:t>").</w:t>
            </w:r>
          </w:p>
          <w:p w14:paraId="0F873502" w14:textId="77777777" w:rsidR="001E7279" w:rsidRPr="00365D60" w:rsidRDefault="001E7279" w:rsidP="001E7279">
            <w:pPr>
              <w:pStyle w:val="Body"/>
              <w:rPr>
                <w:rFonts w:ascii="Calibri" w:eastAsia="Calibri" w:hAnsi="Calibri" w:cs="Calibri"/>
                <w:sz w:val="24"/>
              </w:rPr>
            </w:pPr>
            <w:r w:rsidRPr="00365D60">
              <w:rPr>
                <w:rFonts w:ascii="Calibri" w:eastAsia="Calibri" w:hAnsi="Calibri" w:cs="Calibri"/>
                <w:sz w:val="24"/>
              </w:rPr>
              <w:t>O Resgate Obrigatório poderá ser realizado apenas em períodos de, no mínimo, 180 (cento e oitenta) dias contados do primeiro Dia Útil após ser alcançado prazo médio ponderado mínimo de 4 (quatro) anos entre a Data de Emissão e a data do efetivo Resgate Obrigatório ("</w:t>
            </w:r>
            <w:r w:rsidRPr="00365D60">
              <w:rPr>
                <w:rFonts w:ascii="Calibri" w:eastAsia="Calibri" w:hAnsi="Calibri" w:cs="Calibri"/>
                <w:sz w:val="24"/>
                <w:u w:val="single"/>
              </w:rPr>
              <w:t>Data de Resgate</w:t>
            </w:r>
            <w:r w:rsidRPr="00365D60">
              <w:rPr>
                <w:rFonts w:ascii="Calibri" w:eastAsia="Calibri" w:hAnsi="Calibri" w:cs="Calibri"/>
                <w:sz w:val="24"/>
              </w:rPr>
              <w:t>"), calculado nos termos da Resolução CMN 3.947, sendo certo que a Emissora deverá realizar o Resgate Obrigatório na Data de Resgate subsequente à verificação da aquisição facultativa.</w:t>
            </w:r>
          </w:p>
          <w:p w14:paraId="017D9461" w14:textId="352D8165" w:rsidR="001E7279" w:rsidRPr="00365D60" w:rsidRDefault="00906D5C" w:rsidP="00324387">
            <w:pPr>
              <w:pStyle w:val="Body"/>
              <w:rPr>
                <w:rFonts w:ascii="Calibri" w:hAnsi="Calibri" w:cs="Calibri"/>
                <w:sz w:val="24"/>
              </w:rPr>
            </w:pPr>
            <w:r w:rsidRPr="00A11881">
              <w:rPr>
                <w:rFonts w:ascii="Calibri" w:eastAsia="Calibri" w:hAnsi="Calibri" w:cs="Calibri"/>
                <w:b/>
                <w:bCs/>
                <w:sz w:val="24"/>
              </w:rPr>
              <w:t xml:space="preserve">Para mais informações sobre </w:t>
            </w:r>
            <w:r>
              <w:rPr>
                <w:rFonts w:ascii="Calibri" w:eastAsia="Calibri" w:hAnsi="Calibri" w:cs="Calibri"/>
                <w:b/>
                <w:bCs/>
                <w:sz w:val="24"/>
              </w:rPr>
              <w:t>o Resgate Obrigatório</w:t>
            </w:r>
            <w:r w:rsidR="00C671F8">
              <w:rPr>
                <w:rFonts w:ascii="Calibri" w:eastAsia="Calibri" w:hAnsi="Calibri" w:cs="Calibri"/>
                <w:b/>
                <w:bCs/>
                <w:sz w:val="24"/>
              </w:rPr>
              <w:t xml:space="preserve"> Total</w:t>
            </w:r>
            <w:r w:rsidRPr="00A11881">
              <w:rPr>
                <w:rFonts w:ascii="Calibri" w:eastAsia="Calibri" w:hAnsi="Calibri" w:cs="Calibri"/>
                <w:b/>
                <w:bCs/>
                <w:sz w:val="24"/>
              </w:rPr>
              <w:t xml:space="preserve">, </w:t>
            </w:r>
            <w:r w:rsidRPr="00C671F8">
              <w:rPr>
                <w:rFonts w:ascii="Calibri" w:eastAsia="Calibri" w:hAnsi="Calibri" w:cs="Calibri"/>
                <w:b/>
                <w:bCs/>
                <w:sz w:val="24"/>
              </w:rPr>
              <w:t xml:space="preserve">consulte a cláusula 7.5 e seguintes da Escritura de Emissão, a Seção “Características da Emissão – </w:t>
            </w:r>
            <w:r w:rsidRPr="00232844">
              <w:rPr>
                <w:rFonts w:ascii="Calibri" w:eastAsia="Calibri" w:hAnsi="Calibri"/>
                <w:b/>
                <w:sz w:val="24"/>
              </w:rPr>
              <w:t>Resgate Obrigatório</w:t>
            </w:r>
            <w:r w:rsidR="00C671F8" w:rsidRPr="00C671F8">
              <w:rPr>
                <w:rFonts w:ascii="Calibri" w:eastAsia="Calibri" w:hAnsi="Calibri" w:cs="Calibri"/>
                <w:b/>
                <w:bCs/>
                <w:sz w:val="24"/>
              </w:rPr>
              <w:t xml:space="preserve"> Total</w:t>
            </w:r>
            <w:r w:rsidRPr="00C671F8">
              <w:rPr>
                <w:rFonts w:ascii="Calibri" w:eastAsia="Calibri" w:hAnsi="Calibri" w:cs="Calibri"/>
                <w:b/>
                <w:bCs/>
                <w:sz w:val="24"/>
              </w:rPr>
              <w:t xml:space="preserve">” e “Fatores de Risco Relacionados à Oferta e às Debêntures – </w:t>
            </w:r>
            <w:r w:rsidR="00C671F8" w:rsidRPr="00232844">
              <w:rPr>
                <w:rFonts w:ascii="Calibri" w:eastAsia="Calibri" w:hAnsi="Calibri"/>
                <w:b/>
                <w:sz w:val="24"/>
              </w:rPr>
              <w:t>As Debêntures poderão ser objeto de Oferta de Resgate Antecipado</w:t>
            </w:r>
            <w:r w:rsidR="00C671F8" w:rsidRPr="00C671F8">
              <w:rPr>
                <w:rFonts w:ascii="Calibri" w:eastAsia="Calibri" w:hAnsi="Calibri" w:cs="Calibri"/>
                <w:b/>
                <w:bCs/>
                <w:sz w:val="24"/>
              </w:rPr>
              <w:t>,</w:t>
            </w:r>
            <w:r w:rsidR="00C671F8" w:rsidRPr="00232844">
              <w:rPr>
                <w:rFonts w:ascii="Calibri" w:eastAsia="Calibri" w:hAnsi="Calibri"/>
                <w:b/>
                <w:sz w:val="24"/>
              </w:rPr>
              <w:t xml:space="preserve"> Aquisição Facultativa</w:t>
            </w:r>
            <w:r w:rsidR="00C671F8" w:rsidRPr="00C671F8">
              <w:rPr>
                <w:rFonts w:ascii="Calibri" w:eastAsia="Calibri" w:hAnsi="Calibri" w:cs="Calibri"/>
                <w:b/>
                <w:bCs/>
                <w:sz w:val="24"/>
              </w:rPr>
              <w:t xml:space="preserve"> e Resgate Obrigatório Total</w:t>
            </w:r>
            <w:r w:rsidR="00C671F8" w:rsidRPr="00232844">
              <w:rPr>
                <w:rFonts w:ascii="Calibri" w:eastAsia="Calibri" w:hAnsi="Calibri"/>
                <w:b/>
                <w:sz w:val="24"/>
              </w:rPr>
              <w:t xml:space="preserve">, nos termos previstos na Escritura de </w:t>
            </w:r>
            <w:r w:rsidR="00C671F8" w:rsidRPr="00232844">
              <w:rPr>
                <w:rFonts w:ascii="Calibri" w:eastAsia="Calibri" w:hAnsi="Calibri"/>
                <w:b/>
                <w:sz w:val="24"/>
              </w:rPr>
              <w:lastRenderedPageBreak/>
              <w:t>Emissão, o que poderá impactar de maneira adversa na liquidez das Debêntures no mercado secundário</w:t>
            </w:r>
            <w:r w:rsidRPr="00C671F8">
              <w:rPr>
                <w:rFonts w:ascii="Calibri" w:eastAsia="Calibri" w:hAnsi="Calibri" w:cs="Calibri"/>
                <w:b/>
                <w:bCs/>
                <w:sz w:val="24"/>
              </w:rPr>
              <w:t xml:space="preserve">”, nas </w:t>
            </w:r>
            <w:r w:rsidRPr="00A11881">
              <w:rPr>
                <w:rFonts w:ascii="Calibri" w:eastAsia="Calibri" w:hAnsi="Calibri" w:cs="Calibri"/>
                <w:b/>
                <w:bCs/>
                <w:sz w:val="24"/>
              </w:rPr>
              <w:t xml:space="preserve">páginas </w:t>
            </w:r>
            <w:r w:rsidR="00E05009">
              <w:rPr>
                <w:rFonts w:ascii="Calibri" w:eastAsia="Calibri" w:hAnsi="Calibri" w:cs="Calibri"/>
                <w:b/>
                <w:bCs/>
                <w:sz w:val="24"/>
              </w:rPr>
              <w:t>9</w:t>
            </w:r>
            <w:r w:rsidR="00324387">
              <w:rPr>
                <w:rFonts w:ascii="Calibri" w:eastAsia="Calibri" w:hAnsi="Calibri" w:cs="Calibri"/>
                <w:b/>
                <w:bCs/>
                <w:sz w:val="24"/>
              </w:rPr>
              <w:t>8</w:t>
            </w:r>
            <w:r w:rsidRPr="00A11881">
              <w:rPr>
                <w:rFonts w:ascii="Calibri" w:eastAsia="Calibri" w:hAnsi="Calibri" w:cs="Calibri"/>
                <w:b/>
                <w:bCs/>
                <w:sz w:val="24"/>
              </w:rPr>
              <w:t xml:space="preserve"> e </w:t>
            </w:r>
            <w:r w:rsidR="00E05009">
              <w:rPr>
                <w:rFonts w:ascii="Calibri" w:eastAsia="Calibri" w:hAnsi="Calibri" w:cs="Calibri"/>
                <w:b/>
                <w:bCs/>
                <w:sz w:val="24"/>
              </w:rPr>
              <w:t>1</w:t>
            </w:r>
            <w:r w:rsidR="001B4FC2">
              <w:rPr>
                <w:rFonts w:ascii="Calibri" w:eastAsia="Calibri" w:hAnsi="Calibri" w:cs="Calibri"/>
                <w:b/>
                <w:bCs/>
                <w:sz w:val="24"/>
              </w:rPr>
              <w:t>4</w:t>
            </w:r>
            <w:r w:rsidR="00324387">
              <w:rPr>
                <w:rFonts w:ascii="Calibri" w:eastAsia="Calibri" w:hAnsi="Calibri" w:cs="Calibri"/>
                <w:b/>
                <w:bCs/>
                <w:sz w:val="24"/>
              </w:rPr>
              <w:t>0</w:t>
            </w:r>
            <w:r w:rsidRPr="00A11881">
              <w:rPr>
                <w:rFonts w:ascii="Calibri" w:eastAsia="Calibri" w:hAnsi="Calibri" w:cs="Calibri"/>
                <w:b/>
                <w:bCs/>
                <w:sz w:val="24"/>
              </w:rPr>
              <w:t xml:space="preserve"> do Prospecto Preliminar</w:t>
            </w:r>
            <w:r w:rsidR="001E7279" w:rsidRPr="00365D60">
              <w:rPr>
                <w:rFonts w:ascii="Calibri" w:eastAsia="Calibri" w:hAnsi="Calibri" w:cs="Calibri"/>
                <w:b/>
                <w:bCs/>
                <w:sz w:val="24"/>
              </w:rPr>
              <w:t>.</w:t>
            </w:r>
          </w:p>
        </w:tc>
      </w:tr>
      <w:tr w:rsidR="001E7279" w:rsidRPr="00365D60" w14:paraId="5D891B4E" w14:textId="77777777" w:rsidTr="009955CC">
        <w:trPr>
          <w:jc w:val="center"/>
        </w:trPr>
        <w:tc>
          <w:tcPr>
            <w:tcW w:w="3119" w:type="dxa"/>
          </w:tcPr>
          <w:p w14:paraId="4BF9C7C8" w14:textId="09C562A0" w:rsidR="001E7279" w:rsidRPr="00C6089D" w:rsidRDefault="001E7279" w:rsidP="001E7279">
            <w:pPr>
              <w:pStyle w:val="Body"/>
              <w:jc w:val="left"/>
              <w:rPr>
                <w:rFonts w:ascii="Calibri" w:hAnsi="Calibri" w:cs="Calibri"/>
                <w:b/>
                <w:sz w:val="24"/>
              </w:rPr>
            </w:pPr>
            <w:r w:rsidRPr="00C6089D">
              <w:rPr>
                <w:rFonts w:ascii="Calibri" w:hAnsi="Calibri" w:cs="Calibri"/>
                <w:b/>
                <w:sz w:val="24"/>
              </w:rPr>
              <w:lastRenderedPageBreak/>
              <w:t>Amortização Extraordinária</w:t>
            </w:r>
          </w:p>
        </w:tc>
        <w:tc>
          <w:tcPr>
            <w:tcW w:w="5611" w:type="dxa"/>
          </w:tcPr>
          <w:p w14:paraId="487221D7" w14:textId="707709CC" w:rsidR="001E7279" w:rsidRPr="00C6089D" w:rsidRDefault="001E7279" w:rsidP="001E7279">
            <w:pPr>
              <w:pStyle w:val="Body"/>
              <w:rPr>
                <w:rFonts w:ascii="Calibri" w:hAnsi="Calibri" w:cs="Calibri"/>
                <w:sz w:val="24"/>
              </w:rPr>
            </w:pPr>
            <w:r w:rsidRPr="00365D60">
              <w:rPr>
                <w:rFonts w:ascii="Calibri" w:hAnsi="Calibri" w:cs="Calibri"/>
                <w:sz w:val="24"/>
              </w:rPr>
              <w:t>Não será admitida a realização de amortização extraordinária das Debêntures.</w:t>
            </w:r>
          </w:p>
        </w:tc>
      </w:tr>
      <w:tr w:rsidR="001E7279" w:rsidRPr="00365D60" w14:paraId="0136287A" w14:textId="77777777" w:rsidTr="009955CC">
        <w:trPr>
          <w:jc w:val="center"/>
        </w:trPr>
        <w:tc>
          <w:tcPr>
            <w:tcW w:w="3119" w:type="dxa"/>
          </w:tcPr>
          <w:p w14:paraId="16C76B90" w14:textId="4AC5A18D" w:rsidR="001E7279" w:rsidRPr="00C6089D" w:rsidRDefault="001E7279" w:rsidP="001E7279">
            <w:pPr>
              <w:pStyle w:val="Body"/>
              <w:jc w:val="left"/>
              <w:rPr>
                <w:rFonts w:ascii="Calibri" w:hAnsi="Calibri" w:cs="Calibri"/>
                <w:b/>
                <w:sz w:val="24"/>
              </w:rPr>
            </w:pPr>
            <w:r w:rsidRPr="00C6089D">
              <w:rPr>
                <w:rFonts w:ascii="Calibri" w:hAnsi="Calibri" w:cs="Calibri"/>
                <w:b/>
                <w:sz w:val="24"/>
              </w:rPr>
              <w:t>Resgate Antecipado Facultativo</w:t>
            </w:r>
          </w:p>
        </w:tc>
        <w:tc>
          <w:tcPr>
            <w:tcW w:w="5611" w:type="dxa"/>
          </w:tcPr>
          <w:p w14:paraId="7B763758" w14:textId="1F6FEE7F" w:rsidR="001E7279" w:rsidRPr="00C6089D" w:rsidRDefault="001E7279" w:rsidP="001E7279">
            <w:pPr>
              <w:pStyle w:val="Body"/>
              <w:rPr>
                <w:rFonts w:ascii="Calibri" w:hAnsi="Calibri" w:cs="Calibri"/>
                <w:sz w:val="24"/>
              </w:rPr>
            </w:pPr>
            <w:r w:rsidRPr="00365D60">
              <w:rPr>
                <w:rFonts w:ascii="Calibri" w:hAnsi="Calibri" w:cs="Calibri"/>
                <w:sz w:val="24"/>
              </w:rPr>
              <w:t>Não será admitida a realização de resgate antecipado facultativo das Debêntures.</w:t>
            </w:r>
          </w:p>
        </w:tc>
      </w:tr>
      <w:tr w:rsidR="001E7279" w:rsidRPr="00365D60" w14:paraId="26490AEC" w14:textId="77777777" w:rsidTr="009955CC">
        <w:trPr>
          <w:jc w:val="center"/>
        </w:trPr>
        <w:tc>
          <w:tcPr>
            <w:tcW w:w="3119" w:type="dxa"/>
          </w:tcPr>
          <w:p w14:paraId="076C072E" w14:textId="14934798" w:rsidR="001E7279" w:rsidRPr="00365D60" w:rsidRDefault="001E7279" w:rsidP="001E7279">
            <w:pPr>
              <w:pStyle w:val="Body"/>
              <w:jc w:val="left"/>
              <w:rPr>
                <w:rFonts w:ascii="Calibri" w:hAnsi="Calibri" w:cs="Calibri"/>
                <w:b/>
                <w:sz w:val="24"/>
              </w:rPr>
            </w:pPr>
            <w:r w:rsidRPr="00365D60">
              <w:rPr>
                <w:rFonts w:ascii="Calibri" w:hAnsi="Calibri" w:cs="Calibri"/>
                <w:b/>
                <w:sz w:val="24"/>
              </w:rPr>
              <w:t>Oferta de Resgate Antecipado</w:t>
            </w:r>
          </w:p>
        </w:tc>
        <w:tc>
          <w:tcPr>
            <w:tcW w:w="5611" w:type="dxa"/>
          </w:tcPr>
          <w:p w14:paraId="712E4EAF" w14:textId="2DF03976" w:rsidR="001E7279" w:rsidRPr="00365D60" w:rsidRDefault="0038396E" w:rsidP="001E7279">
            <w:pPr>
              <w:pStyle w:val="Body"/>
              <w:rPr>
                <w:rFonts w:ascii="Calibri" w:eastAsia="Calibri" w:hAnsi="Calibri" w:cs="Calibri"/>
                <w:sz w:val="24"/>
              </w:rPr>
            </w:pPr>
            <w:r w:rsidRPr="0038396E">
              <w:rPr>
                <w:rFonts w:ascii="Calibri" w:eastAsia="Calibri" w:hAnsi="Calibri" w:cs="Calibri"/>
                <w:sz w:val="24"/>
              </w:rPr>
              <w:t>Caso seja legalmente permitido à Emissora realizar o resgate antecipado das Debêntures, 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Pr="0038396E">
              <w:rPr>
                <w:rFonts w:ascii="Calibri" w:eastAsia="Calibri" w:hAnsi="Calibri" w:cs="Calibri"/>
                <w:sz w:val="24"/>
                <w:u w:val="single"/>
              </w:rPr>
              <w:t>Oferta de Resgate Antecipado</w:t>
            </w:r>
            <w:r w:rsidRPr="0038396E">
              <w:rPr>
                <w:rFonts w:ascii="Calibri" w:eastAsia="Calibri" w:hAnsi="Calibri" w:cs="Calibri"/>
                <w:sz w:val="24"/>
              </w:rPr>
              <w:t xml:space="preserve">”).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w:t>
            </w:r>
            <w:r w:rsidR="00225ACC" w:rsidRPr="00225ACC">
              <w:rPr>
                <w:rFonts w:ascii="Calibri" w:eastAsia="Calibri" w:hAnsi="Calibri" w:cs="Calibri"/>
                <w:sz w:val="24"/>
              </w:rPr>
              <w:t xml:space="preserve">A Oferta de Resgate Antecipado poderá ser realizada para a totalidade das Debêntures ou para a totalidade das Debêntures de uma respectiva Série, ou parte das Debêntures, até o limite de 50% (cinquenta por cento) da totalidade das Debêntures de uma respectiva série, conforme definido pela Emissora, caso seja legalmente permitido à época da realização da Oferta de Resgate Antecipado, e deverá </w:t>
            </w:r>
            <w:r w:rsidR="00225ACC" w:rsidRPr="00225ACC">
              <w:rPr>
                <w:rFonts w:ascii="Calibri" w:eastAsia="Calibri" w:hAnsi="Calibri" w:cs="Calibri"/>
                <w:sz w:val="24"/>
              </w:rPr>
              <w:lastRenderedPageBreak/>
              <w:t>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w:t>
            </w:r>
            <w:r>
              <w:rPr>
                <w:rFonts w:ascii="Calibri" w:eastAsia="Calibri" w:hAnsi="Calibri" w:cs="Calibri"/>
                <w:sz w:val="24"/>
              </w:rPr>
              <w:t>a da forma descrita na Escritura de Emissão e no Prospecto</w:t>
            </w:r>
            <w:r w:rsidR="001E7279" w:rsidRPr="00365D60">
              <w:rPr>
                <w:rFonts w:ascii="Calibri" w:eastAsia="Calibri" w:hAnsi="Calibri" w:cs="Calibri"/>
                <w:sz w:val="24"/>
              </w:rPr>
              <w:t xml:space="preserve">. </w:t>
            </w:r>
          </w:p>
          <w:p w14:paraId="565C1972" w14:textId="78B0765D" w:rsidR="001E7279" w:rsidRPr="00365D60" w:rsidRDefault="001E7279" w:rsidP="001E7279">
            <w:pPr>
              <w:pStyle w:val="Body"/>
              <w:rPr>
                <w:rFonts w:ascii="Calibri" w:hAnsi="Calibri" w:cs="Calibri"/>
                <w:sz w:val="24"/>
              </w:rPr>
            </w:pPr>
            <w:r w:rsidRPr="00365D60">
              <w:rPr>
                <w:rFonts w:ascii="Calibri" w:eastAsia="Calibri" w:hAnsi="Calibri" w:cs="Calibri"/>
                <w:b/>
                <w:bCs/>
                <w:sz w:val="24"/>
              </w:rPr>
              <w:t xml:space="preserve">Para mais informações sobre a Oferta de Resgate Antecipado Facultativo, consulte a cláusula 7.3 e seguintes da Escritura de Emissão, a Seção “Características da Emissão e das Debêntures – Oferta de Resgate Antecipado” e “Fatores de Risco Relacionados à Oferta e às Debêntures – </w:t>
            </w:r>
            <w:r w:rsidR="00C671F8" w:rsidRPr="00C671F8">
              <w:rPr>
                <w:rFonts w:ascii="Calibri" w:eastAsia="Calibri" w:hAnsi="Calibri" w:cs="Calibri"/>
                <w:b/>
                <w:bCs/>
                <w:sz w:val="24"/>
              </w:rPr>
              <w:t>As Debêntures poderão ser objeto de Oferta de Resgate Antecipado, Aquisição Facultativa e Resgate Obrigatório Total, nos termos previstos na Escritura de Emissão, o que poderá impactar de maneira adversa na liquidez das Debêntures no mercado secundário</w:t>
            </w:r>
            <w:r w:rsidRPr="00365D60">
              <w:rPr>
                <w:rFonts w:ascii="Calibri" w:eastAsia="Calibri" w:hAnsi="Calibri" w:cs="Calibri"/>
                <w:b/>
                <w:bCs/>
                <w:sz w:val="24"/>
              </w:rPr>
              <w:t>”, e o Prospecto Definitivo</w:t>
            </w:r>
            <w:r w:rsidRPr="00365D60">
              <w:rPr>
                <w:rFonts w:ascii="Calibri" w:eastAsia="Calibri" w:hAnsi="Calibri" w:cs="Calibri"/>
                <w:sz w:val="24"/>
              </w:rPr>
              <w:t>.</w:t>
            </w:r>
          </w:p>
        </w:tc>
      </w:tr>
      <w:tr w:rsidR="001E7279" w:rsidRPr="00365D60" w14:paraId="31534AE5" w14:textId="77777777" w:rsidTr="009955CC">
        <w:trPr>
          <w:jc w:val="center"/>
        </w:trPr>
        <w:tc>
          <w:tcPr>
            <w:tcW w:w="3119" w:type="dxa"/>
          </w:tcPr>
          <w:p w14:paraId="6CED39B9" w14:textId="5AB6F6FC" w:rsidR="001E7279" w:rsidRPr="00C6089D" w:rsidRDefault="001E7279" w:rsidP="001E7279">
            <w:pPr>
              <w:pStyle w:val="Body"/>
              <w:jc w:val="left"/>
              <w:rPr>
                <w:rFonts w:ascii="Calibri" w:hAnsi="Calibri" w:cs="Calibri"/>
                <w:b/>
                <w:sz w:val="24"/>
              </w:rPr>
            </w:pPr>
            <w:bookmarkStart w:id="29" w:name="_Toc428328035"/>
            <w:r w:rsidRPr="00C6089D">
              <w:rPr>
                <w:rFonts w:ascii="Calibri" w:hAnsi="Calibri" w:cs="Calibri"/>
                <w:b/>
                <w:sz w:val="24"/>
              </w:rPr>
              <w:lastRenderedPageBreak/>
              <w:t>Local de Pagamento</w:t>
            </w:r>
            <w:bookmarkEnd w:id="29"/>
          </w:p>
        </w:tc>
        <w:tc>
          <w:tcPr>
            <w:tcW w:w="5611" w:type="dxa"/>
          </w:tcPr>
          <w:p w14:paraId="63CC57DB" w14:textId="3B6503A2" w:rsidR="001E7279" w:rsidRPr="00C6089D" w:rsidRDefault="001E7279" w:rsidP="001E7279">
            <w:pPr>
              <w:pStyle w:val="Body"/>
              <w:rPr>
                <w:rFonts w:ascii="Calibri" w:hAnsi="Calibri" w:cs="Calibri"/>
                <w:sz w:val="24"/>
              </w:rPr>
            </w:pPr>
            <w:bookmarkStart w:id="30" w:name="_Ref478482928"/>
            <w:r w:rsidRPr="00C6089D">
              <w:rPr>
                <w:rFonts w:ascii="Calibri" w:hAnsi="Calibri" w:cs="Calibri"/>
                <w:sz w:val="24"/>
              </w:rPr>
              <w:t xml:space="preserve">Observado o disposto na Escritura de Emissão e no Prospecto Definitivo, </w:t>
            </w:r>
            <w:r w:rsidRPr="00365D60">
              <w:rPr>
                <w:rFonts w:ascii="Calibri" w:hAnsi="Calibri" w:cs="Calibri"/>
                <w:sz w:val="24"/>
              </w:rPr>
              <w:t xml:space="preserve">os pagamentos a que fizerem jus as Debêntures serão efetuados pela Emissora no respectivo vencimento utilizando-se, conforme o caso: (a) os procedimentos adotados pela B3 para as Debêntures custodiadas eletronicamente nela; (b) os procedimentos adotados pelo Escriturador, para as Debêntures que não estejam custodiadas eletronicamente na B3; e/ou (c) na sede da Emissora, para os pagamentos que não possam ser realizados por meio do </w:t>
            </w:r>
            <w:r w:rsidR="0088039A" w:rsidRPr="0088039A">
              <w:rPr>
                <w:rFonts w:ascii="Calibri" w:hAnsi="Calibri" w:cs="Calibri"/>
                <w:sz w:val="24"/>
              </w:rPr>
              <w:t>Agente de Liquidação</w:t>
            </w:r>
            <w:r w:rsidRPr="00365D60">
              <w:rPr>
                <w:rFonts w:ascii="Calibri" w:hAnsi="Calibri" w:cs="Calibri"/>
                <w:sz w:val="24"/>
              </w:rPr>
              <w:t xml:space="preserve"> ou da B3</w:t>
            </w:r>
            <w:r w:rsidRPr="00C6089D">
              <w:rPr>
                <w:rFonts w:ascii="Calibri" w:hAnsi="Calibri" w:cs="Calibri"/>
                <w:sz w:val="24"/>
              </w:rPr>
              <w:t>.</w:t>
            </w:r>
            <w:bookmarkEnd w:id="30"/>
            <w:r w:rsidR="0088039A">
              <w:rPr>
                <w:rFonts w:ascii="Calibri" w:hAnsi="Calibri" w:cs="Calibri"/>
                <w:sz w:val="24"/>
              </w:rPr>
              <w:t xml:space="preserve"> </w:t>
            </w:r>
            <w:bookmarkStart w:id="31" w:name="_Hlk89966003"/>
            <w:r w:rsidR="0088039A" w:rsidRPr="0088039A">
              <w:rPr>
                <w:rFonts w:ascii="Calibri" w:hAnsi="Calibri" w:cs="Calibri"/>
                <w:sz w:val="24"/>
              </w:rPr>
              <w:t xml:space="preserve">Farão jus ao recebimento de qualquer valor devido aos Debenturistas nos termos desta Escritura de Emissão </w:t>
            </w:r>
            <w:r w:rsidR="0088039A" w:rsidRPr="0088039A">
              <w:rPr>
                <w:rFonts w:ascii="Calibri" w:hAnsi="Calibri" w:cs="Calibri"/>
                <w:sz w:val="24"/>
              </w:rPr>
              <w:lastRenderedPageBreak/>
              <w:t>aqueles que sejam Debenturistas ao final do Dia Útil imediatamente anterior à respectiva data do pagamento</w:t>
            </w:r>
            <w:bookmarkEnd w:id="31"/>
            <w:r w:rsidR="0088039A">
              <w:rPr>
                <w:rFonts w:ascii="Calibri" w:hAnsi="Calibri" w:cs="Calibri"/>
                <w:sz w:val="24"/>
              </w:rPr>
              <w:t>.</w:t>
            </w:r>
          </w:p>
        </w:tc>
      </w:tr>
      <w:tr w:rsidR="001E7279" w:rsidRPr="00365D60" w14:paraId="6FC217C1" w14:textId="77777777" w:rsidTr="009955CC">
        <w:trPr>
          <w:jc w:val="center"/>
        </w:trPr>
        <w:tc>
          <w:tcPr>
            <w:tcW w:w="3119" w:type="dxa"/>
          </w:tcPr>
          <w:p w14:paraId="636D00F7" w14:textId="1C108245" w:rsidR="001E7279" w:rsidRPr="00C6089D" w:rsidRDefault="001E7279" w:rsidP="001E7279">
            <w:pPr>
              <w:pStyle w:val="Body"/>
              <w:jc w:val="left"/>
              <w:rPr>
                <w:rFonts w:ascii="Calibri" w:hAnsi="Calibri" w:cs="Calibri"/>
                <w:b/>
                <w:sz w:val="24"/>
              </w:rPr>
            </w:pPr>
            <w:bookmarkStart w:id="32" w:name="_Ref428732176"/>
            <w:r w:rsidRPr="00C6089D">
              <w:rPr>
                <w:rFonts w:ascii="Calibri" w:hAnsi="Calibri" w:cs="Calibri"/>
                <w:b/>
                <w:sz w:val="24"/>
              </w:rPr>
              <w:lastRenderedPageBreak/>
              <w:t>Encargos Moratórios</w:t>
            </w:r>
            <w:bookmarkEnd w:id="32"/>
          </w:p>
        </w:tc>
        <w:tc>
          <w:tcPr>
            <w:tcW w:w="5611" w:type="dxa"/>
          </w:tcPr>
          <w:p w14:paraId="67CAF266" w14:textId="7AFE1EBB" w:rsidR="001E7279" w:rsidRPr="00C6089D" w:rsidRDefault="001E7279" w:rsidP="001E7279">
            <w:pPr>
              <w:pStyle w:val="Body"/>
              <w:rPr>
                <w:rFonts w:ascii="Calibri" w:hAnsi="Calibri" w:cs="Calibri"/>
                <w:sz w:val="24"/>
              </w:rPr>
            </w:pPr>
            <w:r w:rsidRPr="00365D60">
              <w:rPr>
                <w:rFonts w:ascii="Calibri" w:hAnsi="Calibri" w:cs="Calibri"/>
                <w:sz w:val="24"/>
              </w:rPr>
              <w:t>Ocorrendo a impontualidade no pagamento pela Emissora de qualquer valor devido aos Debenturistas, os débitos em atraso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1E7279" w:rsidRPr="00365D60" w14:paraId="70460148" w14:textId="77777777" w:rsidTr="009955CC">
        <w:trPr>
          <w:jc w:val="center"/>
        </w:trPr>
        <w:tc>
          <w:tcPr>
            <w:tcW w:w="3119" w:type="dxa"/>
          </w:tcPr>
          <w:p w14:paraId="04164C1D" w14:textId="551B864C" w:rsidR="001E7279" w:rsidRPr="00C6089D" w:rsidRDefault="001E7279" w:rsidP="001E7279">
            <w:pPr>
              <w:pStyle w:val="Body"/>
              <w:jc w:val="left"/>
              <w:rPr>
                <w:rFonts w:ascii="Calibri" w:hAnsi="Calibri" w:cs="Calibri"/>
                <w:b/>
                <w:sz w:val="24"/>
              </w:rPr>
            </w:pPr>
            <w:r w:rsidRPr="00365D60">
              <w:rPr>
                <w:rFonts w:ascii="Calibri" w:hAnsi="Calibri" w:cs="Calibri"/>
                <w:b/>
                <w:sz w:val="24"/>
              </w:rPr>
              <w:t>Imunidade Tributária dos Debenturistas</w:t>
            </w:r>
          </w:p>
        </w:tc>
        <w:tc>
          <w:tcPr>
            <w:tcW w:w="5611" w:type="dxa"/>
          </w:tcPr>
          <w:p w14:paraId="3DEB6357" w14:textId="369EFB82" w:rsidR="001E7279" w:rsidRPr="00365D60" w:rsidRDefault="001E7279" w:rsidP="001E7279">
            <w:pPr>
              <w:pStyle w:val="Body"/>
              <w:rPr>
                <w:rFonts w:ascii="Calibri" w:hAnsi="Calibri" w:cs="Calibri"/>
                <w:sz w:val="24"/>
              </w:rPr>
            </w:pPr>
            <w:r w:rsidRPr="00365D60">
              <w:rPr>
                <w:rFonts w:ascii="Calibri" w:hAnsi="Calibri" w:cs="Calibri"/>
                <w:sz w:val="24"/>
              </w:rPr>
              <w:t xml:space="preserve">As Debêntures gozam do tratamento tributário previsto no artigo 2º da Lei 12.431, e, consequentemente, também gozam do tratamento tributário previsto no artigo 1º da Lei 12.431, conforme procedimento descrito na Cláusula 6.21 da Escritura de Emissão. Caso qualquer Debenturista tenha imunidade ou isenção tributária diferente daquelas previstas na Lei 12.431, este deverá encaminhar ao </w:t>
            </w:r>
            <w:r w:rsidR="0088039A" w:rsidRPr="0088039A">
              <w:rPr>
                <w:rFonts w:ascii="Calibri" w:hAnsi="Calibri" w:cs="Calibri"/>
                <w:sz w:val="24"/>
              </w:rPr>
              <w:t>Agente de Liquidação</w:t>
            </w:r>
            <w:r w:rsidRPr="00365D60">
              <w:rPr>
                <w:rFonts w:ascii="Calibri" w:hAnsi="Calibri" w:cs="Calibri"/>
                <w:sz w:val="24"/>
              </w:rPr>
              <w:t xml:space="preserv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88039A" w:rsidRPr="0088039A">
              <w:rPr>
                <w:rFonts w:ascii="Calibri" w:hAnsi="Calibri" w:cs="Calibri"/>
                <w:sz w:val="24"/>
              </w:rPr>
              <w:t>Agente de Liquidação</w:t>
            </w:r>
            <w:r w:rsidRPr="00365D60">
              <w:rPr>
                <w:rFonts w:ascii="Calibri" w:hAnsi="Calibri" w:cs="Calibri"/>
                <w:sz w:val="24"/>
              </w:rPr>
              <w:t xml:space="preserve"> ou ao Escriturador, conforme o caso, tal alteração no prazo de 2 (dois) Dias Úteis contados da data da formalização da referida alteração.</w:t>
            </w:r>
          </w:p>
          <w:p w14:paraId="529D1BF2" w14:textId="55A243A2" w:rsidR="001E7279" w:rsidRPr="00C6089D" w:rsidRDefault="001E7279" w:rsidP="001E7279">
            <w:pPr>
              <w:pStyle w:val="Body"/>
              <w:rPr>
                <w:rFonts w:ascii="Calibri" w:hAnsi="Calibri" w:cs="Calibri"/>
                <w:sz w:val="24"/>
              </w:rPr>
            </w:pPr>
            <w:r w:rsidRPr="00365D60">
              <w:rPr>
                <w:rFonts w:ascii="Calibri" w:hAnsi="Calibri" w:cs="Calibri"/>
                <w:b/>
                <w:sz w:val="24"/>
              </w:rPr>
              <w:lastRenderedPageBreak/>
              <w:t>Para mais informações sobre Tratamento Tributário e Imunidade Tributária, veja as seções “Informações Relativas à Emissão, à Oferta e às Debêntures – Características da Emissão e das Debêntures – Tratamento Tributário” e “Fatores de Risco Relacionados à Oferta e às Debêntures - Caso as Debêntures deixem de satisfazer determinadas características que as enquadrem como Debêntures de Infraestrutura, a Emissora não pode garantir que elas continuarão a receber o tratamento tributário previsto na Lei 12.431, inclusive, a Emissora não pode garantir que a Lei 12.431 não será novamente alterada, questionada, revogada ou substituída por leis mais restritivas.”, no Prospecto Definitivo.</w:t>
            </w:r>
          </w:p>
        </w:tc>
      </w:tr>
      <w:tr w:rsidR="001E7279" w:rsidRPr="00365D60" w14:paraId="1472C25F" w14:textId="77777777" w:rsidTr="009955CC">
        <w:trPr>
          <w:jc w:val="center"/>
        </w:trPr>
        <w:tc>
          <w:tcPr>
            <w:tcW w:w="3119" w:type="dxa"/>
          </w:tcPr>
          <w:p w14:paraId="48AC165A" w14:textId="66035A26" w:rsidR="001E7279" w:rsidRPr="00365D60" w:rsidRDefault="001E7279" w:rsidP="001E7279">
            <w:pPr>
              <w:pStyle w:val="Body"/>
              <w:jc w:val="left"/>
              <w:rPr>
                <w:rFonts w:ascii="Calibri" w:hAnsi="Calibri" w:cs="Calibri"/>
                <w:b/>
                <w:sz w:val="24"/>
              </w:rPr>
            </w:pPr>
            <w:bookmarkStart w:id="33" w:name="_Toc428328040"/>
            <w:r w:rsidRPr="00365D60">
              <w:rPr>
                <w:rFonts w:ascii="Calibri" w:hAnsi="Calibri" w:cs="Calibri"/>
                <w:b/>
                <w:sz w:val="24"/>
              </w:rPr>
              <w:lastRenderedPageBreak/>
              <w:t>Classificação de Risco</w:t>
            </w:r>
            <w:bookmarkEnd w:id="33"/>
          </w:p>
        </w:tc>
        <w:tc>
          <w:tcPr>
            <w:tcW w:w="5611" w:type="dxa"/>
          </w:tcPr>
          <w:p w14:paraId="440C3857" w14:textId="0D22ED0E" w:rsidR="001E7279" w:rsidRPr="00365D60" w:rsidRDefault="001E7279" w:rsidP="001E7279">
            <w:pPr>
              <w:pStyle w:val="Body"/>
              <w:rPr>
                <w:rFonts w:ascii="Calibri" w:hAnsi="Calibri" w:cs="Calibri"/>
                <w:sz w:val="24"/>
              </w:rPr>
            </w:pPr>
            <w:r w:rsidRPr="00365D60">
              <w:rPr>
                <w:rFonts w:ascii="Calibri" w:hAnsi="Calibri" w:cs="Calibri"/>
                <w:sz w:val="24"/>
              </w:rPr>
              <w:t>Foi contratada como agência de classificação de risco das Debêntures a Agência de Classificação de Risco, a qual atribuiu o rating “</w:t>
            </w:r>
            <w:proofErr w:type="spellStart"/>
            <w:r w:rsidR="0038396E">
              <w:rPr>
                <w:rFonts w:ascii="Calibri" w:hAnsi="Calibri" w:cs="Calibri"/>
                <w:sz w:val="24"/>
              </w:rPr>
              <w:t>brAAA</w:t>
            </w:r>
            <w:proofErr w:type="spellEnd"/>
            <w:r w:rsidRPr="00365D60">
              <w:rPr>
                <w:rFonts w:ascii="Calibri" w:hAnsi="Calibri" w:cs="Calibri"/>
                <w:sz w:val="24"/>
              </w:rPr>
              <w:t xml:space="preserve">” para as Debêntures. Durante o prazo de vigência das Debêntures, a Emissora deverá manter contratada a Agência de Classificação de Risco para a atualização da classificação de risco (rating) das Debêntures, sendo que, caso a Emissora deseje alterar, a qualquer tempo, a Agência de Classificação de Risco, ou a Agência de Classificação de Risco cesse suas atividades no Brasil ou, por qualquer motivo, esteja ou seja impedida de emitir o rating, a Emissora poderá substituir a Agência de Classificação de Risco, sem a necessidade de aprovação dos Debenturistas, desde que a agência de classificação de risco substituta seja a Standard &amp; </w:t>
            </w:r>
            <w:proofErr w:type="spellStart"/>
            <w:r w:rsidRPr="00365D60">
              <w:rPr>
                <w:rFonts w:ascii="Calibri" w:hAnsi="Calibri" w:cs="Calibri"/>
                <w:sz w:val="24"/>
              </w:rPr>
              <w:t>Poor’s</w:t>
            </w:r>
            <w:proofErr w:type="spellEnd"/>
            <w:r w:rsidRPr="00365D60">
              <w:rPr>
                <w:rFonts w:ascii="Calibri" w:hAnsi="Calibri" w:cs="Calibri"/>
                <w:sz w:val="24"/>
              </w:rPr>
              <w:t xml:space="preserve"> Ratings do Brasil Ltda., Fitch Ratings Brasil Ltda ou a Moody’s América Latina Ltda.</w:t>
            </w:r>
          </w:p>
          <w:p w14:paraId="5F427AED" w14:textId="74A730F5" w:rsidR="001E7279" w:rsidRPr="00C6089D" w:rsidRDefault="001E7279" w:rsidP="001E7279">
            <w:pPr>
              <w:pStyle w:val="Body"/>
              <w:rPr>
                <w:rFonts w:ascii="Calibri" w:hAnsi="Calibri" w:cs="Calibri"/>
                <w:b/>
                <w:bCs/>
                <w:sz w:val="24"/>
              </w:rPr>
            </w:pPr>
            <w:r w:rsidRPr="00365D60">
              <w:rPr>
                <w:rFonts w:ascii="Calibri" w:hAnsi="Calibri" w:cs="Calibri"/>
                <w:b/>
                <w:bCs/>
                <w:sz w:val="24"/>
              </w:rPr>
              <w:t xml:space="preserve">Para mais informações sobre a classificação de risco das Debêntures, veja a Súmula de Classificação de Risco, constante do Anexo E deste Prospecto, e a seção “Fatores de Risco Relacionados à Oferta e às </w:t>
            </w:r>
            <w:r w:rsidRPr="00365D60">
              <w:rPr>
                <w:rFonts w:ascii="Calibri" w:hAnsi="Calibri" w:cs="Calibri"/>
                <w:b/>
                <w:bCs/>
                <w:sz w:val="24"/>
              </w:rPr>
              <w:lastRenderedPageBreak/>
              <w:t>Debêntures – Eventual rebaixamento na classificação de risco atribuída às Debêntures e/ou à Emissora poderá dificultar a captação de recursos pela Emissora, bem como acarretar redução de liquidez das Debêntures para negociação no mercado secundário e impacto negativo relevante na Emissora.”, no Prospecto Definitivo.</w:t>
            </w:r>
          </w:p>
        </w:tc>
      </w:tr>
      <w:tr w:rsidR="001E7279" w:rsidRPr="00365D60" w14:paraId="6D63BF0A" w14:textId="77777777" w:rsidTr="00C32B72">
        <w:trPr>
          <w:cantSplit/>
          <w:trHeight w:val="1134"/>
          <w:jc w:val="center"/>
        </w:trPr>
        <w:tc>
          <w:tcPr>
            <w:tcW w:w="3119" w:type="dxa"/>
          </w:tcPr>
          <w:p w14:paraId="10E92CAC" w14:textId="6AF646AC" w:rsidR="001E7279" w:rsidRPr="00C6089D" w:rsidRDefault="001E7279" w:rsidP="00C32B72">
            <w:pPr>
              <w:pStyle w:val="Body"/>
              <w:jc w:val="left"/>
              <w:rPr>
                <w:rFonts w:ascii="Calibri" w:hAnsi="Calibri" w:cs="Calibri"/>
                <w:b/>
                <w:sz w:val="24"/>
              </w:rPr>
            </w:pPr>
            <w:r w:rsidRPr="00C6089D">
              <w:rPr>
                <w:rFonts w:ascii="Calibri" w:hAnsi="Calibri" w:cs="Calibri"/>
                <w:b/>
                <w:sz w:val="24"/>
              </w:rPr>
              <w:lastRenderedPageBreak/>
              <w:t>Agência de Classificação de Risco</w:t>
            </w:r>
          </w:p>
        </w:tc>
        <w:tc>
          <w:tcPr>
            <w:tcW w:w="5611" w:type="dxa"/>
          </w:tcPr>
          <w:p w14:paraId="5C636D44" w14:textId="0FECF1EE" w:rsidR="001E7279" w:rsidRPr="00C6089D" w:rsidRDefault="001E7279" w:rsidP="001E7279">
            <w:pPr>
              <w:pStyle w:val="Body"/>
              <w:rPr>
                <w:rFonts w:ascii="Calibri" w:hAnsi="Calibri" w:cs="Calibri"/>
                <w:sz w:val="24"/>
              </w:rPr>
            </w:pPr>
            <w:r w:rsidRPr="00C6089D">
              <w:rPr>
                <w:rFonts w:ascii="Calibri" w:eastAsia="Calibri" w:hAnsi="Calibri" w:cs="Calibri"/>
                <w:b/>
                <w:kern w:val="0"/>
                <w:sz w:val="24"/>
                <w:lang w:eastAsia="en-US"/>
              </w:rPr>
              <w:t>STANDARD &amp; POOR’S RATINGS DO BRASIL LTDA.</w:t>
            </w:r>
            <w:r w:rsidRPr="00C6089D">
              <w:rPr>
                <w:rFonts w:ascii="Calibri" w:eastAsia="Calibri" w:hAnsi="Calibri" w:cs="Calibri"/>
                <w:bCs/>
                <w:kern w:val="0"/>
                <w:sz w:val="24"/>
                <w:lang w:eastAsia="en-US"/>
              </w:rPr>
              <w:t>,</w:t>
            </w:r>
            <w:r w:rsidRPr="00C6089D">
              <w:rPr>
                <w:rFonts w:ascii="Calibri" w:eastAsia="Calibri" w:hAnsi="Calibri" w:cs="Calibri"/>
                <w:kern w:val="0"/>
                <w:sz w:val="24"/>
                <w:lang w:eastAsia="en-US"/>
              </w:rPr>
              <w:t xml:space="preserve"> a qual atribuiu o </w:t>
            </w:r>
            <w:r w:rsidRPr="00C6089D">
              <w:rPr>
                <w:rFonts w:ascii="Calibri" w:eastAsia="Calibri" w:hAnsi="Calibri" w:cs="Calibri"/>
                <w:i/>
                <w:kern w:val="0"/>
                <w:sz w:val="24"/>
                <w:lang w:eastAsia="en-US"/>
              </w:rPr>
              <w:t>rating</w:t>
            </w:r>
            <w:r w:rsidRPr="00C6089D">
              <w:rPr>
                <w:rFonts w:ascii="Calibri" w:eastAsia="Calibri" w:hAnsi="Calibri" w:cs="Calibri"/>
                <w:kern w:val="0"/>
                <w:sz w:val="24"/>
                <w:lang w:eastAsia="en-US"/>
              </w:rPr>
              <w:t xml:space="preserve"> “</w:t>
            </w:r>
            <w:proofErr w:type="spellStart"/>
            <w:r w:rsidR="0038396E">
              <w:rPr>
                <w:rFonts w:ascii="Calibri" w:eastAsia="Calibri" w:hAnsi="Calibri" w:cs="Calibri"/>
                <w:kern w:val="0"/>
                <w:sz w:val="24"/>
                <w:lang w:eastAsia="en-US"/>
              </w:rPr>
              <w:t>brAAA</w:t>
            </w:r>
            <w:proofErr w:type="spellEnd"/>
            <w:r w:rsidRPr="00C6089D">
              <w:rPr>
                <w:rFonts w:ascii="Calibri" w:eastAsia="Calibri" w:hAnsi="Calibri" w:cs="Calibri"/>
                <w:kern w:val="0"/>
                <w:sz w:val="24"/>
                <w:lang w:eastAsia="en-US"/>
              </w:rPr>
              <w:t>”</w:t>
            </w:r>
            <w:r w:rsidRPr="00C6089D" w:rsidDel="00C949DF">
              <w:rPr>
                <w:rFonts w:ascii="Calibri" w:eastAsia="Calibri" w:hAnsi="Calibri" w:cs="Calibri"/>
                <w:kern w:val="0"/>
                <w:sz w:val="24"/>
                <w:lang w:eastAsia="en-US"/>
              </w:rPr>
              <w:t xml:space="preserve"> </w:t>
            </w:r>
            <w:r w:rsidRPr="00C6089D">
              <w:rPr>
                <w:rFonts w:ascii="Calibri" w:eastAsia="Calibri" w:hAnsi="Calibri" w:cs="Calibri"/>
                <w:kern w:val="0"/>
                <w:sz w:val="24"/>
                <w:lang w:eastAsia="en-US"/>
              </w:rPr>
              <w:t>para as Debêntures.</w:t>
            </w:r>
          </w:p>
        </w:tc>
      </w:tr>
      <w:tr w:rsidR="001E7279" w:rsidRPr="00365D60" w14:paraId="4B4E768F" w14:textId="77777777" w:rsidTr="009955CC">
        <w:trPr>
          <w:jc w:val="center"/>
        </w:trPr>
        <w:tc>
          <w:tcPr>
            <w:tcW w:w="3119" w:type="dxa"/>
          </w:tcPr>
          <w:p w14:paraId="7B7EA169" w14:textId="606FB23E" w:rsidR="001E7279" w:rsidRPr="00C6089D" w:rsidRDefault="001E7279" w:rsidP="001E7279">
            <w:pPr>
              <w:pStyle w:val="Level3"/>
              <w:numPr>
                <w:ilvl w:val="0"/>
                <w:numId w:val="0"/>
              </w:numPr>
              <w:jc w:val="left"/>
              <w:rPr>
                <w:rFonts w:ascii="Calibri" w:hAnsi="Calibri" w:cs="Calibri"/>
                <w:b/>
                <w:sz w:val="24"/>
                <w:szCs w:val="24"/>
              </w:rPr>
            </w:pPr>
            <w:r w:rsidRPr="00C6089D">
              <w:rPr>
                <w:rFonts w:ascii="Calibri" w:hAnsi="Calibri" w:cs="Calibri"/>
                <w:b/>
                <w:sz w:val="24"/>
                <w:szCs w:val="24"/>
              </w:rPr>
              <w:t xml:space="preserve">Fundo </w:t>
            </w:r>
            <w:r w:rsidRPr="00365D60">
              <w:rPr>
                <w:rFonts w:ascii="Calibri" w:hAnsi="Calibri" w:cs="Calibri"/>
                <w:b/>
                <w:sz w:val="24"/>
                <w:szCs w:val="24"/>
              </w:rPr>
              <w:t>de Manutenção de Liquidez</w:t>
            </w:r>
          </w:p>
        </w:tc>
        <w:tc>
          <w:tcPr>
            <w:tcW w:w="5611" w:type="dxa"/>
          </w:tcPr>
          <w:p w14:paraId="44033D2B" w14:textId="399665C5" w:rsidR="001E7279" w:rsidRPr="00C6089D" w:rsidRDefault="001E7279" w:rsidP="001E7279">
            <w:pPr>
              <w:pStyle w:val="Body"/>
              <w:rPr>
                <w:rFonts w:ascii="Calibri" w:hAnsi="Calibri" w:cs="Calibri"/>
                <w:sz w:val="24"/>
              </w:rPr>
            </w:pPr>
            <w:r w:rsidRPr="00C6089D">
              <w:rPr>
                <w:rFonts w:ascii="Calibri" w:hAnsi="Calibri" w:cs="Calibri"/>
                <w:sz w:val="24"/>
              </w:rPr>
              <w:t>Não será constituído fundo de manutenção de liquidez ou firmado contrato de garantia de liquidez ou estabilização de preços para as Debêntures.</w:t>
            </w:r>
          </w:p>
        </w:tc>
      </w:tr>
      <w:tr w:rsidR="001E7279" w:rsidRPr="00365D60" w14:paraId="3F946B5E" w14:textId="77777777" w:rsidTr="009955CC">
        <w:trPr>
          <w:jc w:val="center"/>
        </w:trPr>
        <w:tc>
          <w:tcPr>
            <w:tcW w:w="3119" w:type="dxa"/>
          </w:tcPr>
          <w:p w14:paraId="2426B076" w14:textId="3CBF2065" w:rsidR="001E7279" w:rsidRPr="00C6089D" w:rsidRDefault="001E7279" w:rsidP="001E7279">
            <w:pPr>
              <w:pStyle w:val="Level2"/>
              <w:numPr>
                <w:ilvl w:val="0"/>
                <w:numId w:val="0"/>
              </w:numPr>
              <w:rPr>
                <w:rFonts w:ascii="Calibri" w:hAnsi="Calibri" w:cs="Calibri"/>
                <w:b/>
                <w:sz w:val="24"/>
                <w:szCs w:val="24"/>
              </w:rPr>
            </w:pPr>
            <w:r w:rsidRPr="00C6089D">
              <w:rPr>
                <w:rFonts w:ascii="Calibri" w:hAnsi="Calibri" w:cs="Calibri"/>
                <w:b/>
                <w:sz w:val="24"/>
                <w:szCs w:val="24"/>
              </w:rPr>
              <w:t>Fundo de Amortização</w:t>
            </w:r>
          </w:p>
        </w:tc>
        <w:tc>
          <w:tcPr>
            <w:tcW w:w="5611" w:type="dxa"/>
          </w:tcPr>
          <w:p w14:paraId="7B4C7794" w14:textId="59CB08D6" w:rsidR="001E7279" w:rsidRPr="00C6089D" w:rsidRDefault="001E7279" w:rsidP="001E7279">
            <w:pPr>
              <w:pStyle w:val="Level3"/>
              <w:numPr>
                <w:ilvl w:val="0"/>
                <w:numId w:val="0"/>
              </w:numPr>
              <w:rPr>
                <w:rFonts w:ascii="Calibri" w:hAnsi="Calibri" w:cs="Calibri"/>
                <w:sz w:val="24"/>
                <w:szCs w:val="24"/>
              </w:rPr>
            </w:pPr>
            <w:r w:rsidRPr="00C6089D">
              <w:rPr>
                <w:rFonts w:ascii="Calibri" w:hAnsi="Calibri" w:cs="Calibri"/>
                <w:sz w:val="24"/>
                <w:szCs w:val="24"/>
              </w:rPr>
              <w:t>Não será constituído fundo de amortização para a presente Emissão.</w:t>
            </w:r>
          </w:p>
        </w:tc>
      </w:tr>
      <w:tr w:rsidR="001E7279" w:rsidRPr="00365D60" w14:paraId="7121052D" w14:textId="77777777" w:rsidTr="009955CC">
        <w:trPr>
          <w:jc w:val="center"/>
        </w:trPr>
        <w:tc>
          <w:tcPr>
            <w:tcW w:w="3119" w:type="dxa"/>
          </w:tcPr>
          <w:p w14:paraId="3BE7BFB4" w14:textId="09900F04" w:rsidR="001E7279" w:rsidRPr="00C6089D" w:rsidRDefault="001E7279" w:rsidP="001E7279">
            <w:pPr>
              <w:pStyle w:val="Body"/>
              <w:jc w:val="left"/>
              <w:rPr>
                <w:rFonts w:ascii="Calibri" w:hAnsi="Calibri" w:cs="Calibri"/>
                <w:b/>
                <w:sz w:val="24"/>
              </w:rPr>
            </w:pPr>
            <w:bookmarkStart w:id="34" w:name="_Toc428328044"/>
            <w:r w:rsidRPr="00C6089D">
              <w:rPr>
                <w:rFonts w:ascii="Calibri" w:hAnsi="Calibri" w:cs="Calibri"/>
                <w:b/>
                <w:sz w:val="24"/>
              </w:rPr>
              <w:t>Vencimento Antecipado</w:t>
            </w:r>
            <w:bookmarkEnd w:id="34"/>
          </w:p>
        </w:tc>
        <w:tc>
          <w:tcPr>
            <w:tcW w:w="5611" w:type="dxa"/>
          </w:tcPr>
          <w:p w14:paraId="6A509129" w14:textId="30B45952" w:rsidR="001E7279" w:rsidRPr="00C6089D" w:rsidRDefault="001E7279" w:rsidP="001E7279">
            <w:pPr>
              <w:pStyle w:val="Body"/>
              <w:rPr>
                <w:rFonts w:ascii="Calibri" w:hAnsi="Calibri" w:cs="Calibri"/>
                <w:sz w:val="24"/>
              </w:rPr>
            </w:pPr>
            <w:r w:rsidRPr="00C6089D">
              <w:rPr>
                <w:rFonts w:ascii="Calibri" w:hAnsi="Calibri" w:cs="Calibri"/>
                <w:sz w:val="24"/>
              </w:rPr>
              <w:t xml:space="preserve">Observado o disposto na </w:t>
            </w:r>
            <w:r w:rsidRPr="00365D60">
              <w:rPr>
                <w:rFonts w:ascii="Calibri" w:hAnsi="Calibri" w:cs="Calibri"/>
                <w:sz w:val="24"/>
              </w:rPr>
              <w:t xml:space="preserve">cláusula 8 da </w:t>
            </w:r>
            <w:r w:rsidRPr="00C6089D">
              <w:rPr>
                <w:rFonts w:ascii="Calibri" w:hAnsi="Calibri" w:cs="Calibri"/>
                <w:sz w:val="24"/>
              </w:rPr>
              <w:t xml:space="preserve">Escritura de Emissão e no Prospecto Definitivo, o Agente Fiduciário deverá considerar antecipadamente vencidas todas as obrigações constantes da Escritura de Emissão, independentemente de aviso, interpelação ou notificação, judicial ou extrajudicial na ocorrência das hipóteses descritas na Escritura de Emissão e no Prospecto Definitivo, e desde que observados os prazos de cura, valores mínimos e quóruns, conforme aplicáveis, e descritos na Escritura de Emissão e no Prospecto Definitivo. </w:t>
            </w:r>
          </w:p>
          <w:p w14:paraId="024D78D4" w14:textId="049E6D90" w:rsidR="001E7279" w:rsidRPr="00C6089D" w:rsidRDefault="001E7279" w:rsidP="001E7279">
            <w:pPr>
              <w:pStyle w:val="Body"/>
              <w:rPr>
                <w:rFonts w:ascii="Calibri" w:hAnsi="Calibri" w:cs="Calibri"/>
                <w:sz w:val="24"/>
              </w:rPr>
            </w:pPr>
            <w:r w:rsidRPr="00C6089D">
              <w:rPr>
                <w:rFonts w:ascii="Calibri" w:hAnsi="Calibri" w:cs="Calibri"/>
                <w:b/>
                <w:sz w:val="24"/>
              </w:rPr>
              <w:t>Para mais informações sobre as hipóteses de vencimento antecipado</w:t>
            </w:r>
            <w:r w:rsidRPr="00C6089D" w:rsidDel="000F130F">
              <w:rPr>
                <w:rFonts w:ascii="Calibri" w:hAnsi="Calibri" w:cs="Calibri"/>
                <w:b/>
                <w:sz w:val="24"/>
              </w:rPr>
              <w:t xml:space="preserve"> </w:t>
            </w:r>
            <w:r w:rsidRPr="00C6089D">
              <w:rPr>
                <w:rFonts w:ascii="Calibri" w:hAnsi="Calibri" w:cs="Calibri"/>
                <w:b/>
                <w:sz w:val="24"/>
              </w:rPr>
              <w:t xml:space="preserve">veja “Informações Relativas à Emissão, à Oferta e às Debêntures – Vencimento Antecipado” e a seção “Fatores de Risco Relacionados à Oferta e às Debêntures - As obrigações da Emissora constantes da Escritura de Emissão estão sujeitas a </w:t>
            </w:r>
            <w:r w:rsidRPr="00C6089D">
              <w:rPr>
                <w:rFonts w:ascii="Calibri" w:hAnsi="Calibri" w:cs="Calibri"/>
                <w:b/>
                <w:sz w:val="24"/>
              </w:rPr>
              <w:lastRenderedPageBreak/>
              <w:t>hipóteses de vencimento antecipado”, no Prospecto Definitivo.</w:t>
            </w:r>
          </w:p>
        </w:tc>
      </w:tr>
      <w:tr w:rsidR="001E7279" w:rsidRPr="00365D60" w14:paraId="1AE2D461" w14:textId="77777777" w:rsidTr="009955CC">
        <w:trPr>
          <w:jc w:val="center"/>
        </w:trPr>
        <w:tc>
          <w:tcPr>
            <w:tcW w:w="3119" w:type="dxa"/>
          </w:tcPr>
          <w:p w14:paraId="3344B121" w14:textId="68425CE3" w:rsidR="001E7279" w:rsidRPr="00365D60" w:rsidRDefault="001E7279" w:rsidP="001E7279">
            <w:pPr>
              <w:pStyle w:val="Body"/>
              <w:jc w:val="left"/>
              <w:rPr>
                <w:rFonts w:ascii="Calibri" w:hAnsi="Calibri" w:cs="Calibri"/>
                <w:b/>
                <w:sz w:val="24"/>
              </w:rPr>
            </w:pPr>
            <w:r w:rsidRPr="00365D60">
              <w:rPr>
                <w:rFonts w:ascii="Calibri" w:hAnsi="Calibri" w:cs="Calibri"/>
                <w:b/>
                <w:sz w:val="24"/>
              </w:rPr>
              <w:lastRenderedPageBreak/>
              <w:t>Índice Financeiro</w:t>
            </w:r>
          </w:p>
        </w:tc>
        <w:tc>
          <w:tcPr>
            <w:tcW w:w="5611" w:type="dxa"/>
          </w:tcPr>
          <w:p w14:paraId="6D4C1587" w14:textId="54F26FFE" w:rsidR="001E7279" w:rsidRPr="00365D60" w:rsidRDefault="001E7279" w:rsidP="001E7279">
            <w:pPr>
              <w:pStyle w:val="Body"/>
              <w:rPr>
                <w:rFonts w:ascii="Calibri" w:hAnsi="Calibri" w:cs="Calibri"/>
                <w:sz w:val="24"/>
              </w:rPr>
            </w:pPr>
            <w:r w:rsidRPr="00365D60">
              <w:rPr>
                <w:rFonts w:ascii="Calibri" w:eastAsia="Calibri" w:hAnsi="Calibri" w:cs="Calibri"/>
                <w:sz w:val="24"/>
              </w:rPr>
              <w:t>Sem prejuízo das demais hipóteses de vencimento antecipado automático e não automático previstas na Escritura de Emissão, constitui Evento de Inadimplemento não automático, podendo acarretar o vencimento antecipado das obrigações decorrentes das Debêntures se não deliberado de forma diversa em Assembleia Geral de Debenturistas, aplicando-se o disposto na Escritura de Emissão, a 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a Escritura de Emissão(“</w:t>
            </w:r>
            <w:r w:rsidRPr="00365D60">
              <w:rPr>
                <w:rFonts w:ascii="Calibri" w:eastAsia="Calibri" w:hAnsi="Calibri" w:cs="Calibri"/>
                <w:sz w:val="24"/>
                <w:u w:val="single"/>
              </w:rPr>
              <w:t>Índice Financeiro</w:t>
            </w:r>
            <w:r w:rsidRPr="00365D60">
              <w:rPr>
                <w:rFonts w:ascii="Calibri" w:eastAsia="Calibri" w:hAnsi="Calibri" w:cs="Calibri"/>
                <w:sz w:val="24"/>
              </w:rPr>
              <w:t>”), decorrente do quociente da divisão da Dívida Financeira Líquida da Emissora pelo EBITDA da Emissora, que deverá ser igual ou inferior a 4,0 (quatro) vezes.</w:t>
            </w:r>
          </w:p>
        </w:tc>
      </w:tr>
      <w:tr w:rsidR="001E7279" w:rsidRPr="00365D60" w14:paraId="71FE27BD" w14:textId="77777777" w:rsidTr="009955CC">
        <w:trPr>
          <w:jc w:val="center"/>
        </w:trPr>
        <w:tc>
          <w:tcPr>
            <w:tcW w:w="3119" w:type="dxa"/>
          </w:tcPr>
          <w:p w14:paraId="1AD076FA" w14:textId="1E8B5916" w:rsidR="001E7279" w:rsidRPr="00C6089D" w:rsidRDefault="001E7279" w:rsidP="001E7279">
            <w:pPr>
              <w:pStyle w:val="Body"/>
              <w:jc w:val="left"/>
              <w:rPr>
                <w:rFonts w:ascii="Calibri" w:hAnsi="Calibri" w:cs="Calibri"/>
                <w:b/>
                <w:sz w:val="24"/>
              </w:rPr>
            </w:pPr>
            <w:r w:rsidRPr="00C6089D">
              <w:rPr>
                <w:rFonts w:ascii="Calibri" w:hAnsi="Calibri" w:cs="Calibri"/>
                <w:b/>
                <w:sz w:val="24"/>
              </w:rPr>
              <w:t>Formador de Mercado</w:t>
            </w:r>
          </w:p>
        </w:tc>
        <w:tc>
          <w:tcPr>
            <w:tcW w:w="5611" w:type="dxa"/>
          </w:tcPr>
          <w:p w14:paraId="4A712751" w14:textId="7A58BA07" w:rsidR="001E7279" w:rsidRPr="00C6089D" w:rsidRDefault="001E7279" w:rsidP="001E7279">
            <w:pPr>
              <w:pStyle w:val="Body"/>
              <w:rPr>
                <w:rFonts w:ascii="Calibri" w:hAnsi="Calibri" w:cs="Calibri"/>
                <w:sz w:val="24"/>
              </w:rPr>
            </w:pPr>
            <w:r w:rsidRPr="00365D60">
              <w:rPr>
                <w:rFonts w:ascii="Calibri" w:hAnsi="Calibri" w:cs="Calibri"/>
                <w:sz w:val="24"/>
              </w:rPr>
              <w:t>Em conformidade com o disposto no Código ANBIMA, o Coordenador Líder recomendou à Companhia a contratação de instituição para desenvolver atividades de formador de mercado, nos termos da Instrução da CVM nº 384, de 17 de março de 2003, no entanto, não houve contratação de formador de mercado.</w:t>
            </w:r>
          </w:p>
        </w:tc>
      </w:tr>
      <w:tr w:rsidR="001E7279" w:rsidRPr="00365D60" w14:paraId="6891D361" w14:textId="77777777" w:rsidTr="009955CC">
        <w:trPr>
          <w:jc w:val="center"/>
        </w:trPr>
        <w:tc>
          <w:tcPr>
            <w:tcW w:w="3119" w:type="dxa"/>
          </w:tcPr>
          <w:p w14:paraId="3E476B48" w14:textId="77777777" w:rsidR="001E7279" w:rsidRPr="00C6089D" w:rsidRDefault="001E7279" w:rsidP="001E7279">
            <w:pPr>
              <w:pStyle w:val="Body"/>
              <w:jc w:val="left"/>
              <w:rPr>
                <w:rFonts w:ascii="Calibri" w:hAnsi="Calibri" w:cs="Calibri"/>
                <w:b/>
                <w:sz w:val="24"/>
              </w:rPr>
            </w:pPr>
            <w:r w:rsidRPr="00C6089D">
              <w:rPr>
                <w:rFonts w:ascii="Calibri" w:hAnsi="Calibri" w:cs="Calibri"/>
                <w:b/>
                <w:sz w:val="24"/>
              </w:rPr>
              <w:t>Agente Fiduciário</w:t>
            </w:r>
          </w:p>
        </w:tc>
        <w:tc>
          <w:tcPr>
            <w:tcW w:w="5611" w:type="dxa"/>
          </w:tcPr>
          <w:p w14:paraId="0DD861A1" w14:textId="7651ED94" w:rsidR="001E7279" w:rsidRPr="00365D60" w:rsidRDefault="001E7279" w:rsidP="001E7279">
            <w:pPr>
              <w:pStyle w:val="Body"/>
              <w:rPr>
                <w:rFonts w:ascii="Calibri" w:eastAsia="Calibri" w:hAnsi="Calibri" w:cs="Calibri"/>
                <w:sz w:val="24"/>
              </w:rPr>
            </w:pPr>
            <w:r w:rsidRPr="00365D60">
              <w:rPr>
                <w:rFonts w:ascii="Calibri" w:eastAsia="Calibri" w:hAnsi="Calibri" w:cs="Calibri"/>
                <w:b/>
                <w:kern w:val="0"/>
                <w:sz w:val="24"/>
                <w:lang w:eastAsia="en-US"/>
              </w:rPr>
              <w:t>SIMPLIFIC PAVARINI DISTRIBUIDORA DE TÍTULOS E VALORES MOBILIÁRIOS LTDA.</w:t>
            </w:r>
            <w:r w:rsidRPr="00365D60">
              <w:rPr>
                <w:rFonts w:ascii="Calibri" w:eastAsia="Calibri" w:hAnsi="Calibri" w:cs="Calibri"/>
                <w:kern w:val="0"/>
                <w:sz w:val="24"/>
                <w:lang w:eastAsia="en-US"/>
              </w:rPr>
              <w:t xml:space="preserve">, instituição financeira atuando por sua filial na cidade de São Paulo, Estado de São Paulo, na Rua Joaquim Floriano 466, bloco B, </w:t>
            </w:r>
            <w:proofErr w:type="spellStart"/>
            <w:r w:rsidRPr="00365D60">
              <w:rPr>
                <w:rFonts w:ascii="Calibri" w:eastAsia="Calibri" w:hAnsi="Calibri" w:cs="Calibri"/>
                <w:kern w:val="0"/>
                <w:sz w:val="24"/>
                <w:lang w:eastAsia="en-US"/>
              </w:rPr>
              <w:t>conj</w:t>
            </w:r>
            <w:proofErr w:type="spellEnd"/>
            <w:r w:rsidRPr="00365D60">
              <w:rPr>
                <w:rFonts w:ascii="Calibri" w:eastAsia="Calibri" w:hAnsi="Calibri" w:cs="Calibri"/>
                <w:kern w:val="0"/>
                <w:sz w:val="24"/>
                <w:lang w:eastAsia="en-US"/>
              </w:rPr>
              <w:t xml:space="preserve"> 1401, Itaim Bibi CEP 04534-002, inscrita no CNPJ</w:t>
            </w:r>
            <w:r w:rsidR="004D7752">
              <w:rPr>
                <w:rFonts w:ascii="Calibri" w:eastAsia="Calibri" w:hAnsi="Calibri" w:cs="Calibri"/>
                <w:kern w:val="0"/>
                <w:sz w:val="24"/>
                <w:lang w:eastAsia="en-US"/>
              </w:rPr>
              <w:t>/ME</w:t>
            </w:r>
            <w:r w:rsidRPr="00365D60">
              <w:rPr>
                <w:rFonts w:ascii="Calibri" w:eastAsia="Calibri" w:hAnsi="Calibri" w:cs="Calibri"/>
                <w:kern w:val="0"/>
                <w:sz w:val="24"/>
                <w:lang w:eastAsia="en-US"/>
              </w:rPr>
              <w:t xml:space="preserve"> </w:t>
            </w:r>
            <w:r w:rsidRPr="00365D60">
              <w:rPr>
                <w:rFonts w:ascii="Calibri" w:eastAsia="Calibri" w:hAnsi="Calibri" w:cs="Calibri"/>
                <w:kern w:val="0"/>
                <w:sz w:val="24"/>
                <w:lang w:eastAsia="en-US"/>
              </w:rPr>
              <w:lastRenderedPageBreak/>
              <w:t>sob o nº 15.227.994/0004-01</w:t>
            </w:r>
            <w:r w:rsidRPr="00365D60">
              <w:rPr>
                <w:rFonts w:ascii="Calibri" w:eastAsia="Calibri" w:hAnsi="Calibri" w:cs="Calibri"/>
                <w:sz w:val="24"/>
              </w:rPr>
              <w:t xml:space="preserve">, neste ato representada por </w:t>
            </w:r>
            <w:r w:rsidR="004D7752">
              <w:rPr>
                <w:rFonts w:ascii="Calibri" w:eastAsia="Calibri" w:hAnsi="Calibri" w:cs="Calibri"/>
                <w:sz w:val="24"/>
              </w:rPr>
              <w:t xml:space="preserve">seus representantes </w:t>
            </w:r>
            <w:r w:rsidRPr="004D7752">
              <w:rPr>
                <w:rFonts w:ascii="Calibri" w:eastAsia="Calibri" w:hAnsi="Calibri" w:cs="Calibri"/>
                <w:sz w:val="24"/>
              </w:rPr>
              <w:t xml:space="preserve">Matheus Gomes Faria / Pedro Paulo </w:t>
            </w:r>
            <w:r w:rsidR="004D7752">
              <w:rPr>
                <w:rFonts w:ascii="Calibri" w:eastAsia="Calibri" w:hAnsi="Calibri" w:cs="Calibri"/>
                <w:sz w:val="24"/>
              </w:rPr>
              <w:t>Farme d’</w:t>
            </w:r>
            <w:proofErr w:type="spellStart"/>
            <w:r w:rsidR="004D7752">
              <w:rPr>
                <w:rFonts w:ascii="Calibri" w:eastAsia="Calibri" w:hAnsi="Calibri" w:cs="Calibri"/>
                <w:sz w:val="24"/>
              </w:rPr>
              <w:t>Amoed</w:t>
            </w:r>
            <w:proofErr w:type="spellEnd"/>
            <w:r w:rsidR="004D7752">
              <w:rPr>
                <w:rFonts w:ascii="Calibri" w:eastAsia="Calibri" w:hAnsi="Calibri" w:cs="Calibri"/>
                <w:sz w:val="24"/>
              </w:rPr>
              <w:t xml:space="preserve"> Fernandes </w:t>
            </w:r>
            <w:r w:rsidRPr="004D7752">
              <w:rPr>
                <w:rFonts w:ascii="Calibri" w:eastAsia="Calibri" w:hAnsi="Calibri" w:cs="Calibri"/>
                <w:sz w:val="24"/>
              </w:rPr>
              <w:t>de Oliveira</w:t>
            </w:r>
            <w:r w:rsidRPr="00365D60">
              <w:rPr>
                <w:rFonts w:ascii="Calibri" w:eastAsia="Calibri" w:hAnsi="Calibri" w:cs="Calibri"/>
                <w:sz w:val="24"/>
              </w:rPr>
              <w:t>, telefone (11) 3090-0447 / (21) 2507-1949, e-mail spestruturacao@simplificpavarini.com.br.</w:t>
            </w:r>
          </w:p>
          <w:p w14:paraId="54EB791B" w14:textId="3368EB0E" w:rsidR="001E7279" w:rsidRPr="00C6089D" w:rsidRDefault="001E7279" w:rsidP="00324387">
            <w:pPr>
              <w:pStyle w:val="Body"/>
              <w:rPr>
                <w:rFonts w:ascii="Calibri" w:hAnsi="Calibri" w:cs="Calibri"/>
                <w:b/>
                <w:sz w:val="24"/>
              </w:rPr>
            </w:pPr>
            <w:r w:rsidRPr="00365D60">
              <w:rPr>
                <w:rFonts w:ascii="Calibri" w:hAnsi="Calibri" w:cs="Calibri"/>
                <w:b/>
                <w:sz w:val="24"/>
              </w:rPr>
              <w:t xml:space="preserve">PARA MAIS INFORMAÇÕES SOBRE O HISTÓRICO DE EMISSÕES DE VALORES MOBILIÁRIOS DA EMISSORA, CONTROLADAS, CONTROLADORAS, SOCIEDADES COLIGADAS OU INTEGRANTES DO MESMO GRUPO EM QUE O AGENTE FIDUCIÁRIO ATUE PRESTANDO SERVIÇOS DE AGENTE FIDUCIÁRIO E DE AGENTE DE NOTAS, CONSULTE A SEÇÃO “INFORMAÇÕES RELATIVAS À EMISSÃO, À OFERTA E ÀS DEBÊNTURES - CARACTERÍSTICAS DA EMISSÃO E DAS DEBÊNTURES - AGENTE FIDUCIÁRIO”, NA PÁGINA </w:t>
            </w:r>
            <w:r w:rsidR="0087082D">
              <w:rPr>
                <w:rFonts w:ascii="Calibri" w:hAnsi="Calibri" w:cs="Calibri"/>
                <w:b/>
                <w:sz w:val="24"/>
              </w:rPr>
              <w:t>8</w:t>
            </w:r>
            <w:r w:rsidR="00324387">
              <w:rPr>
                <w:rFonts w:ascii="Calibri" w:hAnsi="Calibri" w:cs="Calibri"/>
                <w:b/>
                <w:sz w:val="24"/>
              </w:rPr>
              <w:t>3</w:t>
            </w:r>
            <w:r w:rsidRPr="00365D60">
              <w:rPr>
                <w:rFonts w:ascii="Calibri" w:hAnsi="Calibri" w:cs="Calibri"/>
                <w:b/>
                <w:sz w:val="24"/>
              </w:rPr>
              <w:t xml:space="preserve"> DO PROSPECTO DEFINITIVO.</w:t>
            </w:r>
          </w:p>
        </w:tc>
      </w:tr>
    </w:tbl>
    <w:p w14:paraId="35F1A7D1" w14:textId="5653A8CA" w:rsidR="001C5240" w:rsidRPr="00D347EC" w:rsidRDefault="00122502" w:rsidP="00012B66">
      <w:pPr>
        <w:pStyle w:val="Level1"/>
        <w:tabs>
          <w:tab w:val="clear" w:pos="680"/>
          <w:tab w:val="num" w:pos="426"/>
        </w:tabs>
        <w:rPr>
          <w:rFonts w:ascii="Calibri" w:hAnsi="Calibri" w:cs="Calibri"/>
          <w:caps/>
          <w:color w:val="203463"/>
          <w:sz w:val="28"/>
          <w:szCs w:val="28"/>
        </w:rPr>
      </w:pPr>
      <w:bookmarkStart w:id="35" w:name="_Ref429063221"/>
      <w:r w:rsidRPr="00D347EC">
        <w:rPr>
          <w:rFonts w:ascii="Calibri" w:hAnsi="Calibri" w:cs="Calibri"/>
          <w:caps/>
          <w:color w:val="203463"/>
          <w:sz w:val="28"/>
          <w:szCs w:val="28"/>
        </w:rPr>
        <w:lastRenderedPageBreak/>
        <w:t>Características da Oferta</w:t>
      </w:r>
      <w:bookmarkEnd w:id="35"/>
    </w:p>
    <w:tbl>
      <w:tblPr>
        <w:tblW w:w="8730" w:type="dxa"/>
        <w:jc w:val="center"/>
        <w:tblCellMar>
          <w:top w:w="57" w:type="dxa"/>
          <w:left w:w="57" w:type="dxa"/>
          <w:bottom w:w="57" w:type="dxa"/>
          <w:right w:w="57" w:type="dxa"/>
        </w:tblCellMar>
        <w:tblLook w:val="0000" w:firstRow="0" w:lastRow="0" w:firstColumn="0" w:lastColumn="0" w:noHBand="0" w:noVBand="0"/>
      </w:tblPr>
      <w:tblGrid>
        <w:gridCol w:w="3119"/>
        <w:gridCol w:w="5611"/>
      </w:tblGrid>
      <w:tr w:rsidR="00720C65" w:rsidRPr="00365D60" w14:paraId="1D09EEC3" w14:textId="77777777" w:rsidTr="00546802">
        <w:trPr>
          <w:jc w:val="center"/>
        </w:trPr>
        <w:tc>
          <w:tcPr>
            <w:tcW w:w="3119" w:type="dxa"/>
          </w:tcPr>
          <w:p w14:paraId="12BFCD2D" w14:textId="77777777" w:rsidR="00546802" w:rsidRPr="00C6089D" w:rsidRDefault="000A2994" w:rsidP="000A2994">
            <w:pPr>
              <w:pStyle w:val="Body"/>
              <w:jc w:val="left"/>
              <w:rPr>
                <w:rFonts w:ascii="Calibri" w:hAnsi="Calibri" w:cs="Calibri"/>
                <w:b/>
                <w:sz w:val="24"/>
              </w:rPr>
            </w:pPr>
            <w:bookmarkStart w:id="36" w:name="_Toc428322711"/>
            <w:bookmarkStart w:id="37" w:name="_Toc428328047"/>
            <w:r w:rsidRPr="00C6089D">
              <w:rPr>
                <w:rFonts w:ascii="Calibri" w:hAnsi="Calibri" w:cs="Calibri"/>
                <w:b/>
                <w:sz w:val="24"/>
              </w:rPr>
              <w:t>Colocação e Procedimento de Distribuição</w:t>
            </w:r>
            <w:r w:rsidR="00546802" w:rsidRPr="00C6089D">
              <w:rPr>
                <w:rFonts w:ascii="Calibri" w:hAnsi="Calibri" w:cs="Calibri"/>
                <w:b/>
                <w:sz w:val="24"/>
              </w:rPr>
              <w:t xml:space="preserve"> </w:t>
            </w:r>
            <w:bookmarkEnd w:id="36"/>
            <w:bookmarkEnd w:id="37"/>
          </w:p>
        </w:tc>
        <w:tc>
          <w:tcPr>
            <w:tcW w:w="5611" w:type="dxa"/>
          </w:tcPr>
          <w:p w14:paraId="6A2FF8BE" w14:textId="0F30ED3A" w:rsidR="00470CF5" w:rsidRPr="00365D60" w:rsidRDefault="00470CF5" w:rsidP="00470CF5">
            <w:pPr>
              <w:pStyle w:val="Body"/>
              <w:rPr>
                <w:rFonts w:ascii="Calibri" w:hAnsi="Calibri" w:cs="Calibri"/>
                <w:sz w:val="24"/>
              </w:rPr>
            </w:pPr>
            <w:r w:rsidRPr="00365D60">
              <w:rPr>
                <w:rFonts w:ascii="Calibri" w:hAnsi="Calibri" w:cs="Calibri"/>
                <w:sz w:val="24"/>
              </w:rPr>
              <w:t xml:space="preserve">As Debêntures serão objeto de oferta pública de distribuição, nos termos da Instrução CVM 400, sob regime de garantia firme de colocação (exceto pelas Debêntures Adicionais, as quais serão colocadas sob o regime de melhores esforços de colocação), para a totalidade das Debêntures, nos termos do </w:t>
            </w:r>
            <w:r w:rsidRPr="00365D60">
              <w:rPr>
                <w:rFonts w:ascii="Calibri" w:hAnsi="Calibri" w:cs="Calibri"/>
                <w:i/>
                <w:iCs/>
                <w:sz w:val="24"/>
              </w:rPr>
              <w:t>“Contrato de Coordenação, Colocação e Distribuição Pública, sob o Regime de Garantia Firme de Colocação, de Debêntures Simples, Não Conversíveis em Ações, da Espécie Quirografária, em até Duas Séries, da 4ª (quarta) Emissão da São Martinho S.A</w:t>
            </w:r>
            <w:r w:rsidRPr="00365D60">
              <w:rPr>
                <w:rFonts w:ascii="Calibri" w:hAnsi="Calibri" w:cs="Calibri"/>
                <w:sz w:val="24"/>
              </w:rPr>
              <w:t>.” (“</w:t>
            </w:r>
            <w:r w:rsidRPr="00365D60">
              <w:rPr>
                <w:rFonts w:ascii="Calibri" w:hAnsi="Calibri" w:cs="Calibri"/>
                <w:sz w:val="24"/>
                <w:u w:val="single"/>
              </w:rPr>
              <w:t>Contrato de Distribuição</w:t>
            </w:r>
            <w:r w:rsidRPr="00365D60">
              <w:rPr>
                <w:rFonts w:ascii="Calibri" w:hAnsi="Calibri" w:cs="Calibri"/>
                <w:sz w:val="24"/>
              </w:rPr>
              <w:t>”)</w:t>
            </w:r>
            <w:r w:rsidR="004B12E0">
              <w:rPr>
                <w:rFonts w:ascii="Calibri" w:hAnsi="Calibri" w:cs="Calibri"/>
                <w:sz w:val="24"/>
              </w:rPr>
              <w:t xml:space="preserve"> e do “</w:t>
            </w:r>
            <w:r w:rsidR="004B12E0" w:rsidRPr="0045251C">
              <w:rPr>
                <w:rFonts w:ascii="Calibri" w:hAnsi="Calibri" w:cs="Calibri"/>
                <w:i/>
                <w:iCs/>
                <w:sz w:val="24"/>
              </w:rPr>
              <w:t>Primeiro Aditamento ao Contrato de Coordenação, Colocação e</w:t>
            </w:r>
            <w:r w:rsidR="004B12E0" w:rsidRPr="00E66C26">
              <w:rPr>
                <w:rFonts w:ascii="Calibri" w:hAnsi="Calibri" w:cs="Calibri"/>
                <w:i/>
                <w:iCs/>
                <w:sz w:val="24"/>
              </w:rPr>
              <w:t xml:space="preserve"> Distribuição Pública, sob o Regime de Garantia Firme de Colocação, de Debêntures Simples, Não Conversíveis em Ações, da Espécie Quirografária, em até Duas Séries, da 4ª (quarta) </w:t>
            </w:r>
            <w:r w:rsidR="004B12E0" w:rsidRPr="00E66C26">
              <w:rPr>
                <w:rFonts w:ascii="Calibri" w:hAnsi="Calibri" w:cs="Calibri"/>
                <w:i/>
                <w:iCs/>
                <w:sz w:val="24"/>
              </w:rPr>
              <w:lastRenderedPageBreak/>
              <w:t>Emissão da São Martinho S.A</w:t>
            </w:r>
            <w:r w:rsidR="004B12E0" w:rsidRPr="00E66C26">
              <w:rPr>
                <w:rFonts w:ascii="Calibri" w:hAnsi="Calibri" w:cs="Calibri"/>
                <w:sz w:val="24"/>
              </w:rPr>
              <w:t>.</w:t>
            </w:r>
            <w:r w:rsidR="004B12E0">
              <w:rPr>
                <w:rFonts w:ascii="Calibri" w:hAnsi="Calibri" w:cs="Calibri"/>
                <w:sz w:val="24"/>
              </w:rPr>
              <w:t>” (“</w:t>
            </w:r>
            <w:r w:rsidR="004B12E0" w:rsidRPr="0045251C">
              <w:rPr>
                <w:rFonts w:ascii="Calibri" w:hAnsi="Calibri" w:cs="Calibri"/>
                <w:sz w:val="24"/>
                <w:u w:val="single"/>
              </w:rPr>
              <w:t>Primeiro Aditamento ao Contrato de Distribuição</w:t>
            </w:r>
            <w:r w:rsidR="004B12E0">
              <w:rPr>
                <w:rFonts w:ascii="Calibri" w:hAnsi="Calibri" w:cs="Calibri"/>
                <w:sz w:val="24"/>
              </w:rPr>
              <w:t>”)</w:t>
            </w:r>
            <w:r w:rsidRPr="00365D60">
              <w:rPr>
                <w:rFonts w:ascii="Calibri" w:hAnsi="Calibri" w:cs="Calibri"/>
                <w:sz w:val="24"/>
              </w:rPr>
              <w:t xml:space="preserve">, com a intermediação </w:t>
            </w:r>
            <w:r w:rsidR="00906D5C" w:rsidRPr="00906D5C">
              <w:rPr>
                <w:rFonts w:ascii="Calibri" w:hAnsi="Calibri" w:cs="Calibri"/>
                <w:sz w:val="24"/>
              </w:rPr>
              <w:t xml:space="preserve">do </w:t>
            </w:r>
            <w:r w:rsidRPr="00906D5C">
              <w:rPr>
                <w:rFonts w:ascii="Calibri" w:hAnsi="Calibri" w:cs="Calibri"/>
                <w:sz w:val="24"/>
              </w:rPr>
              <w:t>Coordenador Líder</w:t>
            </w:r>
            <w:r w:rsidRPr="00365D60">
              <w:rPr>
                <w:rFonts w:ascii="Calibri" w:hAnsi="Calibri" w:cs="Calibri"/>
                <w:sz w:val="24"/>
              </w:rPr>
              <w:t>, com a participação de outras instituições financeiras autorizadas a operar no mercado de capitais para participar da colocação das Debêntures junto a potenciais investidores e clientes (“</w:t>
            </w:r>
            <w:r w:rsidRPr="00365D60">
              <w:rPr>
                <w:rFonts w:ascii="Calibri" w:hAnsi="Calibri" w:cs="Calibri"/>
                <w:sz w:val="24"/>
                <w:u w:val="single"/>
              </w:rPr>
              <w:t>Participantes Especiais</w:t>
            </w:r>
            <w:r w:rsidRPr="00365D60">
              <w:rPr>
                <w:rFonts w:ascii="Calibri" w:hAnsi="Calibri" w:cs="Calibri"/>
                <w:sz w:val="24"/>
              </w:rPr>
              <w:t>” e, em conjunto com o Coordenador Líder, “</w:t>
            </w:r>
            <w:r w:rsidRPr="00365D60">
              <w:rPr>
                <w:rFonts w:ascii="Calibri" w:hAnsi="Calibri" w:cs="Calibri"/>
                <w:sz w:val="24"/>
                <w:u w:val="single"/>
              </w:rPr>
              <w:t>Instituições Participantes da Oferta</w:t>
            </w:r>
            <w:r w:rsidRPr="00365D60">
              <w:rPr>
                <w:rFonts w:ascii="Calibri" w:hAnsi="Calibri" w:cs="Calibri"/>
                <w:sz w:val="24"/>
              </w:rPr>
              <w:t>”), observado o procedimento previsto no parágrafo 3º do artigo 33 da Instrução CVM 400 (“</w:t>
            </w:r>
            <w:r w:rsidRPr="00365D60">
              <w:rPr>
                <w:rFonts w:ascii="Calibri" w:hAnsi="Calibri" w:cs="Calibri"/>
                <w:sz w:val="24"/>
                <w:u w:val="single"/>
              </w:rPr>
              <w:t>Plano de Distribuição</w:t>
            </w:r>
            <w:r w:rsidRPr="00365D60">
              <w:rPr>
                <w:rFonts w:ascii="Calibri" w:hAnsi="Calibri" w:cs="Calibri"/>
                <w:sz w:val="24"/>
              </w:rPr>
              <w:t>”). Os termos e condições do Plano de Distribuição seguem descritos no Contrato de Distribuição</w:t>
            </w:r>
            <w:r w:rsidR="004B12E0">
              <w:rPr>
                <w:rFonts w:ascii="Calibri" w:hAnsi="Calibri" w:cs="Calibri"/>
                <w:sz w:val="24"/>
              </w:rPr>
              <w:t xml:space="preserve">, </w:t>
            </w:r>
            <w:r w:rsidR="004B12E0" w:rsidRPr="004B12E0">
              <w:rPr>
                <w:rFonts w:ascii="Calibri" w:hAnsi="Calibri" w:cs="Calibri"/>
                <w:sz w:val="24"/>
              </w:rPr>
              <w:t>no Primeiro Aditamento ao Contrato de Distribuição</w:t>
            </w:r>
            <w:r w:rsidRPr="004B12E0">
              <w:rPr>
                <w:rFonts w:ascii="Calibri" w:hAnsi="Calibri" w:cs="Calibri"/>
                <w:sz w:val="24"/>
              </w:rPr>
              <w:t xml:space="preserve"> </w:t>
            </w:r>
            <w:r w:rsidRPr="00365D60">
              <w:rPr>
                <w:rFonts w:ascii="Calibri" w:hAnsi="Calibri" w:cs="Calibri"/>
                <w:sz w:val="24"/>
              </w:rPr>
              <w:t>e nos demais documentos da Oferta. A Oferta não contou com esforços de colocação no exterior.</w:t>
            </w:r>
          </w:p>
          <w:p w14:paraId="5DB6C93F" w14:textId="77777777" w:rsidR="002A42D1" w:rsidRPr="00365D60" w:rsidRDefault="002A42D1" w:rsidP="002A42D1">
            <w:pPr>
              <w:pStyle w:val="Body"/>
              <w:rPr>
                <w:rFonts w:ascii="Calibri" w:hAnsi="Calibri" w:cs="Calibri"/>
                <w:sz w:val="24"/>
              </w:rPr>
            </w:pPr>
            <w:r w:rsidRPr="00365D60">
              <w:rPr>
                <w:rFonts w:ascii="Calibri" w:hAnsi="Calibri" w:cs="Calibri"/>
                <w:sz w:val="24"/>
              </w:rPr>
              <w:t>Observados os requisitos indicados na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w:t>
            </w:r>
          </w:p>
          <w:p w14:paraId="3BE9200C" w14:textId="485353B2" w:rsidR="00BF5EB3" w:rsidRPr="00C6089D" w:rsidRDefault="002A42D1" w:rsidP="002A42D1">
            <w:pPr>
              <w:pStyle w:val="Body"/>
              <w:rPr>
                <w:rFonts w:ascii="Calibri" w:hAnsi="Calibri" w:cs="Calibri"/>
                <w:sz w:val="24"/>
              </w:rPr>
            </w:pPr>
            <w:r w:rsidRPr="00365D60">
              <w:rPr>
                <w:rFonts w:ascii="Calibri" w:hAnsi="Calibri" w:cs="Calibri"/>
                <w:sz w:val="24"/>
              </w:rPr>
              <w:t>Após a colocação das Debêntures, será divulgado o anúncio de encerramento da Oferta (“</w:t>
            </w:r>
            <w:r w:rsidRPr="00365D60">
              <w:rPr>
                <w:rFonts w:ascii="Calibri" w:hAnsi="Calibri" w:cs="Calibri"/>
                <w:sz w:val="24"/>
                <w:u w:val="single"/>
              </w:rPr>
              <w:t>Anúncio de Encerramento da Oferta</w:t>
            </w:r>
            <w:r w:rsidRPr="00365D60">
              <w:rPr>
                <w:rFonts w:ascii="Calibri" w:hAnsi="Calibri" w:cs="Calibri"/>
                <w:sz w:val="24"/>
              </w:rPr>
              <w:t>”).</w:t>
            </w:r>
          </w:p>
          <w:p w14:paraId="632EFF6D" w14:textId="14002BD0" w:rsidR="00546802" w:rsidRPr="00C6089D" w:rsidRDefault="00BF5EB3" w:rsidP="00BF5EB3">
            <w:pPr>
              <w:pStyle w:val="Body"/>
              <w:rPr>
                <w:rFonts w:ascii="Calibri" w:hAnsi="Calibri" w:cs="Calibri"/>
                <w:sz w:val="24"/>
              </w:rPr>
            </w:pPr>
            <w:r w:rsidRPr="00C6089D">
              <w:rPr>
                <w:rFonts w:ascii="Calibri" w:hAnsi="Calibri" w:cs="Calibri"/>
                <w:b/>
                <w:sz w:val="24"/>
              </w:rPr>
              <w:t>Para mais informações, veja a seção “Informações Relativas à Emissão, à Oferta e às Debêntures – Contrato de Distribuição – Regime de Colocação”, no Prospecto Definitivo.</w:t>
            </w:r>
          </w:p>
        </w:tc>
      </w:tr>
      <w:tr w:rsidR="00720C65" w:rsidRPr="00365D60" w14:paraId="7314A2ED" w14:textId="77777777" w:rsidTr="000F74D3">
        <w:trPr>
          <w:jc w:val="center"/>
        </w:trPr>
        <w:tc>
          <w:tcPr>
            <w:tcW w:w="3119" w:type="dxa"/>
          </w:tcPr>
          <w:p w14:paraId="44C3EE6B" w14:textId="378B1C21" w:rsidR="000F74D3" w:rsidRPr="00C6089D" w:rsidRDefault="000F74D3" w:rsidP="000F74D3">
            <w:pPr>
              <w:pStyle w:val="Body"/>
              <w:jc w:val="left"/>
              <w:rPr>
                <w:rFonts w:ascii="Calibri" w:hAnsi="Calibri" w:cs="Calibri"/>
                <w:b/>
                <w:sz w:val="24"/>
              </w:rPr>
            </w:pPr>
            <w:bookmarkStart w:id="38" w:name="_Toc428322712"/>
            <w:bookmarkStart w:id="39" w:name="_Toc428328048"/>
            <w:r w:rsidRPr="00C6089D">
              <w:rPr>
                <w:rFonts w:ascii="Calibri" w:hAnsi="Calibri" w:cs="Calibri"/>
                <w:b/>
                <w:sz w:val="24"/>
              </w:rPr>
              <w:lastRenderedPageBreak/>
              <w:t>Público</w:t>
            </w:r>
            <w:r w:rsidR="001E7279" w:rsidRPr="00365D60">
              <w:rPr>
                <w:rFonts w:ascii="Calibri" w:hAnsi="Calibri" w:cs="Calibri"/>
                <w:b/>
                <w:sz w:val="24"/>
              </w:rPr>
              <w:t>-</w:t>
            </w:r>
            <w:r w:rsidRPr="00C6089D">
              <w:rPr>
                <w:rFonts w:ascii="Calibri" w:hAnsi="Calibri" w:cs="Calibri"/>
                <w:b/>
                <w:sz w:val="24"/>
              </w:rPr>
              <w:t>Alvo da Oferta</w:t>
            </w:r>
            <w:bookmarkEnd w:id="38"/>
            <w:bookmarkEnd w:id="39"/>
          </w:p>
        </w:tc>
        <w:tc>
          <w:tcPr>
            <w:tcW w:w="5611" w:type="dxa"/>
          </w:tcPr>
          <w:p w14:paraId="2B9E4D9F" w14:textId="63098E41" w:rsidR="000F74D3" w:rsidRPr="00C6089D" w:rsidRDefault="002A42D1" w:rsidP="00B83ECE">
            <w:pPr>
              <w:pStyle w:val="Body"/>
              <w:rPr>
                <w:rFonts w:ascii="Calibri" w:hAnsi="Calibri" w:cs="Calibri"/>
                <w:sz w:val="24"/>
              </w:rPr>
            </w:pPr>
            <w:r w:rsidRPr="00365D60">
              <w:rPr>
                <w:rFonts w:ascii="Calibri" w:hAnsi="Calibri" w:cs="Calibri"/>
                <w:sz w:val="24"/>
              </w:rPr>
              <w:t xml:space="preserve">O público alvo da Oferta, levando-se sempre em conta o perfil de risco dos seus destinatários, será composto por (i) “Investidores Institucionais”, definidos como investidores que sejam fundos de investimento, clubes de investimento, carteiras administradas, fundos de pensão, entidades administradoras de recursos de </w:t>
            </w:r>
            <w:r w:rsidRPr="00365D60">
              <w:rPr>
                <w:rFonts w:ascii="Calibri" w:hAnsi="Calibri" w:cs="Calibri"/>
                <w:sz w:val="24"/>
              </w:rPr>
              <w:lastRenderedPageBreak/>
              <w:t>terceiros registradas na CVM, entidades autorizadas a funcionar pelo Banco Central do Brasil (“</w:t>
            </w:r>
            <w:r w:rsidRPr="00365D60">
              <w:rPr>
                <w:rFonts w:ascii="Calibri" w:hAnsi="Calibri" w:cs="Calibri"/>
                <w:sz w:val="24"/>
                <w:u w:val="single"/>
              </w:rPr>
              <w:t>BACEN</w:t>
            </w:r>
            <w:r w:rsidRPr="00365D60">
              <w:rPr>
                <w:rFonts w:ascii="Calibri" w:hAnsi="Calibri" w:cs="Calibri"/>
                <w:sz w:val="24"/>
              </w:rPr>
              <w:t>”), seguradoras, entidades de previdência complementar e de capitalização, bem como pessoas físicas ou jurídicas que sejam considerados investidores profissionais ou investidores qualificados, conforme definido nos artigos 11 e 12 da Resolução da CVM nº 30, de 11 e maio de 2021</w:t>
            </w:r>
            <w:r w:rsidR="008118BB">
              <w:rPr>
                <w:rFonts w:ascii="Calibri" w:hAnsi="Calibri" w:cs="Calibri"/>
                <w:sz w:val="24"/>
              </w:rPr>
              <w:t>, assim como, investidores pessoas físicas ou jurídicas que formaliz</w:t>
            </w:r>
            <w:r w:rsidR="00C146AA">
              <w:rPr>
                <w:rFonts w:ascii="Calibri" w:hAnsi="Calibri" w:cs="Calibri"/>
                <w:sz w:val="24"/>
              </w:rPr>
              <w:t>ara</w:t>
            </w:r>
            <w:r w:rsidR="008118BB">
              <w:rPr>
                <w:rFonts w:ascii="Calibri" w:hAnsi="Calibri" w:cs="Calibri"/>
                <w:sz w:val="24"/>
              </w:rPr>
              <w:t xml:space="preserve"> o Pedido de Reserva em valor igual ou superior a R$1.000.000,00 (um milhão de reais)</w:t>
            </w:r>
            <w:r w:rsidRPr="00365D60">
              <w:rPr>
                <w:rFonts w:ascii="Calibri" w:hAnsi="Calibri" w:cs="Calibri"/>
                <w:sz w:val="24"/>
              </w:rPr>
              <w:t>; e (ii) “Investidores Não Institucionais”, definidos como investidores, pessoas físicas ou jurídicas, que não estejam compreendidos na definição de Investidores Institucionais, observado que o valor máximo por Pedido de Reserva (conforme abaixo definido) seja de R$1.000.000,00 (um milhão de reais) por Investidor Não Institucional (sendo os Investidores Institucionais e os Investidores Não Institucionais, em conjunto, “</w:t>
            </w:r>
            <w:r w:rsidRPr="00365D60">
              <w:rPr>
                <w:rFonts w:ascii="Calibri" w:hAnsi="Calibri" w:cs="Calibri"/>
                <w:sz w:val="24"/>
                <w:u w:val="single"/>
              </w:rPr>
              <w:t>Investidores da Oferta</w:t>
            </w:r>
            <w:r w:rsidRPr="00365D60">
              <w:rPr>
                <w:rFonts w:ascii="Calibri" w:hAnsi="Calibri" w:cs="Calibri"/>
                <w:sz w:val="24"/>
              </w:rPr>
              <w:t>”).</w:t>
            </w:r>
          </w:p>
        </w:tc>
      </w:tr>
      <w:tr w:rsidR="00720C65" w:rsidRPr="00365D60" w14:paraId="1F04CD6A" w14:textId="77777777" w:rsidTr="00546802">
        <w:trPr>
          <w:jc w:val="center"/>
        </w:trPr>
        <w:tc>
          <w:tcPr>
            <w:tcW w:w="3119" w:type="dxa"/>
          </w:tcPr>
          <w:p w14:paraId="17642D7E" w14:textId="4F6969AC" w:rsidR="00B213DF" w:rsidRPr="00C6089D" w:rsidRDefault="002A42D1" w:rsidP="00546802">
            <w:pPr>
              <w:pStyle w:val="Body"/>
              <w:jc w:val="left"/>
              <w:rPr>
                <w:rFonts w:ascii="Calibri" w:hAnsi="Calibri" w:cs="Calibri"/>
                <w:b/>
                <w:sz w:val="24"/>
              </w:rPr>
            </w:pPr>
            <w:bookmarkStart w:id="40" w:name="_Ref427712341"/>
            <w:r w:rsidRPr="00365D60">
              <w:rPr>
                <w:rFonts w:ascii="Calibri" w:hAnsi="Calibri" w:cs="Calibri"/>
                <w:b/>
                <w:sz w:val="24"/>
              </w:rPr>
              <w:lastRenderedPageBreak/>
              <w:t>Coleta de Intenções de Investimento</w:t>
            </w:r>
            <w:r w:rsidR="00B213DF" w:rsidRPr="00C6089D">
              <w:rPr>
                <w:rFonts w:ascii="Calibri" w:hAnsi="Calibri" w:cs="Calibri"/>
                <w:b/>
                <w:sz w:val="24"/>
              </w:rPr>
              <w:t xml:space="preserve"> (Procedimento de </w:t>
            </w:r>
            <w:r w:rsidR="00B213DF" w:rsidRPr="00C6089D">
              <w:rPr>
                <w:rFonts w:ascii="Calibri" w:hAnsi="Calibri" w:cs="Calibri"/>
                <w:b/>
                <w:i/>
                <w:sz w:val="24"/>
              </w:rPr>
              <w:t>Bookbuilding</w:t>
            </w:r>
            <w:r w:rsidR="00B213DF" w:rsidRPr="00C6089D">
              <w:rPr>
                <w:rFonts w:ascii="Calibri" w:hAnsi="Calibri" w:cs="Calibri"/>
                <w:b/>
                <w:sz w:val="24"/>
              </w:rPr>
              <w:t>)</w:t>
            </w:r>
            <w:bookmarkEnd w:id="40"/>
          </w:p>
        </w:tc>
        <w:tc>
          <w:tcPr>
            <w:tcW w:w="5611" w:type="dxa"/>
          </w:tcPr>
          <w:p w14:paraId="57761D56" w14:textId="3D3E1227" w:rsidR="00C340F5" w:rsidRPr="00365D60" w:rsidRDefault="00BE3E14" w:rsidP="00365D60">
            <w:pPr>
              <w:pStyle w:val="Body"/>
              <w:rPr>
                <w:rFonts w:ascii="Calibri" w:hAnsi="Calibri" w:cs="Calibri"/>
                <w:sz w:val="24"/>
              </w:rPr>
            </w:pPr>
            <w:r w:rsidRPr="00C6089D">
              <w:rPr>
                <w:rFonts w:ascii="Calibri" w:hAnsi="Calibri" w:cs="Calibri"/>
                <w:sz w:val="24"/>
              </w:rPr>
              <w:t>Foi</w:t>
            </w:r>
            <w:r w:rsidR="00B213DF" w:rsidRPr="00C6089D">
              <w:rPr>
                <w:rFonts w:ascii="Calibri" w:hAnsi="Calibri" w:cs="Calibri"/>
                <w:sz w:val="24"/>
              </w:rPr>
              <w:t xml:space="preserve"> adotado </w:t>
            </w:r>
            <w:r w:rsidR="007300CF" w:rsidRPr="00C6089D">
              <w:rPr>
                <w:rFonts w:ascii="Calibri" w:hAnsi="Calibri" w:cs="Calibri"/>
                <w:sz w:val="24"/>
              </w:rPr>
              <w:t>procedimento de coleta de intenções de investimento, organizado pelo</w:t>
            </w:r>
            <w:r w:rsidR="00B10679" w:rsidRPr="00365D60">
              <w:rPr>
                <w:rFonts w:ascii="Calibri" w:hAnsi="Calibri" w:cs="Calibri"/>
                <w:sz w:val="24"/>
              </w:rPr>
              <w:t xml:space="preserve"> Coordenador Líder</w:t>
            </w:r>
            <w:r w:rsidR="007300CF" w:rsidRPr="00C6089D">
              <w:rPr>
                <w:rFonts w:ascii="Calibri" w:hAnsi="Calibri" w:cs="Calibri"/>
                <w:sz w:val="24"/>
              </w:rPr>
              <w:t>, nos termos do artigo 23, parágrafo</w:t>
            </w:r>
            <w:r w:rsidR="004461FA" w:rsidRPr="00C6089D">
              <w:rPr>
                <w:rFonts w:ascii="Calibri" w:hAnsi="Calibri" w:cs="Calibri"/>
                <w:sz w:val="24"/>
              </w:rPr>
              <w:t>s</w:t>
            </w:r>
            <w:r w:rsidR="007300CF" w:rsidRPr="00C6089D">
              <w:rPr>
                <w:rFonts w:ascii="Calibri" w:hAnsi="Calibri" w:cs="Calibri"/>
                <w:sz w:val="24"/>
              </w:rPr>
              <w:t xml:space="preserve"> 1º e 2º, e do artigo 44 da Instrução CVM 400 (“</w:t>
            </w:r>
            <w:r w:rsidR="007300CF" w:rsidRPr="00C6089D">
              <w:rPr>
                <w:rFonts w:ascii="Calibri" w:hAnsi="Calibri" w:cs="Calibri"/>
                <w:bCs/>
                <w:sz w:val="24"/>
                <w:u w:val="single"/>
              </w:rPr>
              <w:t xml:space="preserve">Procedimento de </w:t>
            </w:r>
            <w:r w:rsidR="007300CF" w:rsidRPr="00C6089D">
              <w:rPr>
                <w:rFonts w:ascii="Calibri" w:hAnsi="Calibri" w:cs="Calibri"/>
                <w:bCs/>
                <w:i/>
                <w:sz w:val="24"/>
                <w:u w:val="single"/>
              </w:rPr>
              <w:t>Bookbuilding</w:t>
            </w:r>
            <w:r w:rsidR="007300CF" w:rsidRPr="00C6089D">
              <w:rPr>
                <w:rFonts w:ascii="Calibri" w:hAnsi="Calibri" w:cs="Calibri"/>
                <w:sz w:val="24"/>
              </w:rPr>
              <w:t>”), o qual definiu, junto à Emissora</w:t>
            </w:r>
            <w:r w:rsidR="007C4AB4" w:rsidRPr="00C6089D">
              <w:rPr>
                <w:rFonts w:ascii="Calibri" w:hAnsi="Calibri" w:cs="Calibri"/>
                <w:sz w:val="24"/>
              </w:rPr>
              <w:t>:</w:t>
            </w:r>
            <w:r w:rsidR="001E7A57" w:rsidRPr="00365D60">
              <w:rPr>
                <w:rFonts w:ascii="Calibri" w:hAnsi="Calibri" w:cs="Calibri"/>
                <w:sz w:val="24"/>
              </w:rPr>
              <w:t xml:space="preserve"> (i) a existência de demanda para a colocação da totalidade das Debêntures, sem considerar as Debêntures Adicionais, e definiu sobre a realização da Emissão em duas séries; (ii) definiu sobre a emissão e a quantidade de Debêntures da Primeira Série e de Debêntures da Segunda Série, observado o disposto na Cláusula 6.8 da Escritura de Emissão; (iii) definiu a taxa final dos Juros Remuneratórios da Primeira Série, nos termos da Cláusula 6.9.5 da Escritura de Emissão; (iv) definiu a taxa final dos Juros Remuneratórios da Segunda Série; (v) definiu a alocação das Debêntures entre os Investidores </w:t>
            </w:r>
            <w:r w:rsidR="001E7A57" w:rsidRPr="00365D60">
              <w:rPr>
                <w:rFonts w:ascii="Calibri" w:hAnsi="Calibri" w:cs="Calibri"/>
                <w:sz w:val="24"/>
              </w:rPr>
              <w:lastRenderedPageBreak/>
              <w:t>da Oferta; (vi) definiu a colocação a não colocação, das Debêntures Adicionais, bem como as respectivas Séries nas quais foram alocadas as Debêntures Adicionais e, consequentemente, a quantidade de Debêntures a ser alocada em cada uma das Séries.</w:t>
            </w:r>
          </w:p>
          <w:p w14:paraId="69E09C80" w14:textId="1CC263EC" w:rsidR="001E7A57" w:rsidRPr="00C6089D" w:rsidRDefault="001E7A57" w:rsidP="00F23C01">
            <w:pPr>
              <w:pStyle w:val="Body"/>
              <w:rPr>
                <w:rFonts w:ascii="Calibri" w:hAnsi="Calibri" w:cs="Calibri"/>
                <w:sz w:val="24"/>
              </w:rPr>
            </w:pPr>
            <w:r w:rsidRPr="00365D60">
              <w:rPr>
                <w:rFonts w:ascii="Calibri" w:hAnsi="Calibri" w:cs="Calibri"/>
                <w:sz w:val="24"/>
              </w:rPr>
              <w:t xml:space="preserve">A alocação das Debêntures entre Debêntures da Primeira Série e Debêntures da Segunda Série </w:t>
            </w:r>
            <w:r w:rsidR="00B66100" w:rsidRPr="00365D60">
              <w:rPr>
                <w:rFonts w:ascii="Calibri" w:hAnsi="Calibri" w:cs="Calibri"/>
                <w:sz w:val="24"/>
              </w:rPr>
              <w:t>foi</w:t>
            </w:r>
            <w:r w:rsidRPr="00365D60">
              <w:rPr>
                <w:rFonts w:ascii="Calibri" w:hAnsi="Calibri" w:cs="Calibri"/>
                <w:sz w:val="24"/>
              </w:rPr>
              <w:t xml:space="preserve"> realizada no sistema de vasos comunicantes, ou seja, a alocação da quantidade total de Debêntures entre Debêntures de Primeira Série e Debêntures de Segunda Série, </w:t>
            </w:r>
            <w:r w:rsidR="00B66100" w:rsidRPr="00365D60">
              <w:rPr>
                <w:rFonts w:ascii="Calibri" w:hAnsi="Calibri" w:cs="Calibri"/>
                <w:sz w:val="24"/>
              </w:rPr>
              <w:t>foi</w:t>
            </w:r>
            <w:r w:rsidRPr="00365D60">
              <w:rPr>
                <w:rFonts w:ascii="Calibri" w:hAnsi="Calibri" w:cs="Calibri"/>
                <w:sz w:val="24"/>
              </w:rPr>
              <w:t xml:space="preserve"> definida no Procedimento de Bookbuil</w:t>
            </w:r>
            <w:r w:rsidR="004D7752">
              <w:rPr>
                <w:rFonts w:ascii="Calibri" w:hAnsi="Calibri" w:cs="Calibri"/>
                <w:sz w:val="24"/>
              </w:rPr>
              <w:t>d</w:t>
            </w:r>
            <w:r w:rsidRPr="00365D60">
              <w:rPr>
                <w:rFonts w:ascii="Calibri" w:hAnsi="Calibri" w:cs="Calibri"/>
                <w:sz w:val="24"/>
              </w:rPr>
              <w:t>ing, observado que (i) uma das Séries poder</w:t>
            </w:r>
            <w:r w:rsidR="00B66100" w:rsidRPr="00365D60">
              <w:rPr>
                <w:rFonts w:ascii="Calibri" w:hAnsi="Calibri" w:cs="Calibri"/>
                <w:sz w:val="24"/>
              </w:rPr>
              <w:t>ia não ter sido</w:t>
            </w:r>
            <w:r w:rsidRPr="00365D60">
              <w:rPr>
                <w:rFonts w:ascii="Calibri" w:hAnsi="Calibri" w:cs="Calibri"/>
                <w:sz w:val="24"/>
              </w:rPr>
              <w:t xml:space="preserve"> emitida, hipótese na qual a Emissão </w:t>
            </w:r>
            <w:r w:rsidR="00B66100" w:rsidRPr="00365D60">
              <w:rPr>
                <w:rFonts w:ascii="Calibri" w:hAnsi="Calibri" w:cs="Calibri"/>
                <w:sz w:val="24"/>
              </w:rPr>
              <w:t xml:space="preserve">teria sido </w:t>
            </w:r>
            <w:r w:rsidRPr="00365D60">
              <w:rPr>
                <w:rFonts w:ascii="Calibri" w:hAnsi="Calibri" w:cs="Calibri"/>
                <w:sz w:val="24"/>
              </w:rPr>
              <w:t xml:space="preserve">realizada em série única; e (ii) o somatório das Debêntures da Primeira Série e das Debêntures da Segunda Série não </w:t>
            </w:r>
            <w:r w:rsidR="00B66100" w:rsidRPr="00365D60">
              <w:rPr>
                <w:rFonts w:ascii="Calibri" w:hAnsi="Calibri" w:cs="Calibri"/>
                <w:sz w:val="24"/>
              </w:rPr>
              <w:t>excedeu</w:t>
            </w:r>
            <w:r w:rsidRPr="00365D60">
              <w:rPr>
                <w:rFonts w:ascii="Calibri" w:hAnsi="Calibri" w:cs="Calibri"/>
                <w:sz w:val="24"/>
              </w:rPr>
              <w:t xml:space="preserve"> o Valor Total da Emissão, observada a possibilidade de emissão das Debêntures Adicionais (“</w:t>
            </w:r>
            <w:r w:rsidRPr="00365D60">
              <w:rPr>
                <w:rFonts w:ascii="Calibri" w:hAnsi="Calibri" w:cs="Calibri"/>
                <w:sz w:val="24"/>
                <w:u w:val="single"/>
              </w:rPr>
              <w:t>Sistema de Vasos Comunicantes</w:t>
            </w:r>
            <w:r w:rsidRPr="00365D60">
              <w:rPr>
                <w:rFonts w:ascii="Calibri" w:hAnsi="Calibri" w:cs="Calibri"/>
                <w:sz w:val="24"/>
              </w:rPr>
              <w:t>”).</w:t>
            </w:r>
          </w:p>
          <w:p w14:paraId="5529C4A2" w14:textId="36477536" w:rsidR="00C619A6" w:rsidRPr="00C6089D" w:rsidRDefault="007300CF" w:rsidP="00945B8F">
            <w:pPr>
              <w:pStyle w:val="Body"/>
              <w:spacing w:line="240" w:lineRule="auto"/>
              <w:rPr>
                <w:rFonts w:ascii="Calibri" w:hAnsi="Calibri" w:cs="Calibri"/>
                <w:sz w:val="24"/>
              </w:rPr>
            </w:pPr>
            <w:bookmarkStart w:id="41" w:name="_Ref427711719"/>
            <w:r w:rsidRPr="00C6089D">
              <w:rPr>
                <w:rFonts w:ascii="Calibri" w:hAnsi="Calibri" w:cs="Calibri"/>
                <w:sz w:val="24"/>
              </w:rPr>
              <w:t xml:space="preserve">Participaram do Procedimento de </w:t>
            </w:r>
            <w:r w:rsidRPr="00C6089D">
              <w:rPr>
                <w:rFonts w:ascii="Calibri" w:hAnsi="Calibri" w:cs="Calibri"/>
                <w:i/>
                <w:sz w:val="24"/>
              </w:rPr>
              <w:t>Bookbuilding</w:t>
            </w:r>
            <w:r w:rsidRPr="00C6089D">
              <w:rPr>
                <w:rFonts w:ascii="Calibri" w:hAnsi="Calibri" w:cs="Calibri"/>
                <w:sz w:val="24"/>
              </w:rPr>
              <w:t xml:space="preserve"> para definição do</w:t>
            </w:r>
            <w:r w:rsidR="00B66100" w:rsidRPr="00365D60">
              <w:rPr>
                <w:rFonts w:ascii="Calibri" w:hAnsi="Calibri" w:cs="Calibri"/>
                <w:sz w:val="24"/>
              </w:rPr>
              <w:t>s Juros Remuneratórios e alocação das Debêntures entre as Séries exclusivamente Investidores Institucionais</w:t>
            </w:r>
            <w:r w:rsidRPr="00C6089D">
              <w:rPr>
                <w:rFonts w:ascii="Calibri" w:hAnsi="Calibri" w:cs="Calibri"/>
                <w:sz w:val="24"/>
              </w:rPr>
              <w:t xml:space="preserve">. Investidores Não Institucionais não participaram do procedimento de coleta de intenções </w:t>
            </w:r>
            <w:r w:rsidR="0084366A" w:rsidRPr="00C6089D">
              <w:rPr>
                <w:rFonts w:ascii="Calibri" w:hAnsi="Calibri" w:cs="Calibri"/>
                <w:sz w:val="24"/>
              </w:rPr>
              <w:t xml:space="preserve">de investimento </w:t>
            </w:r>
            <w:r w:rsidRPr="00C6089D">
              <w:rPr>
                <w:rFonts w:ascii="Calibri" w:hAnsi="Calibri" w:cs="Calibri"/>
                <w:sz w:val="24"/>
              </w:rPr>
              <w:t xml:space="preserve">para definição </w:t>
            </w:r>
            <w:r w:rsidR="00B66100" w:rsidRPr="00365D60">
              <w:rPr>
                <w:rFonts w:ascii="Calibri" w:hAnsi="Calibri" w:cs="Calibri"/>
                <w:sz w:val="24"/>
              </w:rPr>
              <w:t>dos Juros Remuneratórios e alocação das Debêntures entre as Séries</w:t>
            </w:r>
            <w:r w:rsidRPr="00C6089D">
              <w:rPr>
                <w:rFonts w:ascii="Calibri" w:hAnsi="Calibri" w:cs="Calibri"/>
                <w:sz w:val="24"/>
              </w:rPr>
              <w:t>.</w:t>
            </w:r>
          </w:p>
          <w:p w14:paraId="1C6A7404" w14:textId="1D48C531" w:rsidR="007C4AB4" w:rsidRPr="00C6089D" w:rsidRDefault="007C4AB4" w:rsidP="00945B8F">
            <w:pPr>
              <w:pStyle w:val="Body"/>
              <w:spacing w:line="240" w:lineRule="auto"/>
              <w:rPr>
                <w:rFonts w:ascii="Calibri" w:hAnsi="Calibri" w:cs="Calibri"/>
                <w:sz w:val="24"/>
              </w:rPr>
            </w:pPr>
            <w:bookmarkStart w:id="42" w:name="_Ref459988421"/>
            <w:r w:rsidRPr="00C6089D">
              <w:rPr>
                <w:rFonts w:ascii="Calibri" w:hAnsi="Calibri" w:cs="Calibri"/>
                <w:sz w:val="24"/>
              </w:rPr>
              <w:t xml:space="preserve">O resultado do Procedimento de </w:t>
            </w:r>
            <w:r w:rsidRPr="00C6089D">
              <w:rPr>
                <w:rFonts w:ascii="Calibri" w:hAnsi="Calibri" w:cs="Calibri"/>
                <w:i/>
                <w:sz w:val="24"/>
              </w:rPr>
              <w:t>Bookbuilding</w:t>
            </w:r>
            <w:r w:rsidRPr="00C6089D">
              <w:rPr>
                <w:rFonts w:ascii="Calibri" w:hAnsi="Calibri" w:cs="Calibri"/>
                <w:sz w:val="24"/>
              </w:rPr>
              <w:t xml:space="preserve"> foi ratificado por meio de aditamento à Escritura de Emissão, </w:t>
            </w:r>
            <w:r w:rsidR="00B66100" w:rsidRPr="00365D60">
              <w:rPr>
                <w:rFonts w:ascii="Calibri" w:hAnsi="Calibri" w:cs="Calibri"/>
                <w:sz w:val="24"/>
              </w:rPr>
              <w:t>sem necessidade de nova aprovação societária pela Emissora, nos termos da RCA da Emissão, ou de realização de Assembleia Geral de Debenturistas</w:t>
            </w:r>
            <w:r w:rsidRPr="00C6089D">
              <w:rPr>
                <w:rFonts w:ascii="Calibri" w:hAnsi="Calibri" w:cs="Calibri"/>
                <w:sz w:val="24"/>
              </w:rPr>
              <w:t>, e foi divulgado por meio deste Anúncio de Início, nos termos do artigo 23, parágrafo 2º, da Instrução CVM 400.</w:t>
            </w:r>
            <w:bookmarkEnd w:id="42"/>
          </w:p>
          <w:bookmarkEnd w:id="41"/>
          <w:p w14:paraId="1820024C" w14:textId="2EC4DAB9" w:rsidR="00603E69" w:rsidRPr="00C6089D" w:rsidRDefault="007300CF" w:rsidP="007300CF">
            <w:pPr>
              <w:pStyle w:val="Body"/>
              <w:rPr>
                <w:rFonts w:ascii="Calibri" w:hAnsi="Calibri" w:cs="Calibri"/>
                <w:sz w:val="24"/>
              </w:rPr>
            </w:pPr>
            <w:r w:rsidRPr="00C6089D">
              <w:rPr>
                <w:rFonts w:ascii="Calibri" w:eastAsia="MS Mincho" w:hAnsi="Calibri" w:cs="Calibri"/>
                <w:b/>
                <w:spacing w:val="-4"/>
                <w:sz w:val="24"/>
              </w:rPr>
              <w:t xml:space="preserve">O investimento nas Debêntures por Investidores que sejam Pessoas Vinculadas poderá afetar a liquidez das Debêntures no mercado secundário. </w:t>
            </w:r>
            <w:r w:rsidRPr="00C6089D">
              <w:rPr>
                <w:rFonts w:ascii="Calibri" w:eastAsia="Calibri" w:hAnsi="Calibri" w:cs="Calibri"/>
                <w:b/>
                <w:sz w:val="24"/>
              </w:rPr>
              <w:t xml:space="preserve">Para mais </w:t>
            </w:r>
            <w:r w:rsidRPr="00C6089D">
              <w:rPr>
                <w:rFonts w:ascii="Calibri" w:eastAsia="Calibri" w:hAnsi="Calibri" w:cs="Calibri"/>
                <w:b/>
                <w:sz w:val="24"/>
              </w:rPr>
              <w:lastRenderedPageBreak/>
              <w:t xml:space="preserve">informações acerca do Procedimento de </w:t>
            </w:r>
            <w:r w:rsidRPr="00C6089D">
              <w:rPr>
                <w:rFonts w:ascii="Calibri" w:eastAsia="Calibri" w:hAnsi="Calibri" w:cs="Calibri"/>
                <w:b/>
                <w:i/>
                <w:sz w:val="24"/>
              </w:rPr>
              <w:t>Bookbuilding</w:t>
            </w:r>
            <w:r w:rsidRPr="00C6089D">
              <w:rPr>
                <w:rFonts w:ascii="Calibri" w:eastAsia="Calibri" w:hAnsi="Calibri" w:cs="Calibri"/>
                <w:b/>
                <w:sz w:val="24"/>
              </w:rPr>
              <w:t xml:space="preserve">, veja as seções “Informações Relacionadas à Emissão, à Oferta e às Debêntures – Características da Oferta – Procedimento de Coleta de Intenções de Investimento (Procedimento de </w:t>
            </w:r>
            <w:r w:rsidRPr="00C6089D">
              <w:rPr>
                <w:rFonts w:ascii="Calibri" w:eastAsia="Calibri" w:hAnsi="Calibri" w:cs="Calibri"/>
                <w:b/>
                <w:i/>
                <w:sz w:val="24"/>
              </w:rPr>
              <w:t>Bookbuilding</w:t>
            </w:r>
            <w:r w:rsidRPr="00C6089D">
              <w:rPr>
                <w:rFonts w:ascii="Calibri" w:eastAsia="Calibri" w:hAnsi="Calibri" w:cs="Calibri"/>
                <w:b/>
                <w:sz w:val="24"/>
              </w:rPr>
              <w:t xml:space="preserve">)” e “Fatores de Risco Relacionados à Oferta e às Debêntures – </w:t>
            </w:r>
            <w:r w:rsidRPr="00C6089D">
              <w:rPr>
                <w:rFonts w:ascii="Calibri" w:hAnsi="Calibri" w:cs="Calibri"/>
                <w:b/>
                <w:sz w:val="24"/>
              </w:rPr>
              <w:t>O investimento nas Debêntures por Investidores da Oferta que sejam Pessoas Vinculadas poderá ter um impacto adverso na liquidez das Debêntures no mercado secundário.</w:t>
            </w:r>
            <w:r w:rsidRPr="00C6089D">
              <w:rPr>
                <w:rFonts w:ascii="Calibri" w:eastAsia="MS Mincho" w:hAnsi="Calibri" w:cs="Calibri"/>
                <w:b/>
                <w:spacing w:val="-4"/>
                <w:sz w:val="24"/>
              </w:rPr>
              <w:t xml:space="preserve">” </w:t>
            </w:r>
            <w:r w:rsidRPr="00C6089D">
              <w:rPr>
                <w:rFonts w:ascii="Calibri" w:eastAsia="Calibri" w:hAnsi="Calibri" w:cs="Calibri"/>
                <w:b/>
                <w:sz w:val="24"/>
              </w:rPr>
              <w:t xml:space="preserve">do </w:t>
            </w:r>
            <w:r w:rsidR="00BF20EE" w:rsidRPr="00C6089D">
              <w:rPr>
                <w:rFonts w:ascii="Calibri" w:eastAsia="Calibri" w:hAnsi="Calibri" w:cs="Calibri"/>
                <w:b/>
                <w:sz w:val="24"/>
              </w:rPr>
              <w:t>Prospecto Definitivo.</w:t>
            </w:r>
          </w:p>
        </w:tc>
      </w:tr>
      <w:tr w:rsidR="00720C65" w:rsidRPr="00365D60" w14:paraId="70252717" w14:textId="77777777" w:rsidTr="00546802">
        <w:trPr>
          <w:jc w:val="center"/>
        </w:trPr>
        <w:tc>
          <w:tcPr>
            <w:tcW w:w="3119" w:type="dxa"/>
          </w:tcPr>
          <w:p w14:paraId="16493101" w14:textId="77777777" w:rsidR="00B213DF" w:rsidRPr="00C6089D" w:rsidRDefault="00B213DF" w:rsidP="00546802">
            <w:pPr>
              <w:pStyle w:val="Body"/>
              <w:jc w:val="left"/>
              <w:rPr>
                <w:rFonts w:ascii="Calibri" w:hAnsi="Calibri" w:cs="Calibri"/>
                <w:b/>
                <w:sz w:val="24"/>
              </w:rPr>
            </w:pPr>
            <w:r w:rsidRPr="00C6089D">
              <w:rPr>
                <w:rFonts w:ascii="Calibri" w:hAnsi="Calibri" w:cs="Calibri"/>
                <w:b/>
                <w:sz w:val="24"/>
              </w:rPr>
              <w:lastRenderedPageBreak/>
              <w:t>Pessoas Vinculadas</w:t>
            </w:r>
          </w:p>
        </w:tc>
        <w:tc>
          <w:tcPr>
            <w:tcW w:w="5611" w:type="dxa"/>
          </w:tcPr>
          <w:p w14:paraId="23C88AD5" w14:textId="15939117" w:rsidR="007300CF" w:rsidRPr="00C6089D" w:rsidRDefault="007300CF" w:rsidP="007300CF">
            <w:pPr>
              <w:pStyle w:val="Body"/>
              <w:rPr>
                <w:rFonts w:ascii="Calibri" w:hAnsi="Calibri" w:cs="Calibri"/>
                <w:sz w:val="24"/>
              </w:rPr>
            </w:pPr>
            <w:r w:rsidRPr="00C6089D">
              <w:rPr>
                <w:rFonts w:ascii="Calibri" w:hAnsi="Calibri" w:cs="Calibri"/>
                <w:sz w:val="24"/>
              </w:rPr>
              <w:t>Nos termos do artigo 55 da Instrução CVM 400, foi</w:t>
            </w:r>
            <w:r w:rsidR="003B351F">
              <w:rPr>
                <w:rFonts w:ascii="Calibri" w:hAnsi="Calibri" w:cs="Calibri"/>
                <w:sz w:val="24"/>
              </w:rPr>
              <w:t xml:space="preserve"> </w:t>
            </w:r>
            <w:r w:rsidRPr="00C6089D">
              <w:rPr>
                <w:rFonts w:ascii="Calibri" w:hAnsi="Calibri" w:cs="Calibri"/>
                <w:sz w:val="24"/>
              </w:rPr>
              <w:t>aceita a participação de Investidores que sejam considerados Pessoas Vinculadas (conforme definido abaixo).</w:t>
            </w:r>
          </w:p>
          <w:p w14:paraId="5F82E066" w14:textId="231E496C" w:rsidR="007300CF" w:rsidRPr="00C6089D" w:rsidRDefault="007300CF" w:rsidP="007300CF">
            <w:pPr>
              <w:pStyle w:val="Body"/>
              <w:rPr>
                <w:rFonts w:ascii="Calibri" w:hAnsi="Calibri" w:cs="Calibri"/>
                <w:sz w:val="24"/>
              </w:rPr>
            </w:pPr>
            <w:r w:rsidRPr="00C6089D">
              <w:rPr>
                <w:rFonts w:ascii="Calibri" w:hAnsi="Calibri" w:cs="Calibri"/>
                <w:sz w:val="24"/>
              </w:rPr>
              <w:t>Tendo em vista que</w:t>
            </w:r>
            <w:r w:rsidR="00B66100" w:rsidRPr="00365D60">
              <w:rPr>
                <w:rFonts w:ascii="Calibri" w:hAnsi="Calibri" w:cs="Calibri"/>
                <w:sz w:val="24"/>
              </w:rPr>
              <w:t xml:space="preserve"> </w:t>
            </w:r>
            <w:r w:rsidRPr="00C6089D">
              <w:rPr>
                <w:rFonts w:ascii="Calibri" w:hAnsi="Calibri" w:cs="Calibri"/>
                <w:sz w:val="24"/>
              </w:rPr>
              <w:t>não foi verificado excesso de demanda superior a 1/3 (um terço) à quantidade de Debêntures inicialmente ofertada (sem considerar as Debêntures Adicionais), fo</w:t>
            </w:r>
            <w:r w:rsidR="003B351F">
              <w:rPr>
                <w:rFonts w:ascii="Calibri" w:hAnsi="Calibri" w:cs="Calibri"/>
                <w:sz w:val="24"/>
              </w:rPr>
              <w:t xml:space="preserve">i </w:t>
            </w:r>
            <w:r w:rsidRPr="00C6089D">
              <w:rPr>
                <w:rFonts w:ascii="Calibri" w:hAnsi="Calibri" w:cs="Calibri"/>
                <w:sz w:val="24"/>
              </w:rPr>
              <w:t xml:space="preserve">permitida a colocação das Debêntures a Investidores que sejam considerados Pessoas Vinculadas, sendo </w:t>
            </w:r>
            <w:r w:rsidR="00B66100" w:rsidRPr="00365D60">
              <w:rPr>
                <w:rFonts w:ascii="Calibri" w:hAnsi="Calibri" w:cs="Calibri"/>
                <w:sz w:val="24"/>
              </w:rPr>
              <w:t xml:space="preserve">que </w:t>
            </w:r>
            <w:r w:rsidRPr="00C6089D">
              <w:rPr>
                <w:rFonts w:ascii="Calibri" w:hAnsi="Calibri" w:cs="Calibri"/>
                <w:sz w:val="24"/>
              </w:rPr>
              <w:t>os pedidos de reserva e/ou as ordens de investimento realizados por Investidores que sejam considerados Pessoas Vinculadas</w:t>
            </w:r>
            <w:r w:rsidR="00B66100" w:rsidRPr="00365D60">
              <w:rPr>
                <w:rFonts w:ascii="Calibri" w:hAnsi="Calibri" w:cs="Calibri"/>
                <w:sz w:val="24"/>
              </w:rPr>
              <w:t xml:space="preserve"> </w:t>
            </w:r>
            <w:r w:rsidR="003B351F">
              <w:rPr>
                <w:rFonts w:ascii="Calibri" w:hAnsi="Calibri" w:cs="Calibri"/>
                <w:sz w:val="24"/>
              </w:rPr>
              <w:t xml:space="preserve">não </w:t>
            </w:r>
            <w:r w:rsidRPr="00C6089D">
              <w:rPr>
                <w:rFonts w:ascii="Calibri" w:hAnsi="Calibri" w:cs="Calibri"/>
                <w:sz w:val="24"/>
              </w:rPr>
              <w:t>foram automaticamente cancelados, nos termos do artigo 55 da Instrução CVM 400.</w:t>
            </w:r>
          </w:p>
          <w:p w14:paraId="3AE78CC9" w14:textId="71471429" w:rsidR="007300CF" w:rsidRPr="00C6089D" w:rsidRDefault="00B66100" w:rsidP="007300CF">
            <w:pPr>
              <w:pStyle w:val="Body"/>
              <w:rPr>
                <w:rFonts w:ascii="Calibri" w:hAnsi="Calibri" w:cs="Calibri"/>
                <w:sz w:val="24"/>
              </w:rPr>
            </w:pPr>
            <w:r w:rsidRPr="00365D60">
              <w:rPr>
                <w:rFonts w:ascii="Calibri" w:hAnsi="Calibri" w:cs="Calibri"/>
                <w:sz w:val="24"/>
              </w:rPr>
              <w:t>São consideradas</w:t>
            </w:r>
            <w:r w:rsidR="007300CF" w:rsidRPr="00C6089D">
              <w:rPr>
                <w:rFonts w:ascii="Calibri" w:hAnsi="Calibri" w:cs="Calibri"/>
                <w:sz w:val="24"/>
              </w:rPr>
              <w:t xml:space="preserve"> “</w:t>
            </w:r>
            <w:r w:rsidR="007300CF" w:rsidRPr="00C6089D">
              <w:rPr>
                <w:rFonts w:ascii="Calibri" w:hAnsi="Calibri" w:cs="Calibri"/>
                <w:bCs/>
                <w:sz w:val="24"/>
                <w:u w:val="single"/>
              </w:rPr>
              <w:t>Pessoas Vinculadas</w:t>
            </w:r>
            <w:r w:rsidR="007300CF" w:rsidRPr="00C6089D">
              <w:rPr>
                <w:rFonts w:ascii="Calibri" w:hAnsi="Calibri" w:cs="Calibri"/>
                <w:sz w:val="24"/>
              </w:rPr>
              <w:t xml:space="preserve">”: </w:t>
            </w:r>
            <w:r w:rsidRPr="00365D60">
              <w:rPr>
                <w:rFonts w:ascii="Calibri" w:hAnsi="Calibri" w:cs="Calibri"/>
                <w:sz w:val="24"/>
              </w:rPr>
              <w:t xml:space="preserve">(i) administradores, funcionários, operadores e demais prepostos da Emissora e/ou das Instituições Participantes da Oferta, que desempenhem atividades de intermediação ou de suporte operacional diretamente envolvidos na Oferta; (ii) agentes autônomos que prestem serviços à Emissora e/ou às Instituições Participantes da Oferta no âmbito da Oferta; (iii) demais profissionais que mantenham, com a Emissora e/ou as Instituições Participantes da Oferta, </w:t>
            </w:r>
            <w:r w:rsidRPr="00365D60">
              <w:rPr>
                <w:rFonts w:ascii="Calibri" w:hAnsi="Calibri" w:cs="Calibri"/>
                <w:sz w:val="24"/>
              </w:rPr>
              <w:lastRenderedPageBreak/>
              <w:t>contrato de prestação de serviços diretamente relacionados à atividade de intermediação ou de suporte operacional no âmbito da Oferta; (iv) pessoas naturais que sejam, direta ou indiretamente, controladoras ou participem do controle societário da Emissora e/ou das Instituições Participantes da Oferta; (v) sociedades controladas, direta ou indiretamente, pela Emissora e/ou pelas Instituições Participantes da Oferta ou por pessoas a elas vinculadas; (vi) cônjuges ou companheiros e filhos menores das pessoas mencionadas nos itens (i) a (</w:t>
            </w:r>
            <w:proofErr w:type="spellStart"/>
            <w:r w:rsidRPr="00365D60">
              <w:rPr>
                <w:rFonts w:ascii="Calibri" w:hAnsi="Calibri" w:cs="Calibri"/>
                <w:sz w:val="24"/>
              </w:rPr>
              <w:t>iv</w:t>
            </w:r>
            <w:proofErr w:type="spellEnd"/>
            <w:r w:rsidRPr="00365D60">
              <w:rPr>
                <w:rFonts w:ascii="Calibri" w:hAnsi="Calibri" w:cs="Calibri"/>
                <w:sz w:val="24"/>
              </w:rPr>
              <w:t>); e (</w:t>
            </w:r>
            <w:proofErr w:type="spellStart"/>
            <w:r w:rsidRPr="00365D60">
              <w:rPr>
                <w:rFonts w:ascii="Calibri" w:hAnsi="Calibri" w:cs="Calibri"/>
                <w:sz w:val="24"/>
              </w:rPr>
              <w:t>vii</w:t>
            </w:r>
            <w:proofErr w:type="spellEnd"/>
            <w:r w:rsidRPr="00365D60">
              <w:rPr>
                <w:rFonts w:ascii="Calibri" w:hAnsi="Calibri" w:cs="Calibri"/>
                <w:sz w:val="24"/>
              </w:rPr>
              <w:t xml:space="preserve">) clubes e fundos de investimento cuja maioria das cotas pertença a Pessoas Vinculadas indicadas nos itens acima, salvo se geridos discricionariamente por terceiros não vinculados, nos termos do artigo 55 da Instrução CVM 400 e do artigo </w:t>
            </w:r>
            <w:r w:rsidR="00906D5C">
              <w:rPr>
                <w:rFonts w:ascii="Calibri" w:hAnsi="Calibri" w:cs="Calibri"/>
                <w:sz w:val="24"/>
              </w:rPr>
              <w:t>2</w:t>
            </w:r>
            <w:r w:rsidRPr="00365D60">
              <w:rPr>
                <w:rFonts w:ascii="Calibri" w:hAnsi="Calibri" w:cs="Calibri"/>
                <w:sz w:val="24"/>
              </w:rPr>
              <w:t xml:space="preserve">º, inciso </w:t>
            </w:r>
            <w:r w:rsidR="00906D5C">
              <w:rPr>
                <w:rFonts w:ascii="Calibri" w:hAnsi="Calibri" w:cs="Calibri"/>
                <w:sz w:val="24"/>
              </w:rPr>
              <w:t>XII</w:t>
            </w:r>
            <w:r w:rsidRPr="00365D60">
              <w:rPr>
                <w:rFonts w:ascii="Calibri" w:hAnsi="Calibri" w:cs="Calibri"/>
                <w:sz w:val="24"/>
              </w:rPr>
              <w:t xml:space="preserve"> da </w:t>
            </w:r>
            <w:r w:rsidR="00906D5C">
              <w:rPr>
                <w:rFonts w:ascii="Calibri" w:hAnsi="Calibri" w:cs="Calibri"/>
                <w:sz w:val="24"/>
              </w:rPr>
              <w:t>Resolução CVM 35</w:t>
            </w:r>
            <w:r w:rsidR="007300CF" w:rsidRPr="00C6089D">
              <w:rPr>
                <w:rFonts w:ascii="Calibri" w:hAnsi="Calibri" w:cs="Calibri"/>
                <w:sz w:val="24"/>
              </w:rPr>
              <w:t>.</w:t>
            </w:r>
            <w:bookmarkStart w:id="43" w:name="_DV_C150"/>
            <w:bookmarkEnd w:id="43"/>
          </w:p>
          <w:p w14:paraId="10E9B082" w14:textId="12EDA0F8" w:rsidR="002C10A8" w:rsidRPr="0029382C" w:rsidRDefault="007300CF" w:rsidP="00E30849">
            <w:pPr>
              <w:pStyle w:val="Body"/>
              <w:rPr>
                <w:rFonts w:ascii="Calibri" w:hAnsi="Calibri" w:cs="Calibri"/>
                <w:spacing w:val="-4"/>
                <w:sz w:val="24"/>
              </w:rPr>
            </w:pPr>
            <w:r w:rsidRPr="0029382C">
              <w:rPr>
                <w:rFonts w:ascii="Calibri" w:eastAsia="Calibri" w:hAnsi="Calibri" w:cs="Calibri"/>
                <w:b/>
                <w:spacing w:val="-4"/>
                <w:sz w:val="24"/>
              </w:rPr>
              <w:t xml:space="preserve">Para mais informações sobre a participação de Pessoas Vinculadas na Oferta, veja as seções “Informações Relativas à Emissão, à Oferta e às Debêntures – Características da Oferta – Pessoas Vinculadas” e “Fatores de Risco Relacionados à Oferta e às Debêntures – </w:t>
            </w:r>
            <w:r w:rsidRPr="0029382C">
              <w:rPr>
                <w:rFonts w:ascii="Calibri" w:hAnsi="Calibri" w:cs="Calibri"/>
                <w:b/>
                <w:spacing w:val="-4"/>
                <w:sz w:val="24"/>
              </w:rPr>
              <w:t>O investimento nas Debêntures por Investidores da Oferta que sejam Pessoas Vinculadas poderá ter um impacto adverso na liquidez das Debêntures no mercado secundário.</w:t>
            </w:r>
            <w:r w:rsidRPr="0029382C">
              <w:rPr>
                <w:rFonts w:ascii="Calibri" w:eastAsia="Calibri" w:hAnsi="Calibri" w:cs="Calibri"/>
                <w:b/>
                <w:spacing w:val="-4"/>
                <w:sz w:val="24"/>
              </w:rPr>
              <w:t>” do Prospecto Definitivo.</w:t>
            </w:r>
          </w:p>
        </w:tc>
      </w:tr>
      <w:tr w:rsidR="001E7279" w:rsidRPr="00365D60" w14:paraId="7A215B27" w14:textId="77777777" w:rsidTr="00546802">
        <w:trPr>
          <w:jc w:val="center"/>
        </w:trPr>
        <w:tc>
          <w:tcPr>
            <w:tcW w:w="3119" w:type="dxa"/>
          </w:tcPr>
          <w:p w14:paraId="2D46FE34" w14:textId="5665BE96" w:rsidR="001E7279" w:rsidRPr="00365D60" w:rsidRDefault="001E7279" w:rsidP="001E7279">
            <w:pPr>
              <w:pStyle w:val="Body"/>
              <w:jc w:val="left"/>
              <w:rPr>
                <w:rFonts w:ascii="Calibri" w:hAnsi="Calibri" w:cs="Calibri"/>
                <w:b/>
                <w:sz w:val="24"/>
              </w:rPr>
            </w:pPr>
            <w:r w:rsidRPr="00365D60">
              <w:rPr>
                <w:rFonts w:ascii="Calibri" w:hAnsi="Calibri" w:cs="Calibri"/>
                <w:b/>
                <w:sz w:val="24"/>
              </w:rPr>
              <w:lastRenderedPageBreak/>
              <w:t>Período de Reserva</w:t>
            </w:r>
          </w:p>
        </w:tc>
        <w:tc>
          <w:tcPr>
            <w:tcW w:w="5611" w:type="dxa"/>
          </w:tcPr>
          <w:p w14:paraId="1792E9D5" w14:textId="5BF37D83" w:rsidR="001E7279" w:rsidRPr="00365D60" w:rsidRDefault="001E7279" w:rsidP="001E7279">
            <w:pPr>
              <w:pStyle w:val="Body"/>
              <w:rPr>
                <w:rFonts w:ascii="Calibri" w:hAnsi="Calibri" w:cs="Calibri"/>
                <w:sz w:val="24"/>
              </w:rPr>
            </w:pPr>
            <w:r w:rsidRPr="00365D60">
              <w:rPr>
                <w:rFonts w:ascii="Calibri" w:hAnsi="Calibri" w:cs="Calibri"/>
                <w:bCs/>
                <w:sz w:val="24"/>
              </w:rPr>
              <w:t>Os Investidores da Oferta, inclusive aqueles considerados Pessoas Vinculadas, p</w:t>
            </w:r>
            <w:r w:rsidR="00CF232E">
              <w:rPr>
                <w:rFonts w:ascii="Calibri" w:hAnsi="Calibri" w:cs="Calibri"/>
                <w:bCs/>
                <w:sz w:val="24"/>
              </w:rPr>
              <w:t>uderam</w:t>
            </w:r>
            <w:r w:rsidRPr="00365D60">
              <w:rPr>
                <w:rFonts w:ascii="Calibri" w:hAnsi="Calibri" w:cs="Calibri"/>
                <w:bCs/>
                <w:sz w:val="24"/>
              </w:rPr>
              <w:t xml:space="preserve"> ter apresentado suas ordens de investimento por meio de um ou mais pedidos de reserva (“</w:t>
            </w:r>
            <w:r w:rsidRPr="00365D60">
              <w:rPr>
                <w:rFonts w:ascii="Calibri" w:hAnsi="Calibri" w:cs="Calibri"/>
                <w:bCs/>
                <w:sz w:val="24"/>
                <w:u w:val="single"/>
              </w:rPr>
              <w:t>Pedido de Reserva</w:t>
            </w:r>
            <w:r w:rsidRPr="00365D60">
              <w:rPr>
                <w:rFonts w:ascii="Calibri" w:hAnsi="Calibri" w:cs="Calibri"/>
                <w:bCs/>
                <w:sz w:val="24"/>
              </w:rPr>
              <w:t>”), durante um período de reserva específico definido no âmbito da Oferta (“</w:t>
            </w:r>
            <w:r w:rsidRPr="00365D60">
              <w:rPr>
                <w:rFonts w:ascii="Calibri" w:hAnsi="Calibri" w:cs="Calibri"/>
                <w:bCs/>
                <w:sz w:val="24"/>
                <w:u w:val="single"/>
              </w:rPr>
              <w:t>Período de Reserva</w:t>
            </w:r>
            <w:r w:rsidRPr="00365D60">
              <w:rPr>
                <w:rFonts w:ascii="Calibri" w:hAnsi="Calibri" w:cs="Calibri"/>
                <w:bCs/>
                <w:sz w:val="24"/>
              </w:rPr>
              <w:t>”).</w:t>
            </w:r>
          </w:p>
        </w:tc>
      </w:tr>
      <w:tr w:rsidR="001E7279" w:rsidRPr="00365D60" w14:paraId="7824FB24" w14:textId="77777777" w:rsidTr="00546802">
        <w:trPr>
          <w:jc w:val="center"/>
        </w:trPr>
        <w:tc>
          <w:tcPr>
            <w:tcW w:w="3119" w:type="dxa"/>
          </w:tcPr>
          <w:p w14:paraId="65C9AB20" w14:textId="13477DE4" w:rsidR="001E7279" w:rsidRPr="00365D60" w:rsidRDefault="001E7279" w:rsidP="001E7279">
            <w:pPr>
              <w:pStyle w:val="Body"/>
              <w:jc w:val="left"/>
              <w:rPr>
                <w:rFonts w:ascii="Calibri" w:hAnsi="Calibri" w:cs="Calibri"/>
                <w:b/>
                <w:sz w:val="24"/>
              </w:rPr>
            </w:pPr>
            <w:r w:rsidRPr="00365D60">
              <w:rPr>
                <w:rFonts w:ascii="Calibri" w:hAnsi="Calibri" w:cs="Calibri"/>
                <w:b/>
                <w:sz w:val="24"/>
              </w:rPr>
              <w:t>Oferta Não Institucional</w:t>
            </w:r>
          </w:p>
        </w:tc>
        <w:tc>
          <w:tcPr>
            <w:tcW w:w="5611" w:type="dxa"/>
          </w:tcPr>
          <w:p w14:paraId="747E6C1E" w14:textId="5225B2F5" w:rsidR="001E7279" w:rsidRPr="0029382C" w:rsidRDefault="001E7279" w:rsidP="005902A1">
            <w:pPr>
              <w:pStyle w:val="Level2"/>
              <w:widowControl w:val="0"/>
              <w:numPr>
                <w:ilvl w:val="0"/>
                <w:numId w:val="0"/>
              </w:numPr>
              <w:spacing w:line="264" w:lineRule="auto"/>
              <w:rPr>
                <w:rFonts w:ascii="Calibri" w:hAnsi="Calibri" w:cs="Calibri"/>
                <w:spacing w:val="-4"/>
                <w:sz w:val="24"/>
                <w:szCs w:val="24"/>
              </w:rPr>
            </w:pPr>
            <w:r w:rsidRPr="0029382C">
              <w:rPr>
                <w:rFonts w:ascii="Calibri" w:hAnsi="Calibri" w:cs="Calibri"/>
                <w:spacing w:val="-4"/>
                <w:sz w:val="24"/>
                <w:szCs w:val="24"/>
              </w:rPr>
              <w:t xml:space="preserve">Os Investidores Não Institucionais, sejam eles considerados ou não Pessoas Vinculadas, interessados em subscrever Debêntures deveriam preencher e apresentar a </w:t>
            </w:r>
            <w:r w:rsidRPr="0029382C">
              <w:rPr>
                <w:rFonts w:ascii="Calibri" w:hAnsi="Calibri" w:cs="Calibri"/>
                <w:spacing w:val="-4"/>
                <w:sz w:val="24"/>
                <w:szCs w:val="24"/>
              </w:rPr>
              <w:lastRenderedPageBreak/>
              <w:t>uma Instituição Participante da Oferta suas ordens de investimento por meio de Pedido de Reserva durante o Período de Reserva, observado o Limite Máximo de Pedido de Reserva (“</w:t>
            </w:r>
            <w:r w:rsidRPr="0029382C">
              <w:rPr>
                <w:rFonts w:ascii="Calibri" w:hAnsi="Calibri" w:cs="Calibri"/>
                <w:bCs/>
                <w:spacing w:val="-4"/>
                <w:sz w:val="24"/>
                <w:szCs w:val="24"/>
                <w:u w:val="single"/>
              </w:rPr>
              <w:t>Oferta Não Institucional</w:t>
            </w:r>
            <w:r w:rsidRPr="0029382C">
              <w:rPr>
                <w:rFonts w:ascii="Calibri" w:hAnsi="Calibri" w:cs="Calibri"/>
                <w:spacing w:val="-4"/>
                <w:sz w:val="24"/>
                <w:szCs w:val="24"/>
              </w:rPr>
              <w:t>”).</w:t>
            </w:r>
          </w:p>
          <w:p w14:paraId="672E29AE" w14:textId="5135B9CB" w:rsidR="001E7279" w:rsidRPr="00365D60" w:rsidRDefault="001E7279" w:rsidP="005902A1">
            <w:pPr>
              <w:pStyle w:val="Level2"/>
              <w:widowControl w:val="0"/>
              <w:numPr>
                <w:ilvl w:val="0"/>
                <w:numId w:val="0"/>
              </w:numPr>
              <w:spacing w:line="264" w:lineRule="auto"/>
              <w:rPr>
                <w:rFonts w:ascii="Calibri" w:hAnsi="Calibri" w:cs="Calibri"/>
                <w:sz w:val="24"/>
                <w:szCs w:val="24"/>
              </w:rPr>
            </w:pPr>
            <w:r w:rsidRPr="00365D60">
              <w:rPr>
                <w:rFonts w:ascii="Calibri" w:hAnsi="Calibri" w:cs="Calibri"/>
                <w:sz w:val="24"/>
                <w:szCs w:val="24"/>
              </w:rPr>
              <w:t xml:space="preserve">O </w:t>
            </w:r>
            <w:r w:rsidRPr="00C6089D">
              <w:rPr>
                <w:rFonts w:ascii="Calibri" w:hAnsi="Calibri" w:cs="Calibri"/>
                <w:sz w:val="24"/>
                <w:szCs w:val="24"/>
              </w:rPr>
              <w:t>montante de</w:t>
            </w:r>
            <w:r w:rsidR="00A03A99">
              <w:rPr>
                <w:rFonts w:ascii="Calibri" w:hAnsi="Calibri" w:cs="Calibri"/>
                <w:sz w:val="24"/>
                <w:szCs w:val="24"/>
              </w:rPr>
              <w:t xml:space="preserve"> 200.000</w:t>
            </w:r>
            <w:r w:rsidRPr="00C6089D">
              <w:rPr>
                <w:rFonts w:ascii="Calibri" w:hAnsi="Calibri" w:cs="Calibri"/>
                <w:sz w:val="24"/>
                <w:szCs w:val="24"/>
              </w:rPr>
              <w:t xml:space="preserve"> (</w:t>
            </w:r>
            <w:r w:rsidR="00A03A99">
              <w:rPr>
                <w:rFonts w:ascii="Calibri" w:hAnsi="Calibri" w:cs="Calibri"/>
                <w:sz w:val="24"/>
                <w:szCs w:val="24"/>
              </w:rPr>
              <w:t>duzentas mil</w:t>
            </w:r>
            <w:r w:rsidRPr="00C6089D">
              <w:rPr>
                <w:rFonts w:ascii="Calibri" w:hAnsi="Calibri" w:cs="Calibri"/>
                <w:sz w:val="24"/>
                <w:szCs w:val="24"/>
              </w:rPr>
              <w:t xml:space="preserve">) Debêntures, ou seja, </w:t>
            </w:r>
            <w:r w:rsidR="00A03A99">
              <w:rPr>
                <w:rFonts w:ascii="Calibri" w:hAnsi="Calibri" w:cs="Calibri"/>
                <w:sz w:val="24"/>
                <w:szCs w:val="24"/>
              </w:rPr>
              <w:t>20% (vinte por cento)</w:t>
            </w:r>
            <w:r w:rsidRPr="00C6089D">
              <w:rPr>
                <w:rFonts w:ascii="Calibri" w:hAnsi="Calibri" w:cs="Calibri"/>
                <w:sz w:val="24"/>
                <w:szCs w:val="24"/>
              </w:rPr>
              <w:t xml:space="preserve"> do Valor Total da Emissão (sem considerar as Debêntures Adicionais) foi destinado, prioritariamente</w:t>
            </w:r>
            <w:r w:rsidRPr="00365D60">
              <w:rPr>
                <w:rFonts w:ascii="Calibri" w:hAnsi="Calibri" w:cs="Calibri"/>
                <w:sz w:val="24"/>
                <w:szCs w:val="24"/>
              </w:rPr>
              <w:t>, à Oferta Não Institucional.</w:t>
            </w:r>
          </w:p>
          <w:p w14:paraId="4437C8EA" w14:textId="0C3B7147" w:rsidR="001E7279" w:rsidRPr="00365D60" w:rsidRDefault="001E7279" w:rsidP="001E7279">
            <w:pPr>
              <w:pStyle w:val="Level2"/>
              <w:widowControl w:val="0"/>
              <w:numPr>
                <w:ilvl w:val="0"/>
                <w:numId w:val="0"/>
              </w:numPr>
              <w:rPr>
                <w:rFonts w:ascii="Calibri" w:hAnsi="Calibri" w:cs="Calibri"/>
                <w:sz w:val="24"/>
                <w:szCs w:val="24"/>
              </w:rPr>
            </w:pPr>
            <w:r w:rsidRPr="00365D60">
              <w:rPr>
                <w:rFonts w:ascii="Calibri" w:hAnsi="Calibri" w:cs="Calibri"/>
                <w:sz w:val="24"/>
                <w:szCs w:val="24"/>
              </w:rPr>
              <w:t>O limite máximo, individual ou agregado, de Pedidos de Reserva por Investidor Não Institucional foi de R$ 1.000.000,00 (um milhão de reais) (“</w:t>
            </w:r>
            <w:r w:rsidRPr="00C6089D">
              <w:rPr>
                <w:rFonts w:ascii="Calibri" w:hAnsi="Calibri" w:cs="Calibri"/>
                <w:bCs/>
                <w:sz w:val="24"/>
                <w:szCs w:val="24"/>
                <w:u w:val="single"/>
              </w:rPr>
              <w:t>Limite Máximo de Pedido de Reserva</w:t>
            </w:r>
            <w:r w:rsidRPr="00365D60">
              <w:rPr>
                <w:rFonts w:ascii="Calibri" w:hAnsi="Calibri" w:cs="Calibri"/>
                <w:sz w:val="24"/>
                <w:szCs w:val="24"/>
              </w:rPr>
              <w:t>”), sendo certo que caso os Pedidos de Reserva apresentados por um Investidor Não Institucional ultrapassassem o valor individual ou agregado de R$ 1.000.000,00 (um milhão de reais), referido Investidor Não Institucional foi considerado, para todos fins e efeitos, como Investidor Institucional.</w:t>
            </w:r>
          </w:p>
          <w:p w14:paraId="7101E65A" w14:textId="29888FDE" w:rsidR="001E7279" w:rsidRPr="00365D60" w:rsidRDefault="001E7279" w:rsidP="001E7279">
            <w:pPr>
              <w:pStyle w:val="Level2"/>
              <w:widowControl w:val="0"/>
              <w:numPr>
                <w:ilvl w:val="0"/>
                <w:numId w:val="0"/>
              </w:numPr>
              <w:rPr>
                <w:rFonts w:ascii="Calibri" w:hAnsi="Calibri" w:cs="Calibri"/>
                <w:sz w:val="24"/>
                <w:szCs w:val="24"/>
              </w:rPr>
            </w:pPr>
            <w:r w:rsidRPr="00365D60">
              <w:rPr>
                <w:rFonts w:ascii="Calibri" w:hAnsi="Calibri" w:cs="Calibri"/>
                <w:sz w:val="24"/>
                <w:szCs w:val="24"/>
              </w:rPr>
              <w:t xml:space="preserve">Os Pedidos de Reserva efetuados pelos Investidores Não Institucionais são irrevogáveis e irretratáveis, exceto pelo disposto nos incisos </w:t>
            </w:r>
            <w:r w:rsidR="00D15F6B">
              <w:rPr>
                <w:rFonts w:ascii="Calibri" w:hAnsi="Calibri" w:cs="Calibri"/>
                <w:sz w:val="24"/>
                <w:szCs w:val="24"/>
              </w:rPr>
              <w:t>(ii, (iii),</w:t>
            </w:r>
            <w:r w:rsidRPr="00365D60">
              <w:rPr>
                <w:rFonts w:ascii="Calibri" w:hAnsi="Calibri" w:cs="Calibri"/>
                <w:sz w:val="24"/>
                <w:szCs w:val="24"/>
              </w:rPr>
              <w:t xml:space="preserve"> </w:t>
            </w:r>
            <w:r w:rsidR="00D15F6B">
              <w:rPr>
                <w:rFonts w:ascii="Calibri" w:hAnsi="Calibri" w:cs="Calibri"/>
                <w:sz w:val="24"/>
                <w:szCs w:val="24"/>
              </w:rPr>
              <w:t>(vi) e (</w:t>
            </w:r>
            <w:proofErr w:type="spellStart"/>
            <w:r w:rsidR="00D15F6B">
              <w:rPr>
                <w:rFonts w:ascii="Calibri" w:hAnsi="Calibri" w:cs="Calibri"/>
                <w:sz w:val="24"/>
                <w:szCs w:val="24"/>
              </w:rPr>
              <w:t>vii</w:t>
            </w:r>
            <w:proofErr w:type="spellEnd"/>
            <w:r w:rsidR="00D15F6B">
              <w:rPr>
                <w:rFonts w:ascii="Calibri" w:hAnsi="Calibri" w:cs="Calibri"/>
                <w:sz w:val="24"/>
                <w:szCs w:val="24"/>
              </w:rPr>
              <w:t xml:space="preserve">) </w:t>
            </w:r>
            <w:r w:rsidRPr="00365D60">
              <w:rPr>
                <w:rFonts w:ascii="Calibri" w:hAnsi="Calibri" w:cs="Calibri"/>
                <w:sz w:val="24"/>
                <w:szCs w:val="24"/>
              </w:rPr>
              <w:t>abaixo, e de acordo com as seguintes condições, observados os procedimentos e normas de liquidação da B3:</w:t>
            </w:r>
          </w:p>
          <w:p w14:paraId="70EF0B58" w14:textId="3A2FE2F7" w:rsidR="001E7279" w:rsidRPr="00365D60" w:rsidRDefault="001E7279" w:rsidP="0029382C">
            <w:pPr>
              <w:pStyle w:val="itabela"/>
            </w:pPr>
            <w:r w:rsidRPr="00365D60">
              <w:t xml:space="preserve">durante o Período de Reserva, cada Investidor Não Institucional, sejam eles considerados ou não Pessoas Vinculadas, interessado em participar da Oferta Não Institucional realizou a reserva das Debêntures mediante preenchimento do Pedido de Reserva junto a uma Instituição Participante da Oferta, sendo que todos os Pedidos de Reserva apresentados por um único Investidor foram considerados em conjunto para fins do cálculo do Limite Máximo de Pedido de Reserva. Recomendou-se aos Investidores Não Institucionais que entrassem em contato com a Instituição Participante da </w:t>
            </w:r>
            <w:r w:rsidRPr="00365D60">
              <w:lastRenderedPageBreak/>
              <w:t>Oferta</w:t>
            </w:r>
            <w:r w:rsidRPr="00365D60" w:rsidDel="00EE3956">
              <w:t xml:space="preserve"> </w:t>
            </w:r>
            <w:r w:rsidRPr="00365D60">
              <w:t>de sua preferência para verificar os procedimentos adotados pela respectiva Instituição Participante da Oferta para efetivação do Pedido de Reserva, incluindo, sem limitação, eventual necessidade de depósito prévio do investimento pretendido;</w:t>
            </w:r>
          </w:p>
          <w:p w14:paraId="5A22E91B" w14:textId="0B5B04AA" w:rsidR="001E7279" w:rsidRPr="00365D60" w:rsidRDefault="001E7279" w:rsidP="001E7279">
            <w:pPr>
              <w:pStyle w:val="Level2"/>
              <w:rPr>
                <w:rFonts w:ascii="Calibri" w:hAnsi="Calibri" w:cs="Calibri"/>
                <w:sz w:val="24"/>
                <w:szCs w:val="24"/>
              </w:rPr>
            </w:pPr>
            <w:r w:rsidRPr="00365D60">
              <w:rPr>
                <w:rFonts w:ascii="Calibri" w:hAnsi="Calibri" w:cs="Calibri"/>
                <w:sz w:val="24"/>
                <w:szCs w:val="24"/>
              </w:rPr>
              <w:t>os Investidores Não Institucionais que fossem Pessoas Vinculadas deveriam ter indicado no respectivo Pedido de Reserva sua qualidade de Pessoa Vinculada, sendo certo que seus Pedidos de Reserva poderiam ser mas não foram automaticamente cancelados pela respectiva Instituição Participante da Oferta, caso fosse verificado excesso de demanda superior a 1/3 (um terço) das Debêntures incialmente ofertadas (sem considerar as Debêntures Adicionais), nos termos do artigo 55 da Instrução CVM 400;</w:t>
            </w:r>
          </w:p>
          <w:p w14:paraId="1D932A87" w14:textId="50AEF282" w:rsidR="001E7279" w:rsidRPr="00365D60" w:rsidRDefault="001E7279" w:rsidP="000847F8">
            <w:pPr>
              <w:pStyle w:val="Level2"/>
              <w:widowControl w:val="0"/>
              <w:tabs>
                <w:tab w:val="clear" w:pos="680"/>
                <w:tab w:val="num" w:pos="652"/>
              </w:tabs>
              <w:spacing w:line="240" w:lineRule="auto"/>
              <w:ind w:left="652" w:hanging="652"/>
              <w:rPr>
                <w:rFonts w:ascii="Calibri" w:hAnsi="Calibri" w:cs="Calibri"/>
                <w:sz w:val="24"/>
                <w:szCs w:val="24"/>
              </w:rPr>
            </w:pPr>
            <w:bookmarkStart w:id="44" w:name="_Ref463018457"/>
            <w:r w:rsidRPr="00365D60">
              <w:rPr>
                <w:rFonts w:ascii="Calibri" w:hAnsi="Calibri" w:cs="Calibri"/>
                <w:sz w:val="24"/>
                <w:szCs w:val="24"/>
              </w:rPr>
              <w:t xml:space="preserve">no Pedido de Reserva, os Investidores Não Institucionais deveriam, como condição de eficácia de seu Pedido de Reserva e aceitação da Oferta, estipular uma taxa mínima para os Juros Remuneratórios, sendo certo que, na ausência de especificação, o Pedido de Reserva deveria ser cancelado pela respectiva Instituição Participante. O Pedido de Reserva foi automaticamente cancelado quando </w:t>
            </w:r>
            <w:r w:rsidRPr="00365D60">
              <w:rPr>
                <w:rFonts w:ascii="Calibri" w:eastAsia="Calibri" w:hAnsi="Calibri" w:cs="Calibri"/>
                <w:b/>
                <w:bCs/>
                <w:kern w:val="0"/>
                <w:sz w:val="24"/>
                <w:szCs w:val="24"/>
                <w:lang w:eastAsia="en-US"/>
              </w:rPr>
              <w:t xml:space="preserve">(a) </w:t>
            </w:r>
            <w:r w:rsidRPr="00365D60">
              <w:rPr>
                <w:rFonts w:ascii="Calibri" w:eastAsia="Calibri" w:hAnsi="Calibri" w:cs="Calibri"/>
                <w:kern w:val="0"/>
                <w:sz w:val="24"/>
                <w:szCs w:val="24"/>
                <w:lang w:eastAsia="en-US"/>
              </w:rPr>
              <w:t xml:space="preserve">o Investidor Não Institucional estipulou como taxa mínima para os Juros Remuneratórios uma taxa superior à taxa final dos Juros Remuneratórios; </w:t>
            </w:r>
            <w:r w:rsidRPr="00365D60">
              <w:rPr>
                <w:rFonts w:ascii="Calibri" w:eastAsia="Calibri" w:hAnsi="Calibri" w:cs="Calibri"/>
                <w:b/>
                <w:bCs/>
                <w:kern w:val="0"/>
                <w:sz w:val="24"/>
                <w:szCs w:val="24"/>
                <w:lang w:eastAsia="en-US"/>
              </w:rPr>
              <w:t>(b)</w:t>
            </w:r>
            <w:r w:rsidRPr="00365D60">
              <w:rPr>
                <w:rFonts w:ascii="Calibri" w:eastAsia="Calibri" w:hAnsi="Calibri" w:cs="Calibri"/>
                <w:kern w:val="0"/>
                <w:sz w:val="24"/>
                <w:szCs w:val="24"/>
                <w:lang w:eastAsia="en-US"/>
              </w:rPr>
              <w:t xml:space="preserve"> o Investidor Não Institucional estipulou como taxa mínima para as Debêntures uma taxa superior à taxa máxima de Juros Remuneratórios estipulada no Prospecto Definitivo e no Aviso ao Mercado; ou </w:t>
            </w:r>
            <w:r w:rsidRPr="00365D60">
              <w:rPr>
                <w:rFonts w:ascii="Calibri" w:eastAsia="Calibri" w:hAnsi="Calibri" w:cs="Calibri"/>
                <w:b/>
                <w:bCs/>
                <w:kern w:val="0"/>
                <w:sz w:val="24"/>
                <w:szCs w:val="24"/>
                <w:lang w:eastAsia="en-US"/>
              </w:rPr>
              <w:t>(c)</w:t>
            </w:r>
            <w:r w:rsidRPr="00365D60">
              <w:rPr>
                <w:rFonts w:ascii="Calibri" w:eastAsia="Calibri" w:hAnsi="Calibri" w:cs="Calibri"/>
                <w:kern w:val="0"/>
                <w:sz w:val="24"/>
                <w:szCs w:val="24"/>
                <w:lang w:eastAsia="en-US"/>
              </w:rPr>
              <w:t xml:space="preserve"> na ausência de especificação de taxa mínima para os Juros Remuneratórios</w:t>
            </w:r>
            <w:r w:rsidRPr="00365D60">
              <w:rPr>
                <w:rFonts w:ascii="Calibri" w:hAnsi="Calibri" w:cs="Calibri"/>
                <w:sz w:val="24"/>
                <w:szCs w:val="24"/>
              </w:rPr>
              <w:t>;</w:t>
            </w:r>
            <w:bookmarkEnd w:id="44"/>
          </w:p>
          <w:p w14:paraId="31D344C0" w14:textId="63B86AF5" w:rsidR="001E7279" w:rsidRPr="00365D60" w:rsidRDefault="001E7279" w:rsidP="001E7279">
            <w:pPr>
              <w:pStyle w:val="Level2"/>
              <w:widowControl w:val="0"/>
              <w:tabs>
                <w:tab w:val="clear" w:pos="680"/>
                <w:tab w:val="num" w:pos="652"/>
              </w:tabs>
              <w:ind w:left="652" w:hanging="652"/>
              <w:rPr>
                <w:rFonts w:ascii="Calibri" w:hAnsi="Calibri" w:cs="Calibri"/>
                <w:sz w:val="24"/>
                <w:szCs w:val="24"/>
              </w:rPr>
            </w:pPr>
            <w:bookmarkStart w:id="45" w:name="_Ref530055718"/>
            <w:r w:rsidRPr="00365D60">
              <w:rPr>
                <w:rFonts w:ascii="Calibri" w:hAnsi="Calibri" w:cs="Calibri"/>
                <w:sz w:val="24"/>
                <w:szCs w:val="24"/>
              </w:rPr>
              <w:t xml:space="preserve">a quantidade de Debêntures subscritas, o respectivo valor do investimento, a respectiva </w:t>
            </w:r>
            <w:r w:rsidRPr="00365D60">
              <w:rPr>
                <w:rFonts w:ascii="Calibri" w:hAnsi="Calibri" w:cs="Calibri"/>
                <w:sz w:val="24"/>
                <w:szCs w:val="24"/>
              </w:rPr>
              <w:lastRenderedPageBreak/>
              <w:t>Data de Integralização e o horário limite serão informados a cada Investidor Não Institucional anteriormente à primeira Data de Integralização, pela Instituição Participante da Oferta que houver recebido o respectivo Pedido de Reserva, por meio de mensagem enviada ao endereço eletrônico fornecido no Pedido de Reserva ou, na sua ausência, por telefone, fac-símile ou correspondência, devendo o pagamento ser feito de acordo com o item (v) abaixo, limitado ao valor do Pedido de Reserva e ressalvada a possibilidade de rateio prevista abaixo;</w:t>
            </w:r>
            <w:bookmarkEnd w:id="45"/>
          </w:p>
          <w:p w14:paraId="79F684C7" w14:textId="48E19C03" w:rsidR="001E7279" w:rsidRPr="00365D60" w:rsidRDefault="001E7279" w:rsidP="001E7279">
            <w:pPr>
              <w:pStyle w:val="Level2"/>
              <w:widowControl w:val="0"/>
              <w:tabs>
                <w:tab w:val="clear" w:pos="680"/>
                <w:tab w:val="num" w:pos="652"/>
              </w:tabs>
              <w:ind w:left="652" w:hanging="652"/>
              <w:rPr>
                <w:rFonts w:ascii="Calibri" w:hAnsi="Calibri" w:cs="Calibri"/>
                <w:sz w:val="24"/>
                <w:szCs w:val="24"/>
              </w:rPr>
            </w:pPr>
            <w:bookmarkStart w:id="46" w:name="_Ref463018466"/>
            <w:r w:rsidRPr="00365D60">
              <w:rPr>
                <w:rFonts w:ascii="Calibri" w:hAnsi="Calibri" w:cs="Calibri"/>
                <w:sz w:val="24"/>
                <w:szCs w:val="24"/>
              </w:rPr>
              <w:t xml:space="preserve">os Investidores Não Institucionais </w:t>
            </w:r>
            <w:r w:rsidR="00352DDF">
              <w:rPr>
                <w:rFonts w:ascii="Calibri" w:hAnsi="Calibri" w:cs="Calibri"/>
                <w:sz w:val="24"/>
                <w:szCs w:val="24"/>
              </w:rPr>
              <w:t>deverão efetuar</w:t>
            </w:r>
            <w:r w:rsidR="00352DDF" w:rsidRPr="00365D60">
              <w:rPr>
                <w:rFonts w:ascii="Calibri" w:hAnsi="Calibri" w:cs="Calibri"/>
                <w:sz w:val="24"/>
                <w:szCs w:val="24"/>
              </w:rPr>
              <w:t xml:space="preserve"> </w:t>
            </w:r>
            <w:r w:rsidRPr="00365D60">
              <w:rPr>
                <w:rFonts w:ascii="Calibri" w:hAnsi="Calibri" w:cs="Calibri"/>
                <w:sz w:val="24"/>
                <w:szCs w:val="24"/>
              </w:rPr>
              <w:t>o pagamento do valor indicado no item (iv) acima junto à Instituição Participante da Oferta com que tenham realizado o respectivo Pedido de Reserva, conforme procedimentos adotados pela respectiva Instituição Participante da Oferta, na respectiva Data de Integralização, conforme instrução da Instituição Participante da Oferta, sob pena de seu Pedido de Reserva ser cancelado;</w:t>
            </w:r>
            <w:bookmarkEnd w:id="46"/>
          </w:p>
          <w:p w14:paraId="0150ACF3" w14:textId="15BC4769" w:rsidR="001E7279" w:rsidRPr="00365D60" w:rsidRDefault="001E7279" w:rsidP="00945B8F">
            <w:pPr>
              <w:pStyle w:val="Level2"/>
              <w:widowControl w:val="0"/>
              <w:tabs>
                <w:tab w:val="clear" w:pos="680"/>
                <w:tab w:val="num" w:pos="652"/>
              </w:tabs>
              <w:spacing w:line="240" w:lineRule="auto"/>
              <w:ind w:left="652" w:hanging="652"/>
              <w:rPr>
                <w:rFonts w:ascii="Calibri" w:hAnsi="Calibri" w:cs="Calibri"/>
                <w:sz w:val="24"/>
                <w:szCs w:val="24"/>
              </w:rPr>
            </w:pPr>
            <w:r w:rsidRPr="00365D60">
              <w:rPr>
                <w:rFonts w:ascii="Calibri" w:hAnsi="Calibri" w:cs="Calibri"/>
                <w:sz w:val="24"/>
                <w:szCs w:val="24"/>
              </w:rPr>
              <w:t>na respectiva Data de Integralização, cada Instituição Participante da Oferta junto à qual o Pedido de Reserva tenha sido realizado, entregará a cada Investidor Não Institucional o número de Debêntures alocado a tal Investidor Não Institucional, ressalvadas as hipóteses de cancelamento do Pedido de Reserva descritas nos incisos (ii), (iii) e (v) acima e a possibilidade de rateio, nos termos descritos abaixo; e</w:t>
            </w:r>
          </w:p>
          <w:p w14:paraId="0F079410" w14:textId="77777777" w:rsidR="001E7279" w:rsidRPr="00365D60" w:rsidRDefault="001E7279" w:rsidP="001E7279">
            <w:pPr>
              <w:pStyle w:val="Level2"/>
              <w:widowControl w:val="0"/>
              <w:tabs>
                <w:tab w:val="clear" w:pos="680"/>
                <w:tab w:val="num" w:pos="652"/>
              </w:tabs>
              <w:ind w:left="652" w:hanging="652"/>
              <w:rPr>
                <w:rFonts w:ascii="Calibri" w:hAnsi="Calibri" w:cs="Calibri"/>
                <w:sz w:val="24"/>
                <w:szCs w:val="24"/>
              </w:rPr>
            </w:pPr>
            <w:r w:rsidRPr="00365D60">
              <w:rPr>
                <w:rFonts w:ascii="Calibri" w:hAnsi="Calibri" w:cs="Calibri"/>
                <w:sz w:val="24"/>
                <w:szCs w:val="24"/>
              </w:rPr>
              <w:t xml:space="preserve">os Investidores Não Institucionais deverão realizar a integralização das Debêntures pelo Preço de Integralização, mediante o pagamento à vista, na respectiva Data de Integralização, em moeda corrente nacional, em recursos </w:t>
            </w:r>
            <w:r w:rsidRPr="00365D60">
              <w:rPr>
                <w:rFonts w:ascii="Calibri" w:hAnsi="Calibri" w:cs="Calibri"/>
                <w:sz w:val="24"/>
                <w:szCs w:val="24"/>
              </w:rPr>
              <w:lastRenderedPageBreak/>
              <w:t>imediatamente disponíveis, de acordo com o procedimento descrito acima.</w:t>
            </w:r>
          </w:p>
          <w:p w14:paraId="04B6E968" w14:textId="5C92DDD6" w:rsidR="001E7279" w:rsidRPr="00365D60" w:rsidRDefault="001E7279" w:rsidP="001E7279">
            <w:pPr>
              <w:pStyle w:val="Body"/>
              <w:rPr>
                <w:rFonts w:ascii="Calibri" w:hAnsi="Calibri" w:cs="Calibri"/>
                <w:sz w:val="24"/>
              </w:rPr>
            </w:pPr>
            <w:r w:rsidRPr="00C6089D">
              <w:rPr>
                <w:rFonts w:ascii="Calibri" w:hAnsi="Calibri" w:cs="Calibri"/>
                <w:sz w:val="24"/>
              </w:rPr>
              <w:t>Tendo em vista que</w:t>
            </w:r>
            <w:r w:rsidRPr="00365D60">
              <w:rPr>
                <w:rFonts w:ascii="Calibri" w:hAnsi="Calibri" w:cs="Calibri"/>
                <w:sz w:val="24"/>
              </w:rPr>
              <w:t xml:space="preserve"> </w:t>
            </w:r>
            <w:r w:rsidRPr="00C6089D">
              <w:rPr>
                <w:rFonts w:ascii="Calibri" w:hAnsi="Calibri" w:cs="Calibri"/>
                <w:sz w:val="24"/>
              </w:rPr>
              <w:t xml:space="preserve">não foi verificado excesso de demanda superior a 1/3 (um terço) à quantidade de Debêntures inicialmente ofertada (sem considerar as Debêntures Adicionais), foi permitida a colocação das Debêntures a Investidores que sejam considerados Pessoas Vinculadas, sendo </w:t>
            </w:r>
            <w:r w:rsidRPr="00365D60">
              <w:rPr>
                <w:rFonts w:ascii="Calibri" w:hAnsi="Calibri" w:cs="Calibri"/>
                <w:sz w:val="24"/>
              </w:rPr>
              <w:t xml:space="preserve">que </w:t>
            </w:r>
            <w:r w:rsidRPr="00C6089D">
              <w:rPr>
                <w:rFonts w:ascii="Calibri" w:hAnsi="Calibri" w:cs="Calibri"/>
                <w:sz w:val="24"/>
              </w:rPr>
              <w:t>os pedidos de reserva e/ou as ordens de investimento realizados por Investidores que sejam considerados Pessoas Vinculadas</w:t>
            </w:r>
            <w:r w:rsidRPr="00365D60">
              <w:rPr>
                <w:rFonts w:ascii="Calibri" w:hAnsi="Calibri" w:cs="Calibri"/>
                <w:sz w:val="24"/>
              </w:rPr>
              <w:t xml:space="preserve"> </w:t>
            </w:r>
            <w:r w:rsidRPr="00C6089D">
              <w:rPr>
                <w:rFonts w:ascii="Calibri" w:hAnsi="Calibri" w:cs="Calibri"/>
                <w:sz w:val="24"/>
              </w:rPr>
              <w:t>não foram automaticamente cancelados, nos termos do artigo 55 da Instrução CVM 400.</w:t>
            </w:r>
          </w:p>
        </w:tc>
      </w:tr>
      <w:tr w:rsidR="001E7279" w:rsidRPr="00365D60" w14:paraId="72006FD0" w14:textId="77777777" w:rsidTr="00546802">
        <w:trPr>
          <w:jc w:val="center"/>
        </w:trPr>
        <w:tc>
          <w:tcPr>
            <w:tcW w:w="3119" w:type="dxa"/>
          </w:tcPr>
          <w:p w14:paraId="3CC360E0" w14:textId="2D9FD9DA" w:rsidR="001E7279" w:rsidRPr="00C6089D" w:rsidRDefault="001E7279" w:rsidP="001E7279">
            <w:pPr>
              <w:pStyle w:val="Body"/>
              <w:jc w:val="left"/>
              <w:rPr>
                <w:rFonts w:ascii="Calibri" w:hAnsi="Calibri" w:cs="Calibri"/>
                <w:b/>
                <w:sz w:val="24"/>
              </w:rPr>
            </w:pPr>
            <w:r w:rsidRPr="00C6089D">
              <w:rPr>
                <w:rFonts w:ascii="Calibri" w:hAnsi="Calibri" w:cs="Calibri"/>
                <w:b/>
                <w:sz w:val="24"/>
              </w:rPr>
              <w:lastRenderedPageBreak/>
              <w:t>Oferta Institucional</w:t>
            </w:r>
          </w:p>
        </w:tc>
        <w:tc>
          <w:tcPr>
            <w:tcW w:w="5611" w:type="dxa"/>
          </w:tcPr>
          <w:p w14:paraId="652AA039" w14:textId="2D43C1AC" w:rsidR="001E7279" w:rsidRPr="00C6089D" w:rsidRDefault="001E7279" w:rsidP="001E7279">
            <w:pPr>
              <w:spacing w:after="140" w:line="290" w:lineRule="auto"/>
              <w:jc w:val="both"/>
              <w:rPr>
                <w:rFonts w:ascii="Calibri" w:hAnsi="Calibri" w:cs="Calibri"/>
                <w:sz w:val="24"/>
              </w:rPr>
            </w:pPr>
            <w:r w:rsidRPr="00C6089D">
              <w:rPr>
                <w:rFonts w:ascii="Calibri" w:hAnsi="Calibri" w:cs="Calibri"/>
                <w:sz w:val="24"/>
              </w:rPr>
              <w:t xml:space="preserve">Os Investidores Institucionais, sejam eles considerados ou não Pessoas Vinculadas, observados o </w:t>
            </w:r>
            <w:r w:rsidR="000D662E" w:rsidRPr="00C6089D">
              <w:rPr>
                <w:rFonts w:ascii="Calibri" w:hAnsi="Calibri" w:cs="Calibri"/>
                <w:sz w:val="24"/>
              </w:rPr>
              <w:t>público-alvo</w:t>
            </w:r>
            <w:r w:rsidRPr="00C6089D">
              <w:rPr>
                <w:rFonts w:ascii="Calibri" w:hAnsi="Calibri" w:cs="Calibri"/>
                <w:sz w:val="24"/>
              </w:rPr>
              <w:t xml:space="preserve"> da Oferta e a Oferta Não Institucional, interessados em adquirir as Debêntures, </w:t>
            </w:r>
            <w:r w:rsidR="00906D5C">
              <w:rPr>
                <w:rFonts w:ascii="Calibri" w:hAnsi="Calibri" w:cs="Calibri"/>
                <w:sz w:val="24"/>
              </w:rPr>
              <w:t>observaram</w:t>
            </w:r>
            <w:r w:rsidRPr="00C6089D">
              <w:rPr>
                <w:rFonts w:ascii="Calibri" w:hAnsi="Calibri" w:cs="Calibri"/>
                <w:sz w:val="24"/>
              </w:rPr>
              <w:t xml:space="preserve"> os seguintes procedimentos (“</w:t>
            </w:r>
            <w:r w:rsidRPr="00C6089D">
              <w:rPr>
                <w:rFonts w:ascii="Calibri" w:hAnsi="Calibri" w:cs="Calibri"/>
                <w:bCs/>
                <w:sz w:val="24"/>
                <w:u w:val="single"/>
              </w:rPr>
              <w:t>Oferta Institucional</w:t>
            </w:r>
            <w:r w:rsidRPr="00C6089D">
              <w:rPr>
                <w:rFonts w:ascii="Calibri" w:hAnsi="Calibri" w:cs="Calibri"/>
                <w:sz w:val="24"/>
              </w:rPr>
              <w:t>”):</w:t>
            </w:r>
          </w:p>
          <w:p w14:paraId="7B91AA49" w14:textId="1E17E1E3" w:rsidR="001E7279" w:rsidRPr="00C6089D" w:rsidRDefault="001E7279" w:rsidP="00945B8F">
            <w:pPr>
              <w:pStyle w:val="Level4"/>
              <w:tabs>
                <w:tab w:val="clear" w:pos="2041"/>
                <w:tab w:val="num" w:pos="652"/>
              </w:tabs>
              <w:spacing w:line="240" w:lineRule="auto"/>
              <w:ind w:left="652" w:hanging="652"/>
              <w:rPr>
                <w:rFonts w:ascii="Calibri" w:hAnsi="Calibri" w:cs="Calibri"/>
                <w:sz w:val="24"/>
              </w:rPr>
            </w:pPr>
            <w:r w:rsidRPr="00C6089D">
              <w:rPr>
                <w:rFonts w:ascii="Calibri" w:hAnsi="Calibri" w:cs="Calibri"/>
                <w:sz w:val="24"/>
              </w:rPr>
              <w:t xml:space="preserve">os Investidores Institucionais interessados em subscrever Debêntures </w:t>
            </w:r>
            <w:r w:rsidR="00906D5C">
              <w:rPr>
                <w:rFonts w:ascii="Calibri" w:hAnsi="Calibri" w:cs="Calibri"/>
                <w:sz w:val="24"/>
              </w:rPr>
              <w:t>apresentaram</w:t>
            </w:r>
            <w:r w:rsidRPr="00C6089D">
              <w:rPr>
                <w:rFonts w:ascii="Calibri" w:hAnsi="Calibri" w:cs="Calibri"/>
                <w:sz w:val="24"/>
              </w:rPr>
              <w:t xml:space="preserve"> </w:t>
            </w:r>
            <w:r w:rsidRPr="00C6089D">
              <w:rPr>
                <w:rFonts w:ascii="Calibri" w:hAnsi="Calibri" w:cs="Calibri"/>
                <w:b/>
                <w:sz w:val="24"/>
              </w:rPr>
              <w:t>(a)</w:t>
            </w:r>
            <w:r w:rsidRPr="00C6089D">
              <w:rPr>
                <w:rFonts w:ascii="Calibri" w:hAnsi="Calibri" w:cs="Calibri"/>
                <w:sz w:val="24"/>
              </w:rPr>
              <w:t xml:space="preserve"> Pedidos de Reserva durante o Período de Reserva; e/ou </w:t>
            </w:r>
            <w:r w:rsidRPr="00C6089D">
              <w:rPr>
                <w:rFonts w:ascii="Calibri" w:hAnsi="Calibri" w:cs="Calibri"/>
                <w:b/>
                <w:sz w:val="24"/>
              </w:rPr>
              <w:t>(b)</w:t>
            </w:r>
            <w:r w:rsidRPr="00C6089D">
              <w:rPr>
                <w:rFonts w:ascii="Calibri" w:hAnsi="Calibri" w:cs="Calibri"/>
                <w:sz w:val="24"/>
              </w:rPr>
              <w:t> sua intenção de investimento ao</w:t>
            </w:r>
            <w:r w:rsidRPr="00365D60">
              <w:rPr>
                <w:rFonts w:ascii="Calibri" w:hAnsi="Calibri" w:cs="Calibri"/>
                <w:sz w:val="24"/>
              </w:rPr>
              <w:t xml:space="preserve"> Coordenador Líder</w:t>
            </w:r>
            <w:r w:rsidRPr="00C6089D">
              <w:rPr>
                <w:rFonts w:ascii="Calibri" w:hAnsi="Calibri" w:cs="Calibri"/>
                <w:sz w:val="24"/>
              </w:rPr>
              <w:t xml:space="preserve">, na data de realização do Procedimento de </w:t>
            </w:r>
            <w:r w:rsidRPr="00C6089D">
              <w:rPr>
                <w:rFonts w:ascii="Calibri" w:hAnsi="Calibri" w:cs="Calibri"/>
                <w:i/>
                <w:sz w:val="24"/>
              </w:rPr>
              <w:t>Bookbuilding</w:t>
            </w:r>
            <w:r w:rsidRPr="00C6089D">
              <w:rPr>
                <w:rFonts w:ascii="Calibri" w:hAnsi="Calibri" w:cs="Calibri"/>
                <w:sz w:val="24"/>
              </w:rPr>
              <w:t>, conforme cronograma indicado nos Prospectos, indicando a quantidade de Debêntures a ser adquirida em diferentes níveis de taxa de juros. Recomendou-se aos Investidores Institucionais que entrassem em contato com a Instituição Participante da Oferta</w:t>
            </w:r>
            <w:r w:rsidRPr="00C6089D" w:rsidDel="00EE3956">
              <w:rPr>
                <w:rFonts w:ascii="Calibri" w:hAnsi="Calibri" w:cs="Calibri"/>
                <w:sz w:val="24"/>
              </w:rPr>
              <w:t xml:space="preserve"> </w:t>
            </w:r>
            <w:r w:rsidRPr="00C6089D">
              <w:rPr>
                <w:rFonts w:ascii="Calibri" w:hAnsi="Calibri" w:cs="Calibri"/>
                <w:sz w:val="24"/>
              </w:rPr>
              <w:t>de sua preferência para verificar os procedimentos adotados pela respectiva Instituição Participante da Oferta para efetivação do Pedido de Reserva e/ou de sua intenção de investimento, conforme o caso, incluindo, sem limitação, eventual necessidade de depósito prévio do investimento pretendido;</w:t>
            </w:r>
          </w:p>
          <w:p w14:paraId="39D54766" w14:textId="7216AA03" w:rsidR="001E7279" w:rsidRPr="00C6089D" w:rsidRDefault="001E7279" w:rsidP="001E7279">
            <w:pPr>
              <w:pStyle w:val="Level4"/>
              <w:tabs>
                <w:tab w:val="clear" w:pos="2041"/>
                <w:tab w:val="num" w:pos="652"/>
              </w:tabs>
              <w:ind w:left="652" w:hanging="652"/>
              <w:rPr>
                <w:rFonts w:ascii="Calibri" w:hAnsi="Calibri" w:cs="Calibri"/>
                <w:sz w:val="24"/>
              </w:rPr>
            </w:pPr>
            <w:r w:rsidRPr="00C6089D">
              <w:rPr>
                <w:rFonts w:ascii="Calibri" w:hAnsi="Calibri" w:cs="Calibri"/>
                <w:sz w:val="24"/>
              </w:rPr>
              <w:t xml:space="preserve">no Pedido de Reserva e/ou nas intenções de investimento, os Investidores Institucionais, </w:t>
            </w:r>
            <w:r w:rsidRPr="00C6089D">
              <w:rPr>
                <w:rFonts w:ascii="Calibri" w:hAnsi="Calibri" w:cs="Calibri"/>
                <w:sz w:val="24"/>
              </w:rPr>
              <w:lastRenderedPageBreak/>
              <w:t>como condição de eficácia de seu Pedido de Reserva e/ou de sua intenção de investimento e aceitação da Oferta, estipular</w:t>
            </w:r>
            <w:r w:rsidR="00906D5C">
              <w:rPr>
                <w:rFonts w:ascii="Calibri" w:hAnsi="Calibri" w:cs="Calibri"/>
                <w:sz w:val="24"/>
              </w:rPr>
              <w:t>am</w:t>
            </w:r>
            <w:r w:rsidRPr="00C6089D">
              <w:rPr>
                <w:rFonts w:ascii="Calibri" w:hAnsi="Calibri" w:cs="Calibri"/>
                <w:sz w:val="24"/>
              </w:rPr>
              <w:t xml:space="preserve"> uma taxa mínima para </w:t>
            </w:r>
            <w:r w:rsidRPr="00365D60">
              <w:rPr>
                <w:rFonts w:ascii="Calibri" w:hAnsi="Calibri" w:cs="Calibri"/>
                <w:sz w:val="24"/>
              </w:rPr>
              <w:t xml:space="preserve">os Juros Remuneratórios </w:t>
            </w:r>
            <w:r w:rsidRPr="00C6089D">
              <w:rPr>
                <w:rFonts w:ascii="Calibri" w:hAnsi="Calibri" w:cs="Calibri"/>
                <w:sz w:val="24"/>
              </w:rPr>
              <w:t xml:space="preserve">das Debêntures, sendo certo que, na ausência de especificação, o Pedido de Reserva e/ou a intenção de investimento </w:t>
            </w:r>
            <w:r w:rsidR="00906D5C">
              <w:rPr>
                <w:rFonts w:ascii="Calibri" w:hAnsi="Calibri" w:cs="Calibri"/>
                <w:sz w:val="24"/>
              </w:rPr>
              <w:t>foram</w:t>
            </w:r>
            <w:r w:rsidRPr="00C6089D">
              <w:rPr>
                <w:rFonts w:ascii="Calibri" w:hAnsi="Calibri" w:cs="Calibri"/>
                <w:sz w:val="24"/>
              </w:rPr>
              <w:t xml:space="preserve"> cancelados pela respectiva Instituição Participante. O Investidor Institucional p</w:t>
            </w:r>
            <w:r w:rsidR="00906D5C">
              <w:rPr>
                <w:rFonts w:ascii="Calibri" w:hAnsi="Calibri" w:cs="Calibri"/>
                <w:sz w:val="24"/>
              </w:rPr>
              <w:t>ôde</w:t>
            </w:r>
            <w:r w:rsidRPr="00C6089D">
              <w:rPr>
                <w:rFonts w:ascii="Calibri" w:hAnsi="Calibri" w:cs="Calibri"/>
                <w:sz w:val="24"/>
              </w:rPr>
              <w:t xml:space="preserve"> efetuar um ou mais Pedidos de Reserva e/ou intenções de investimento, sem limitação, em diferentes níveis de taxa de juros para um mesmo Pedido de Reserva e/ou intenção de investimento ou em diferentes Pedidos de Reserva e/ou intenções de investimento. O Pedido de Reserva e/ou a intenção de investimento </w:t>
            </w:r>
            <w:r w:rsidR="00BB0658">
              <w:rPr>
                <w:rFonts w:ascii="Calibri" w:hAnsi="Calibri" w:cs="Calibri"/>
                <w:sz w:val="24"/>
              </w:rPr>
              <w:t>foi</w:t>
            </w:r>
            <w:r w:rsidR="00BB0658" w:rsidRPr="00C6089D">
              <w:rPr>
                <w:rFonts w:ascii="Calibri" w:hAnsi="Calibri" w:cs="Calibri"/>
                <w:sz w:val="24"/>
              </w:rPr>
              <w:t xml:space="preserve"> </w:t>
            </w:r>
            <w:r w:rsidRPr="00C6089D">
              <w:rPr>
                <w:rFonts w:ascii="Calibri" w:hAnsi="Calibri" w:cs="Calibri"/>
                <w:sz w:val="24"/>
              </w:rPr>
              <w:t xml:space="preserve">automaticamente cancelado caso </w:t>
            </w:r>
            <w:r w:rsidRPr="00C6089D">
              <w:rPr>
                <w:rFonts w:ascii="Calibri" w:hAnsi="Calibri" w:cs="Calibri"/>
                <w:b/>
                <w:sz w:val="24"/>
              </w:rPr>
              <w:t>(a)</w:t>
            </w:r>
            <w:r w:rsidRPr="00C6089D">
              <w:rPr>
                <w:rFonts w:ascii="Calibri" w:hAnsi="Calibri" w:cs="Calibri"/>
                <w:sz w:val="24"/>
              </w:rPr>
              <w:t> </w:t>
            </w:r>
            <w:r w:rsidRPr="00365D60">
              <w:rPr>
                <w:rFonts w:ascii="Calibri" w:hAnsi="Calibri" w:cs="Calibri"/>
                <w:sz w:val="24"/>
              </w:rPr>
              <w:t>os Juros Remuneratórios</w:t>
            </w:r>
            <w:r w:rsidRPr="00C6089D">
              <w:rPr>
                <w:rFonts w:ascii="Calibri" w:hAnsi="Calibri" w:cs="Calibri"/>
                <w:sz w:val="24"/>
              </w:rPr>
              <w:t xml:space="preserve"> referente às Debêntures, fixada após o Procedimento de </w:t>
            </w:r>
            <w:r w:rsidRPr="00C6089D">
              <w:rPr>
                <w:rFonts w:ascii="Calibri" w:hAnsi="Calibri" w:cs="Calibri"/>
                <w:i/>
                <w:sz w:val="24"/>
              </w:rPr>
              <w:t>Bookbuilding</w:t>
            </w:r>
            <w:r w:rsidRPr="00C6089D">
              <w:rPr>
                <w:rFonts w:ascii="Calibri" w:hAnsi="Calibri" w:cs="Calibri"/>
                <w:sz w:val="24"/>
              </w:rPr>
              <w:t xml:space="preserve">, fosse inferior à taxa estabelecida pelo Investidor Institucional; </w:t>
            </w:r>
            <w:r w:rsidRPr="00C6089D">
              <w:rPr>
                <w:rFonts w:ascii="Calibri" w:hAnsi="Calibri" w:cs="Calibri"/>
                <w:b/>
                <w:sz w:val="24"/>
              </w:rPr>
              <w:t>(b)</w:t>
            </w:r>
            <w:r w:rsidRPr="00C6089D">
              <w:rPr>
                <w:rFonts w:ascii="Calibri" w:hAnsi="Calibri" w:cs="Calibri"/>
                <w:sz w:val="24"/>
              </w:rPr>
              <w:t xml:space="preserve"> o Investidor Institucional tenha estipulado como taxa mínima para as Debêntures uma taxa superior à taxa máxima estipulada no Aviso ao Mercado; e/ou </w:t>
            </w:r>
            <w:r w:rsidRPr="00C6089D">
              <w:rPr>
                <w:rFonts w:ascii="Calibri" w:hAnsi="Calibri" w:cs="Calibri"/>
                <w:b/>
                <w:sz w:val="24"/>
              </w:rPr>
              <w:t>(c)</w:t>
            </w:r>
            <w:r w:rsidRPr="00C6089D">
              <w:rPr>
                <w:rFonts w:ascii="Calibri" w:hAnsi="Calibri" w:cs="Calibri"/>
                <w:sz w:val="24"/>
              </w:rPr>
              <w:t> na ausência de especificação de uma taxa mínima para a Remuneração das Debêntures;</w:t>
            </w:r>
          </w:p>
          <w:p w14:paraId="1E3EBD24" w14:textId="254A5E79" w:rsidR="001E7279" w:rsidRPr="00C6089D" w:rsidRDefault="001E7279" w:rsidP="001E7279">
            <w:pPr>
              <w:pStyle w:val="Level4"/>
              <w:tabs>
                <w:tab w:val="clear" w:pos="2041"/>
                <w:tab w:val="num" w:pos="652"/>
              </w:tabs>
              <w:ind w:left="652" w:hanging="652"/>
              <w:rPr>
                <w:rFonts w:ascii="Calibri" w:hAnsi="Calibri" w:cs="Calibri"/>
                <w:sz w:val="24"/>
              </w:rPr>
            </w:pPr>
            <w:bookmarkStart w:id="47" w:name="_Ref14811884"/>
            <w:r w:rsidRPr="00C6089D">
              <w:rPr>
                <w:rFonts w:ascii="Calibri" w:hAnsi="Calibri" w:cs="Calibri"/>
                <w:sz w:val="24"/>
              </w:rPr>
              <w:t xml:space="preserve">somente </w:t>
            </w:r>
            <w:r w:rsidR="00BB0658">
              <w:rPr>
                <w:rFonts w:ascii="Calibri" w:hAnsi="Calibri" w:cs="Calibri"/>
                <w:sz w:val="24"/>
              </w:rPr>
              <w:t>foram</w:t>
            </w:r>
            <w:r w:rsidRPr="00C6089D">
              <w:rPr>
                <w:rFonts w:ascii="Calibri" w:hAnsi="Calibri" w:cs="Calibri"/>
                <w:sz w:val="24"/>
              </w:rPr>
              <w:t xml:space="preserve"> considerad</w:t>
            </w:r>
            <w:r w:rsidR="00A03A99">
              <w:rPr>
                <w:rFonts w:ascii="Calibri" w:hAnsi="Calibri" w:cs="Calibri"/>
                <w:sz w:val="24"/>
              </w:rPr>
              <w:t>o</w:t>
            </w:r>
            <w:r w:rsidRPr="00C6089D">
              <w:rPr>
                <w:rFonts w:ascii="Calibri" w:hAnsi="Calibri" w:cs="Calibri"/>
                <w:sz w:val="24"/>
              </w:rPr>
              <w:t xml:space="preserve">s os Pedidos de Reserva e/ou as intenções de investimento, conforme o caso, daqueles Investidores Institucionais que </w:t>
            </w:r>
            <w:r w:rsidR="00BB0658">
              <w:rPr>
                <w:rFonts w:ascii="Calibri" w:hAnsi="Calibri" w:cs="Calibri"/>
                <w:sz w:val="24"/>
              </w:rPr>
              <w:t>preencheram</w:t>
            </w:r>
            <w:r w:rsidR="00BB0658" w:rsidRPr="00C6089D">
              <w:rPr>
                <w:rFonts w:ascii="Calibri" w:hAnsi="Calibri" w:cs="Calibri"/>
                <w:sz w:val="24"/>
              </w:rPr>
              <w:t xml:space="preserve"> </w:t>
            </w:r>
            <w:r w:rsidRPr="00C6089D">
              <w:rPr>
                <w:rFonts w:ascii="Calibri" w:hAnsi="Calibri" w:cs="Calibri"/>
                <w:sz w:val="24"/>
              </w:rPr>
              <w:t>os requisitos para participar da Oferta Institucional;</w:t>
            </w:r>
            <w:bookmarkEnd w:id="47"/>
          </w:p>
          <w:p w14:paraId="67EAC30D" w14:textId="77A15A61" w:rsidR="001E7279" w:rsidRPr="00C6089D" w:rsidRDefault="001E7279" w:rsidP="001E7279">
            <w:pPr>
              <w:pStyle w:val="Level4"/>
              <w:tabs>
                <w:tab w:val="clear" w:pos="2041"/>
                <w:tab w:val="num" w:pos="652"/>
              </w:tabs>
              <w:ind w:left="652" w:hanging="652"/>
              <w:rPr>
                <w:rFonts w:ascii="Calibri" w:hAnsi="Calibri" w:cs="Calibri"/>
                <w:sz w:val="24"/>
              </w:rPr>
            </w:pPr>
            <w:bookmarkStart w:id="48" w:name="_Ref14811893"/>
            <w:r w:rsidRPr="00C6089D">
              <w:rPr>
                <w:rFonts w:ascii="Calibri" w:hAnsi="Calibri" w:cs="Calibri"/>
                <w:sz w:val="24"/>
              </w:rPr>
              <w:t xml:space="preserve">os Investidores Institucionais que fossem Pessoas Vinculadas </w:t>
            </w:r>
            <w:r w:rsidR="00BB0658">
              <w:rPr>
                <w:rFonts w:ascii="Calibri" w:hAnsi="Calibri" w:cs="Calibri"/>
                <w:sz w:val="24"/>
              </w:rPr>
              <w:t>indicaram</w:t>
            </w:r>
            <w:r w:rsidRPr="00C6089D">
              <w:rPr>
                <w:rFonts w:ascii="Calibri" w:hAnsi="Calibri" w:cs="Calibri"/>
                <w:sz w:val="24"/>
              </w:rPr>
              <w:t xml:space="preserve">, obrigatoriamente, no seu Pedido de Reserva e/ou na sua intenção de investimento, sua qualidade de Pessoa </w:t>
            </w:r>
            <w:r w:rsidRPr="00C6089D">
              <w:rPr>
                <w:rFonts w:ascii="Calibri" w:hAnsi="Calibri" w:cs="Calibri"/>
                <w:sz w:val="24"/>
              </w:rPr>
              <w:lastRenderedPageBreak/>
              <w:t>Vinculada, sob pena de seu Pedido de Reserva e/ou sua intenção de investimento serem cancelados pela respectiva Instituição Participante da Oferta</w:t>
            </w:r>
            <w:r w:rsidRPr="00365D60">
              <w:rPr>
                <w:rFonts w:ascii="Calibri" w:hAnsi="Calibri" w:cs="Calibri"/>
                <w:sz w:val="24"/>
              </w:rPr>
              <w:t>,</w:t>
            </w:r>
            <w:r w:rsidR="003B351F">
              <w:rPr>
                <w:rFonts w:ascii="Calibri" w:hAnsi="Calibri" w:cs="Calibri"/>
                <w:sz w:val="24"/>
              </w:rPr>
              <w:t xml:space="preserve"> </w:t>
            </w:r>
            <w:r w:rsidRPr="00C6089D">
              <w:rPr>
                <w:rFonts w:ascii="Calibri" w:hAnsi="Calibri" w:cs="Calibri"/>
                <w:sz w:val="24"/>
              </w:rPr>
              <w:t>tendo em vista que não foi verificado excesso de demanda superior a 1/3 (um terço) das Debêntures inicialmente ofertadas, de forma que os Pedidos de Reserva e/ou as intenções de investimento apresentadas por Investidores que sejam considerados Pessoas Vinculadas não foram automaticamente canceladas, nos termos do artigo 55 da Instrução CVM 400;</w:t>
            </w:r>
            <w:bookmarkEnd w:id="48"/>
          </w:p>
          <w:p w14:paraId="3449B3AC" w14:textId="66225AE5" w:rsidR="001E7279" w:rsidRPr="00C6089D" w:rsidRDefault="001E7279" w:rsidP="001E7279">
            <w:pPr>
              <w:pStyle w:val="Level4"/>
              <w:tabs>
                <w:tab w:val="clear" w:pos="2041"/>
                <w:tab w:val="num" w:pos="652"/>
              </w:tabs>
              <w:ind w:left="652" w:hanging="652"/>
              <w:rPr>
                <w:rFonts w:ascii="Calibri" w:hAnsi="Calibri" w:cs="Calibri"/>
                <w:sz w:val="24"/>
              </w:rPr>
            </w:pPr>
            <w:bookmarkStart w:id="49" w:name="_Ref14811900"/>
            <w:r w:rsidRPr="00C6089D">
              <w:rPr>
                <w:rFonts w:ascii="Calibri" w:hAnsi="Calibri" w:cs="Calibri"/>
                <w:sz w:val="24"/>
              </w:rPr>
              <w:t>c</w:t>
            </w:r>
            <w:r w:rsidR="0038396E">
              <w:rPr>
                <w:rFonts w:ascii="Calibri" w:hAnsi="Calibri" w:cs="Calibri"/>
                <w:sz w:val="24"/>
              </w:rPr>
              <w:t>omo</w:t>
            </w:r>
            <w:r w:rsidRPr="00C6089D">
              <w:rPr>
                <w:rFonts w:ascii="Calibri" w:hAnsi="Calibri" w:cs="Calibri"/>
                <w:sz w:val="24"/>
              </w:rPr>
              <w:t xml:space="preserve"> os Pedidos de Reserva e/ou a intenção de investimento apresentada pelos Investidores Institucionais exced</w:t>
            </w:r>
            <w:r w:rsidR="00110045">
              <w:rPr>
                <w:rFonts w:ascii="Calibri" w:hAnsi="Calibri" w:cs="Calibri"/>
                <w:sz w:val="24"/>
              </w:rPr>
              <w:t>er</w:t>
            </w:r>
            <w:r w:rsidRPr="00C6089D">
              <w:rPr>
                <w:rFonts w:ascii="Calibri" w:hAnsi="Calibri" w:cs="Calibri"/>
                <w:sz w:val="24"/>
              </w:rPr>
              <w:t>am o total de Debêntures remanescentes após o atendimento da Oferta Não Institucional, o</w:t>
            </w:r>
            <w:r w:rsidRPr="00365D60">
              <w:rPr>
                <w:rFonts w:ascii="Calibri" w:hAnsi="Calibri" w:cs="Calibri"/>
                <w:sz w:val="24"/>
              </w:rPr>
              <w:t xml:space="preserve"> Coordenador Líder </w:t>
            </w:r>
            <w:r w:rsidRPr="00C6089D">
              <w:rPr>
                <w:rFonts w:ascii="Calibri" w:hAnsi="Calibri" w:cs="Calibri"/>
                <w:sz w:val="24"/>
              </w:rPr>
              <w:t>d</w:t>
            </w:r>
            <w:r w:rsidR="00110045">
              <w:rPr>
                <w:rFonts w:ascii="Calibri" w:hAnsi="Calibri" w:cs="Calibri"/>
                <w:sz w:val="24"/>
              </w:rPr>
              <w:t>eu</w:t>
            </w:r>
            <w:r w:rsidRPr="00C6089D">
              <w:rPr>
                <w:rFonts w:ascii="Calibri" w:hAnsi="Calibri" w:cs="Calibri"/>
                <w:sz w:val="24"/>
              </w:rPr>
              <w:t xml:space="preserve"> prioridade aos Investidores Institucionais que, no entender do </w:t>
            </w:r>
            <w:r w:rsidRPr="00365D60">
              <w:rPr>
                <w:rFonts w:ascii="Calibri" w:hAnsi="Calibri" w:cs="Calibri"/>
                <w:sz w:val="24"/>
              </w:rPr>
              <w:t>Coordenador Líder</w:t>
            </w:r>
            <w:r w:rsidRPr="00C6089D">
              <w:rPr>
                <w:rFonts w:ascii="Calibri" w:hAnsi="Calibri" w:cs="Calibri"/>
                <w:sz w:val="24"/>
              </w:rPr>
              <w:t>, em comum acordo com a Emissora, melhor atend</w:t>
            </w:r>
            <w:r w:rsidR="00110045">
              <w:rPr>
                <w:rFonts w:ascii="Calibri" w:hAnsi="Calibri" w:cs="Calibri"/>
                <w:sz w:val="24"/>
              </w:rPr>
              <w:t>er</w:t>
            </w:r>
            <w:r w:rsidRPr="00C6089D">
              <w:rPr>
                <w:rFonts w:ascii="Calibri" w:hAnsi="Calibri" w:cs="Calibri"/>
                <w:sz w:val="24"/>
              </w:rPr>
              <w:t>am os objetivos da Oferta, quais sejam, constituir uma base diversificada de investidores, integrada por investidores com diferentes critérios de avaliação das perspectivas da Emissora e a conjuntura macroeconômica brasileira e internacional, bem como criar condições para o desenvolvimento do mercado local de títulos corporativos de renda fixa;</w:t>
            </w:r>
            <w:bookmarkEnd w:id="49"/>
          </w:p>
          <w:p w14:paraId="0A7EA12F" w14:textId="78D1D9CC" w:rsidR="001E7279" w:rsidRPr="00C6089D" w:rsidRDefault="001E7279" w:rsidP="001E7279">
            <w:pPr>
              <w:pStyle w:val="Level4"/>
              <w:tabs>
                <w:tab w:val="clear" w:pos="2041"/>
                <w:tab w:val="num" w:pos="652"/>
              </w:tabs>
              <w:ind w:left="652" w:hanging="652"/>
              <w:rPr>
                <w:rFonts w:ascii="Calibri" w:hAnsi="Calibri" w:cs="Calibri"/>
                <w:sz w:val="24"/>
              </w:rPr>
            </w:pPr>
            <w:r w:rsidRPr="00C6089D">
              <w:rPr>
                <w:rFonts w:ascii="Calibri" w:hAnsi="Calibri" w:cs="Calibri"/>
                <w:sz w:val="24"/>
              </w:rPr>
              <w:t>até o final do Dia Útil imediatamente anterior à data de divulgação deste Anúncio de Início, o</w:t>
            </w:r>
            <w:r w:rsidRPr="00365D60">
              <w:rPr>
                <w:rFonts w:ascii="Calibri" w:hAnsi="Calibri" w:cs="Calibri"/>
                <w:sz w:val="24"/>
              </w:rPr>
              <w:t xml:space="preserve"> Coordenador Líder </w:t>
            </w:r>
            <w:r w:rsidRPr="00C6089D">
              <w:rPr>
                <w:rFonts w:ascii="Calibri" w:hAnsi="Calibri" w:cs="Calibri"/>
                <w:sz w:val="24"/>
              </w:rPr>
              <w:t>inform</w:t>
            </w:r>
            <w:r w:rsidRPr="00365D60">
              <w:rPr>
                <w:rFonts w:ascii="Calibri" w:hAnsi="Calibri" w:cs="Calibri"/>
                <w:sz w:val="24"/>
              </w:rPr>
              <w:t>ou</w:t>
            </w:r>
            <w:r w:rsidRPr="00C6089D">
              <w:rPr>
                <w:rFonts w:ascii="Calibri" w:hAnsi="Calibri" w:cs="Calibri"/>
                <w:sz w:val="24"/>
              </w:rPr>
              <w:t xml:space="preserve"> aos Investidores Institucionais, por meio do seu respectivo endereço eletrônico ou, na sua ausência, por telefone ou fac-símile: (a) a respectiva Data de Integralização e horário limite; (b) </w:t>
            </w:r>
            <w:r w:rsidRPr="00365D60">
              <w:rPr>
                <w:rFonts w:ascii="Calibri" w:hAnsi="Calibri" w:cs="Calibri"/>
                <w:sz w:val="24"/>
              </w:rPr>
              <w:t xml:space="preserve">os Juros </w:t>
            </w:r>
            <w:r w:rsidRPr="00365D60">
              <w:rPr>
                <w:rFonts w:ascii="Calibri" w:hAnsi="Calibri" w:cs="Calibri"/>
                <w:sz w:val="24"/>
              </w:rPr>
              <w:lastRenderedPageBreak/>
              <w:t xml:space="preserve">Remuneratórios </w:t>
            </w:r>
            <w:r w:rsidRPr="00C6089D">
              <w:rPr>
                <w:rFonts w:ascii="Calibri" w:hAnsi="Calibri" w:cs="Calibri"/>
                <w:sz w:val="24"/>
              </w:rPr>
              <w:t>definid</w:t>
            </w:r>
            <w:r w:rsidRPr="00365D60">
              <w:rPr>
                <w:rFonts w:ascii="Calibri" w:hAnsi="Calibri" w:cs="Calibri"/>
                <w:sz w:val="24"/>
              </w:rPr>
              <w:t>os</w:t>
            </w:r>
            <w:r w:rsidRPr="00C6089D">
              <w:rPr>
                <w:rFonts w:ascii="Calibri" w:hAnsi="Calibri" w:cs="Calibri"/>
                <w:sz w:val="24"/>
              </w:rPr>
              <w:t xml:space="preserve"> no Procedimento de </w:t>
            </w:r>
            <w:r w:rsidRPr="00C6089D">
              <w:rPr>
                <w:rFonts w:ascii="Calibri" w:hAnsi="Calibri" w:cs="Calibri"/>
                <w:i/>
                <w:sz w:val="24"/>
              </w:rPr>
              <w:t>Bookbuilding</w:t>
            </w:r>
            <w:r w:rsidRPr="00C6089D">
              <w:rPr>
                <w:rFonts w:ascii="Calibri" w:hAnsi="Calibri" w:cs="Calibri"/>
                <w:sz w:val="24"/>
              </w:rPr>
              <w:t>; e (c) a quantidade de Debêntures alocadas ao referido investidor. Os Investidores Institucionais integralizarão as Debêntures pelo Preço de Integralização, mediante pagamento à vista, em moeda corrente nacional, em recursos imediatamente disponíveis, na respectiva Data de Integralização, de acordo com as normas de liquidação e procedimentos aplicáveis da B3;</w:t>
            </w:r>
            <w:r w:rsidRPr="00365D60">
              <w:rPr>
                <w:rFonts w:ascii="Calibri" w:hAnsi="Calibri" w:cs="Calibri"/>
                <w:sz w:val="24"/>
              </w:rPr>
              <w:t xml:space="preserve"> e</w:t>
            </w:r>
          </w:p>
          <w:p w14:paraId="36FA376E" w14:textId="40E39A2E" w:rsidR="001E7279" w:rsidRPr="00C6089D" w:rsidRDefault="001E7279" w:rsidP="001E7279">
            <w:pPr>
              <w:pStyle w:val="Level4"/>
              <w:tabs>
                <w:tab w:val="clear" w:pos="2041"/>
                <w:tab w:val="num" w:pos="652"/>
              </w:tabs>
              <w:ind w:left="652" w:hanging="652"/>
              <w:rPr>
                <w:rFonts w:ascii="Calibri" w:hAnsi="Calibri" w:cs="Calibri"/>
                <w:sz w:val="24"/>
              </w:rPr>
            </w:pPr>
            <w:r w:rsidRPr="00C6089D">
              <w:rPr>
                <w:rFonts w:ascii="Calibri" w:hAnsi="Calibri" w:cs="Calibri"/>
                <w:sz w:val="24"/>
              </w:rPr>
              <w:t xml:space="preserve">na respectiva Data de Integralização, </w:t>
            </w:r>
            <w:r w:rsidRPr="00365D60">
              <w:rPr>
                <w:rFonts w:ascii="Calibri" w:hAnsi="Calibri" w:cs="Calibri"/>
                <w:sz w:val="24"/>
              </w:rPr>
              <w:t>o Coordenador Líder,</w:t>
            </w:r>
            <w:r w:rsidRPr="00C6089D">
              <w:rPr>
                <w:rFonts w:ascii="Calibri" w:hAnsi="Calibri" w:cs="Calibri"/>
                <w:sz w:val="24"/>
              </w:rPr>
              <w:t xml:space="preserve"> junto ao qual a ordem de investimento tenha sido apresentada entregará a cada Investidor Institucional o número de Debêntures alocado a tal Investidor Institucional, ressalvadas as hipóteses de cancelamento da ordem de investimento, nos termos dos itens </w:t>
            </w:r>
            <w:r w:rsidR="002F1A79">
              <w:rPr>
                <w:rFonts w:ascii="Calibri" w:hAnsi="Calibri" w:cs="Calibri"/>
                <w:sz w:val="24"/>
              </w:rPr>
              <w:t>(ii), (iii) e (v)</w:t>
            </w:r>
            <w:r w:rsidRPr="00C6089D">
              <w:rPr>
                <w:rFonts w:ascii="Calibri" w:hAnsi="Calibri" w:cs="Calibri"/>
                <w:sz w:val="24"/>
              </w:rPr>
              <w:t xml:space="preserve"> acima</w:t>
            </w:r>
            <w:r w:rsidRPr="00365D60">
              <w:rPr>
                <w:rFonts w:ascii="Calibri" w:hAnsi="Calibri" w:cs="Calibri"/>
                <w:sz w:val="24"/>
              </w:rPr>
              <w:t>.</w:t>
            </w:r>
          </w:p>
          <w:p w14:paraId="3C56A798" w14:textId="32E77377" w:rsidR="001E7279" w:rsidRPr="00C6089D" w:rsidRDefault="001E7279" w:rsidP="001E7279">
            <w:pPr>
              <w:spacing w:after="140" w:line="290" w:lineRule="auto"/>
              <w:jc w:val="both"/>
              <w:rPr>
                <w:rFonts w:ascii="Calibri" w:hAnsi="Calibri" w:cs="Calibri"/>
                <w:sz w:val="24"/>
              </w:rPr>
            </w:pPr>
            <w:r w:rsidRPr="00C6089D">
              <w:rPr>
                <w:rFonts w:ascii="Calibri" w:hAnsi="Calibri" w:cs="Calibri"/>
                <w:sz w:val="24"/>
              </w:rPr>
              <w:t xml:space="preserve">Os Pedidos de Reserva e/ou a intenção de investimento dos Investidores Institucionais que sejam considerados Pessoas Vinculadas não foram considerados no Procedimento de </w:t>
            </w:r>
            <w:r w:rsidRPr="00C6089D">
              <w:rPr>
                <w:rFonts w:ascii="Calibri" w:hAnsi="Calibri" w:cs="Calibri"/>
                <w:i/>
                <w:sz w:val="24"/>
              </w:rPr>
              <w:t>Bookbuilding</w:t>
            </w:r>
            <w:r w:rsidRPr="00C6089D">
              <w:rPr>
                <w:rFonts w:ascii="Calibri" w:hAnsi="Calibri" w:cs="Calibri"/>
                <w:sz w:val="24"/>
              </w:rPr>
              <w:t xml:space="preserve"> para a definição d</w:t>
            </w:r>
            <w:r w:rsidRPr="00365D60">
              <w:rPr>
                <w:rFonts w:ascii="Calibri" w:hAnsi="Calibri" w:cs="Calibri"/>
                <w:sz w:val="24"/>
              </w:rPr>
              <w:t>os Juros Remuneratórios</w:t>
            </w:r>
            <w:r w:rsidRPr="00C6089D">
              <w:rPr>
                <w:rFonts w:ascii="Calibri" w:hAnsi="Calibri" w:cs="Calibri"/>
                <w:sz w:val="24"/>
              </w:rPr>
              <w:t xml:space="preserve"> das Debêntures, e não participaram, portanto, do procedimento de coleta de intenções de investimento que definiu a Remuneração das Debêntures.</w:t>
            </w:r>
          </w:p>
          <w:p w14:paraId="2E684A8B" w14:textId="00CE7B23" w:rsidR="001E7279" w:rsidRPr="00C6089D" w:rsidRDefault="001E7279" w:rsidP="000847F8">
            <w:pPr>
              <w:pStyle w:val="Body"/>
              <w:spacing w:line="240" w:lineRule="auto"/>
              <w:rPr>
                <w:rFonts w:ascii="Calibri" w:hAnsi="Calibri" w:cs="Calibri"/>
                <w:sz w:val="24"/>
              </w:rPr>
            </w:pPr>
            <w:r w:rsidRPr="00C6089D">
              <w:rPr>
                <w:rFonts w:ascii="Calibri" w:hAnsi="Calibri" w:cs="Calibri"/>
                <w:sz w:val="24"/>
              </w:rPr>
              <w:t>Tendo em vista que</w:t>
            </w:r>
            <w:r w:rsidRPr="00365D60">
              <w:rPr>
                <w:rFonts w:ascii="Calibri" w:hAnsi="Calibri" w:cs="Calibri"/>
                <w:sz w:val="24"/>
              </w:rPr>
              <w:t xml:space="preserve"> </w:t>
            </w:r>
            <w:r w:rsidRPr="00C6089D">
              <w:rPr>
                <w:rFonts w:ascii="Calibri" w:hAnsi="Calibri" w:cs="Calibri"/>
                <w:sz w:val="24"/>
              </w:rPr>
              <w:t>não foi verificado excesso de demanda superior a 1/3 (um terço) à quantidade de Debêntures inicialmente ofertada (sem considerar as Debêntures Adicionais), foi</w:t>
            </w:r>
            <w:r w:rsidR="003B351F">
              <w:rPr>
                <w:rFonts w:ascii="Calibri" w:hAnsi="Calibri" w:cs="Calibri"/>
                <w:sz w:val="24"/>
              </w:rPr>
              <w:t xml:space="preserve"> </w:t>
            </w:r>
            <w:r w:rsidRPr="00C6089D">
              <w:rPr>
                <w:rFonts w:ascii="Calibri" w:hAnsi="Calibri" w:cs="Calibri"/>
                <w:sz w:val="24"/>
              </w:rPr>
              <w:t xml:space="preserve">permitida a colocação das Debêntures a Investidores que sejam considerados Pessoas Vinculadas, sendo </w:t>
            </w:r>
            <w:r w:rsidRPr="00365D60">
              <w:rPr>
                <w:rFonts w:ascii="Calibri" w:hAnsi="Calibri" w:cs="Calibri"/>
                <w:sz w:val="24"/>
              </w:rPr>
              <w:t xml:space="preserve">que </w:t>
            </w:r>
            <w:r w:rsidRPr="00C6089D">
              <w:rPr>
                <w:rFonts w:ascii="Calibri" w:hAnsi="Calibri" w:cs="Calibri"/>
                <w:sz w:val="24"/>
              </w:rPr>
              <w:t>os pedidos de reserva e/ou as ordens de investimento realizados por Investidores que sejam considerados Pessoas Vinculadas</w:t>
            </w:r>
            <w:r w:rsidRPr="00365D60">
              <w:rPr>
                <w:rFonts w:ascii="Calibri" w:hAnsi="Calibri" w:cs="Calibri"/>
                <w:sz w:val="24"/>
              </w:rPr>
              <w:t xml:space="preserve"> </w:t>
            </w:r>
            <w:r w:rsidRPr="00C6089D">
              <w:rPr>
                <w:rFonts w:ascii="Calibri" w:hAnsi="Calibri" w:cs="Calibri"/>
                <w:sz w:val="24"/>
              </w:rPr>
              <w:t>não foram automaticamente cancelados, nos termos do artigo 55 da Instrução CVM 400.</w:t>
            </w:r>
          </w:p>
        </w:tc>
      </w:tr>
      <w:tr w:rsidR="001E7279" w:rsidRPr="00365D60" w14:paraId="11194D7E" w14:textId="77777777" w:rsidTr="00546802">
        <w:trPr>
          <w:jc w:val="center"/>
        </w:trPr>
        <w:tc>
          <w:tcPr>
            <w:tcW w:w="3119" w:type="dxa"/>
          </w:tcPr>
          <w:p w14:paraId="08B9AE16" w14:textId="6EA049E1" w:rsidR="001E7279" w:rsidRPr="00C6089D" w:rsidRDefault="001E7279" w:rsidP="001E7279">
            <w:pPr>
              <w:pStyle w:val="Body"/>
              <w:jc w:val="left"/>
              <w:rPr>
                <w:rFonts w:ascii="Calibri" w:hAnsi="Calibri" w:cs="Calibri"/>
                <w:b/>
                <w:sz w:val="24"/>
              </w:rPr>
            </w:pPr>
            <w:r w:rsidRPr="00C6089D">
              <w:rPr>
                <w:rFonts w:ascii="Calibri" w:hAnsi="Calibri" w:cs="Calibri"/>
                <w:b/>
                <w:sz w:val="24"/>
              </w:rPr>
              <w:lastRenderedPageBreak/>
              <w:t>Critérios de Rateio da Oferta Não Institucional</w:t>
            </w:r>
          </w:p>
        </w:tc>
        <w:tc>
          <w:tcPr>
            <w:tcW w:w="5611" w:type="dxa"/>
          </w:tcPr>
          <w:p w14:paraId="73E9C0F0" w14:textId="7D117A1B" w:rsidR="001E7279" w:rsidRPr="00C6089D" w:rsidRDefault="00441885" w:rsidP="001E7279">
            <w:pPr>
              <w:pStyle w:val="Body"/>
              <w:rPr>
                <w:rFonts w:ascii="Calibri" w:hAnsi="Calibri" w:cs="Calibri"/>
                <w:sz w:val="24"/>
              </w:rPr>
            </w:pPr>
            <w:r>
              <w:rPr>
                <w:rFonts w:ascii="Calibri" w:hAnsi="Calibri" w:cs="Calibri"/>
                <w:sz w:val="24"/>
              </w:rPr>
              <w:t>Considerando que</w:t>
            </w:r>
            <w:r w:rsidR="00352DDF">
              <w:rPr>
                <w:rFonts w:ascii="Calibri" w:hAnsi="Calibri" w:cs="Calibri"/>
                <w:sz w:val="24"/>
              </w:rPr>
              <w:t xml:space="preserve"> </w:t>
            </w:r>
            <w:r w:rsidR="001E7279" w:rsidRPr="00C6089D">
              <w:rPr>
                <w:rFonts w:ascii="Calibri" w:hAnsi="Calibri" w:cs="Calibri"/>
                <w:sz w:val="24"/>
              </w:rPr>
              <w:t xml:space="preserve">o total de Debêntures objeto dos Pedidos de Reserva apresentados pelos Investidores Não Institucionais </w:t>
            </w:r>
            <w:r>
              <w:rPr>
                <w:rFonts w:ascii="Calibri" w:hAnsi="Calibri" w:cs="Calibri"/>
                <w:sz w:val="24"/>
              </w:rPr>
              <w:t>foi</w:t>
            </w:r>
            <w:r w:rsidR="001E7279" w:rsidRPr="00C6089D">
              <w:rPr>
                <w:rFonts w:ascii="Calibri" w:hAnsi="Calibri" w:cs="Calibri"/>
                <w:sz w:val="24"/>
              </w:rPr>
              <w:t xml:space="preserve"> igual ou inferior a </w:t>
            </w:r>
            <w:r w:rsidR="00A03A99">
              <w:rPr>
                <w:rFonts w:ascii="Calibri" w:hAnsi="Calibri" w:cs="Calibri"/>
                <w:sz w:val="24"/>
              </w:rPr>
              <w:t>20</w:t>
            </w:r>
            <w:r w:rsidR="001E7279" w:rsidRPr="00C6089D">
              <w:rPr>
                <w:rFonts w:ascii="Calibri" w:hAnsi="Calibri" w:cs="Calibri"/>
                <w:sz w:val="24"/>
              </w:rPr>
              <w:t>% (</w:t>
            </w:r>
            <w:r w:rsidR="00A03A99">
              <w:rPr>
                <w:rFonts w:ascii="Calibri" w:hAnsi="Calibri" w:cs="Calibri"/>
                <w:sz w:val="24"/>
              </w:rPr>
              <w:t>vinte</w:t>
            </w:r>
            <w:r w:rsidR="001E7279" w:rsidRPr="00C6089D">
              <w:rPr>
                <w:rFonts w:ascii="Calibri" w:hAnsi="Calibri" w:cs="Calibri"/>
                <w:sz w:val="24"/>
              </w:rPr>
              <w:t xml:space="preserve"> por cento) das Debêntures, todos os Pedidos de Reserva não cancelados </w:t>
            </w:r>
            <w:r>
              <w:rPr>
                <w:rFonts w:ascii="Calibri" w:hAnsi="Calibri" w:cs="Calibri"/>
                <w:sz w:val="24"/>
              </w:rPr>
              <w:t>foram</w:t>
            </w:r>
            <w:r w:rsidR="001E7279" w:rsidRPr="00C6089D">
              <w:rPr>
                <w:rFonts w:ascii="Calibri" w:hAnsi="Calibri" w:cs="Calibri"/>
                <w:sz w:val="24"/>
              </w:rPr>
              <w:t xml:space="preserve"> integralmente atendidos e as Debêntures remanescentes </w:t>
            </w:r>
            <w:r>
              <w:rPr>
                <w:rFonts w:ascii="Calibri" w:hAnsi="Calibri" w:cs="Calibri"/>
                <w:sz w:val="24"/>
              </w:rPr>
              <w:t>foram</w:t>
            </w:r>
            <w:r w:rsidR="001E7279" w:rsidRPr="00C6089D">
              <w:rPr>
                <w:rFonts w:ascii="Calibri" w:hAnsi="Calibri" w:cs="Calibri"/>
                <w:sz w:val="24"/>
              </w:rPr>
              <w:t xml:space="preserve"> destinadas aos Investidores Institucionais nos termos da Oferta Institucional, observada a possibilidade de alteração do direcionamento da Oferta Não Institucional</w:t>
            </w:r>
            <w:r w:rsidR="001E7279" w:rsidRPr="00945B8F">
              <w:rPr>
                <w:rFonts w:ascii="Calibri" w:hAnsi="Calibri"/>
                <w:sz w:val="22"/>
              </w:rPr>
              <w:t>.</w:t>
            </w:r>
          </w:p>
          <w:p w14:paraId="3550D849" w14:textId="426246E3" w:rsidR="001E7279" w:rsidRPr="00365D60" w:rsidRDefault="001E7279" w:rsidP="001E7279">
            <w:pPr>
              <w:pStyle w:val="Body"/>
              <w:rPr>
                <w:rFonts w:ascii="Calibri" w:hAnsi="Calibri" w:cs="Calibri"/>
                <w:sz w:val="24"/>
              </w:rPr>
            </w:pPr>
            <w:r w:rsidRPr="00C6089D">
              <w:rPr>
                <w:rFonts w:ascii="Calibri" w:hAnsi="Calibri" w:cs="Calibri"/>
                <w:sz w:val="24"/>
              </w:rPr>
              <w:t xml:space="preserve">Entretanto, caso o total de Debêntures correspondente aos Pedidos de Reserva excedesse o percentual prioritariamente destinado à Oferta Não Institucional, as Debêntures destinadas à Oferta Não Institucional seriam rateadas entre os Investidores Não Institucionais, proporcionalmente ao montante de Debêntures indicado nos respectivos Pedidos de Reserva e não alocado aos Investidores Não Institucionais, não sendo consideradas frações de Debêntures, sendo certo que o eventual arredondamento seria realizado para baixo até o número inteiro. </w:t>
            </w:r>
          </w:p>
          <w:p w14:paraId="565835EB" w14:textId="16B19293" w:rsidR="001E7279" w:rsidRPr="00C6089D" w:rsidRDefault="001E7279" w:rsidP="001E7279">
            <w:pPr>
              <w:pStyle w:val="Body"/>
              <w:rPr>
                <w:rFonts w:ascii="Calibri" w:hAnsi="Calibri" w:cs="Calibri"/>
                <w:sz w:val="24"/>
              </w:rPr>
            </w:pPr>
            <w:r w:rsidRPr="00C6089D">
              <w:rPr>
                <w:rFonts w:ascii="Calibri" w:hAnsi="Calibri" w:cs="Calibri"/>
                <w:b/>
                <w:sz w:val="24"/>
              </w:rPr>
              <w:t>Para mais informações sobre os critérios de rateio da Oferta, veja a seção “Informações Relativas à Emissão, à Oferta e às Debêntures - Características da Oferta - Critério de Rateio da Oferta Não Institucional” do Prospecto Definitivo.</w:t>
            </w:r>
          </w:p>
        </w:tc>
      </w:tr>
      <w:tr w:rsidR="001E7279" w:rsidRPr="00365D60" w14:paraId="4C6C1184" w14:textId="77777777" w:rsidTr="00546802">
        <w:trPr>
          <w:jc w:val="center"/>
        </w:trPr>
        <w:tc>
          <w:tcPr>
            <w:tcW w:w="3119" w:type="dxa"/>
          </w:tcPr>
          <w:p w14:paraId="2CA87FEA" w14:textId="38E60898" w:rsidR="001E7279" w:rsidRPr="00C6089D" w:rsidRDefault="001E7279" w:rsidP="001E7279">
            <w:pPr>
              <w:pStyle w:val="Body"/>
              <w:jc w:val="left"/>
              <w:rPr>
                <w:rFonts w:ascii="Calibri" w:hAnsi="Calibri" w:cs="Calibri"/>
                <w:b/>
                <w:sz w:val="24"/>
              </w:rPr>
            </w:pPr>
            <w:r w:rsidRPr="00C6089D">
              <w:rPr>
                <w:rFonts w:ascii="Calibri" w:hAnsi="Calibri" w:cs="Calibri"/>
                <w:b/>
                <w:sz w:val="24"/>
              </w:rPr>
              <w:t>Critério de Colocação da Oferta Institucional</w:t>
            </w:r>
          </w:p>
        </w:tc>
        <w:tc>
          <w:tcPr>
            <w:tcW w:w="5611" w:type="dxa"/>
          </w:tcPr>
          <w:p w14:paraId="4BE84158" w14:textId="6A9D2A58" w:rsidR="001E7279" w:rsidRPr="00365D60" w:rsidRDefault="001E7279" w:rsidP="001E7279">
            <w:pPr>
              <w:pStyle w:val="Body"/>
              <w:rPr>
                <w:rFonts w:ascii="Calibri" w:hAnsi="Calibri" w:cs="Calibri"/>
                <w:sz w:val="24"/>
              </w:rPr>
            </w:pPr>
            <w:r w:rsidRPr="00C6089D">
              <w:rPr>
                <w:rFonts w:ascii="Calibri" w:hAnsi="Calibri" w:cs="Calibri"/>
                <w:sz w:val="24"/>
              </w:rPr>
              <w:t>Tendo em vista que os Pedidos de Reserva e/ou as intenções de investimento apresentadas pelos Investidores Institucionais excederam o total de Debêntures remanescentes após o atendimento da Oferta Não Institucional, foi necessário aplicar o critério de colocação estabelecido nos documentos da Oferta, de acordo com os quais o</w:t>
            </w:r>
            <w:r w:rsidRPr="00365D60">
              <w:rPr>
                <w:rFonts w:ascii="Calibri" w:hAnsi="Calibri" w:cs="Calibri"/>
                <w:sz w:val="24"/>
              </w:rPr>
              <w:t xml:space="preserve"> Coordenador Líder </w:t>
            </w:r>
            <w:r w:rsidR="00352DDF">
              <w:rPr>
                <w:rFonts w:ascii="Calibri" w:hAnsi="Calibri" w:cs="Calibri"/>
                <w:sz w:val="24"/>
              </w:rPr>
              <w:t>de</w:t>
            </w:r>
            <w:r w:rsidR="00441885">
              <w:rPr>
                <w:rFonts w:ascii="Calibri" w:hAnsi="Calibri" w:cs="Calibri"/>
                <w:sz w:val="24"/>
              </w:rPr>
              <w:t>u</w:t>
            </w:r>
            <w:r w:rsidR="00352DDF" w:rsidRPr="00C6089D">
              <w:rPr>
                <w:rFonts w:ascii="Calibri" w:hAnsi="Calibri" w:cs="Calibri"/>
                <w:sz w:val="24"/>
              </w:rPr>
              <w:t xml:space="preserve"> </w:t>
            </w:r>
            <w:r w:rsidRPr="00C6089D">
              <w:rPr>
                <w:rFonts w:ascii="Calibri" w:hAnsi="Calibri" w:cs="Calibri"/>
                <w:sz w:val="24"/>
              </w:rPr>
              <w:t xml:space="preserve">prioridade aos Investidores Institucionais que, no </w:t>
            </w:r>
            <w:r w:rsidRPr="00C6089D">
              <w:rPr>
                <w:rFonts w:ascii="Calibri" w:hAnsi="Calibri" w:cs="Calibri"/>
                <w:sz w:val="24"/>
              </w:rPr>
              <w:lastRenderedPageBreak/>
              <w:t>entender do</w:t>
            </w:r>
            <w:r w:rsidRPr="00365D60">
              <w:rPr>
                <w:rFonts w:ascii="Calibri" w:hAnsi="Calibri" w:cs="Calibri"/>
                <w:sz w:val="24"/>
              </w:rPr>
              <w:t xml:space="preserve"> Coordenador Líder</w:t>
            </w:r>
            <w:r w:rsidRPr="00C6089D">
              <w:rPr>
                <w:rFonts w:ascii="Calibri" w:hAnsi="Calibri" w:cs="Calibri"/>
                <w:sz w:val="24"/>
              </w:rPr>
              <w:t>, em comum acordo com a Emissora, melhor atendiam os objetivos da Oferta, quais sejam, constituir uma base diversificada de investidores, integrada por investidores com diferentes critérios de avaliação das perspectivas da Emissora e a conjuntura macroeconômica brasileira e internacional, bem como criar condições para o desenvolvimento do mercado local de títulos corporativos de renda fixa.</w:t>
            </w:r>
          </w:p>
          <w:p w14:paraId="573FFA24" w14:textId="25465F49" w:rsidR="001E7279" w:rsidRPr="00C6089D" w:rsidRDefault="001E7279" w:rsidP="001E7279">
            <w:pPr>
              <w:pStyle w:val="Body"/>
              <w:rPr>
                <w:rFonts w:ascii="Calibri" w:hAnsi="Calibri" w:cs="Calibri"/>
                <w:sz w:val="24"/>
              </w:rPr>
            </w:pPr>
            <w:r w:rsidRPr="00C6089D">
              <w:rPr>
                <w:rFonts w:ascii="Calibri" w:eastAsia="Calibri" w:hAnsi="Calibri" w:cs="Calibri"/>
                <w:b/>
                <w:sz w:val="24"/>
              </w:rPr>
              <w:t xml:space="preserve">Para mais informações sobre os critérios de rateio da Oferta, veja a seção “Informações Relativas à Emissão, à Oferta e às Debêntures - Características da Oferta - Critério de Colocação da Oferta Institucional”, do Prospecto </w:t>
            </w:r>
            <w:r w:rsidRPr="00C6089D">
              <w:rPr>
                <w:rFonts w:ascii="Calibri" w:hAnsi="Calibri" w:cs="Calibri"/>
                <w:b/>
                <w:sz w:val="24"/>
              </w:rPr>
              <w:t>Definitivo.</w:t>
            </w:r>
          </w:p>
        </w:tc>
      </w:tr>
      <w:tr w:rsidR="001E7279" w:rsidRPr="00365D60" w14:paraId="64441F0F" w14:textId="77777777" w:rsidTr="00546802">
        <w:trPr>
          <w:jc w:val="center"/>
        </w:trPr>
        <w:tc>
          <w:tcPr>
            <w:tcW w:w="3119" w:type="dxa"/>
          </w:tcPr>
          <w:p w14:paraId="550B8318" w14:textId="3EDAE13F" w:rsidR="001E7279" w:rsidRPr="00C6089D" w:rsidRDefault="001E7279" w:rsidP="001E7279">
            <w:pPr>
              <w:pStyle w:val="Body"/>
              <w:jc w:val="left"/>
              <w:rPr>
                <w:rFonts w:ascii="Calibri" w:hAnsi="Calibri" w:cs="Calibri"/>
                <w:b/>
                <w:sz w:val="24"/>
              </w:rPr>
            </w:pPr>
            <w:r w:rsidRPr="00C6089D">
              <w:rPr>
                <w:rFonts w:ascii="Calibri" w:hAnsi="Calibri" w:cs="Calibri"/>
                <w:b/>
                <w:sz w:val="24"/>
              </w:rPr>
              <w:lastRenderedPageBreak/>
              <w:t>Distribuição Parcial</w:t>
            </w:r>
          </w:p>
        </w:tc>
        <w:tc>
          <w:tcPr>
            <w:tcW w:w="5611" w:type="dxa"/>
          </w:tcPr>
          <w:p w14:paraId="35B10CC8" w14:textId="110537CA" w:rsidR="001E7279" w:rsidRPr="00C6089D" w:rsidRDefault="001E7279" w:rsidP="001E7279">
            <w:pPr>
              <w:spacing w:after="140" w:line="290" w:lineRule="auto"/>
              <w:jc w:val="both"/>
              <w:rPr>
                <w:rFonts w:ascii="Calibri" w:hAnsi="Calibri" w:cs="Calibri"/>
                <w:sz w:val="24"/>
              </w:rPr>
            </w:pPr>
            <w:r w:rsidRPr="00C6089D">
              <w:rPr>
                <w:rFonts w:ascii="Calibri" w:hAnsi="Calibri" w:cs="Calibri"/>
                <w:sz w:val="24"/>
              </w:rPr>
              <w:t>Não será admitida a distribuição parcial das Debêntures.</w:t>
            </w:r>
          </w:p>
        </w:tc>
      </w:tr>
      <w:tr w:rsidR="001E7279" w:rsidRPr="00365D60" w14:paraId="4BBD3FA3" w14:textId="77777777" w:rsidTr="00546802">
        <w:trPr>
          <w:jc w:val="center"/>
        </w:trPr>
        <w:tc>
          <w:tcPr>
            <w:tcW w:w="3119" w:type="dxa"/>
          </w:tcPr>
          <w:p w14:paraId="27CEF080" w14:textId="77777777" w:rsidR="001E7279" w:rsidRPr="00C6089D" w:rsidRDefault="001E7279" w:rsidP="001E7279">
            <w:pPr>
              <w:pStyle w:val="Body"/>
              <w:jc w:val="left"/>
              <w:rPr>
                <w:rFonts w:ascii="Calibri" w:hAnsi="Calibri" w:cs="Calibri"/>
                <w:b/>
                <w:sz w:val="24"/>
              </w:rPr>
            </w:pPr>
            <w:r w:rsidRPr="00C6089D">
              <w:rPr>
                <w:rFonts w:ascii="Calibri" w:hAnsi="Calibri" w:cs="Calibri"/>
                <w:b/>
                <w:sz w:val="24"/>
              </w:rPr>
              <w:t>Inadequação da Oferta a Certos Investidores</w:t>
            </w:r>
          </w:p>
        </w:tc>
        <w:tc>
          <w:tcPr>
            <w:tcW w:w="5611" w:type="dxa"/>
          </w:tcPr>
          <w:p w14:paraId="48ED1EA3" w14:textId="4D253B6C" w:rsidR="001E7279" w:rsidRPr="00C6089D" w:rsidRDefault="001E7279" w:rsidP="001E7279">
            <w:pPr>
              <w:pStyle w:val="Body"/>
              <w:rPr>
                <w:rFonts w:ascii="Calibri" w:hAnsi="Calibri" w:cs="Calibri"/>
                <w:sz w:val="24"/>
              </w:rPr>
            </w:pPr>
            <w:r w:rsidRPr="00C6089D">
              <w:rPr>
                <w:rFonts w:ascii="Calibri" w:hAnsi="Calibri" w:cs="Calibri"/>
                <w:b/>
                <w:sz w:val="24"/>
              </w:rPr>
              <w:t>O investimento nas Debêntures não é adequado a investidores que: (i) não tenham profundo conhecimento dos riscos envolvidos na operação ou que não tenham acesso a consultoria especializada; (ii) necessitem de liquidez com relação às Debêntures a serem subscritas, tendo em vista a possibilidade de serem pequenas ou inexistentes as negociações das Debêntures no mercado secundário; e/ou (iii) não estejam dispostos a correr o risco de crédito de empresa do setor privado e/ou dos setores em que a Emissora atua, em particular n</w:t>
            </w:r>
            <w:r w:rsidRPr="00365D60">
              <w:rPr>
                <w:rFonts w:ascii="Calibri" w:hAnsi="Calibri" w:cs="Calibri"/>
                <w:b/>
                <w:sz w:val="24"/>
              </w:rPr>
              <w:t>o agronegócio</w:t>
            </w:r>
            <w:r w:rsidRPr="00C6089D">
              <w:rPr>
                <w:rFonts w:ascii="Calibri" w:hAnsi="Calibri" w:cs="Calibri"/>
                <w:b/>
                <w:sz w:val="24"/>
              </w:rPr>
              <w:t>. Para uma avaliação adequada dos riscos associados ao investimento nas Debêntures, os investidores deverão ler a seção “Fatores de Risco Relacionados à Oferta e às Debêntures”, do Prospecto Definitivo, bem como o item “4. Fatores de Risco” do Formulário de Referência antes de aceitar a Oferta.</w:t>
            </w:r>
          </w:p>
        </w:tc>
      </w:tr>
      <w:tr w:rsidR="001E7279" w:rsidRPr="00365D60" w14:paraId="77775CA3" w14:textId="77777777" w:rsidTr="00546802">
        <w:trPr>
          <w:jc w:val="center"/>
        </w:trPr>
        <w:tc>
          <w:tcPr>
            <w:tcW w:w="3119" w:type="dxa"/>
          </w:tcPr>
          <w:p w14:paraId="363F23B0" w14:textId="77777777" w:rsidR="001E7279" w:rsidRPr="00C6089D" w:rsidRDefault="001E7279" w:rsidP="001E7279">
            <w:pPr>
              <w:pStyle w:val="Body"/>
              <w:jc w:val="left"/>
              <w:rPr>
                <w:rFonts w:ascii="Calibri" w:hAnsi="Calibri" w:cs="Calibri"/>
                <w:b/>
                <w:sz w:val="24"/>
              </w:rPr>
            </w:pPr>
            <w:r w:rsidRPr="00C6089D">
              <w:rPr>
                <w:rFonts w:ascii="Calibri" w:hAnsi="Calibri" w:cs="Calibri"/>
                <w:b/>
                <w:sz w:val="24"/>
              </w:rPr>
              <w:lastRenderedPageBreak/>
              <w:t>Modificação da Oferta</w:t>
            </w:r>
          </w:p>
        </w:tc>
        <w:tc>
          <w:tcPr>
            <w:tcW w:w="5611" w:type="dxa"/>
          </w:tcPr>
          <w:p w14:paraId="52B70E34" w14:textId="3A5A8CBD" w:rsidR="001E7279" w:rsidRPr="00C6089D" w:rsidRDefault="001E7279" w:rsidP="001E7279">
            <w:pPr>
              <w:pStyle w:val="Body"/>
              <w:rPr>
                <w:rFonts w:ascii="Calibri" w:hAnsi="Calibri" w:cs="Calibri"/>
                <w:sz w:val="24"/>
              </w:rPr>
            </w:pPr>
            <w:r w:rsidRPr="00C6089D">
              <w:rPr>
                <w:rFonts w:ascii="Calibri" w:hAnsi="Calibri" w:cs="Calibri"/>
                <w:sz w:val="24"/>
              </w:rPr>
              <w:t xml:space="preserve">Nos termos do artigo 25 e seguintes da Instrução CVM 400, havendo, a juízo da CVM, alteração substancial, posterior e imprevisível nas circunstâncias de fato existentes quando da apresentação do pedido de registro da Oferta, ou que o fundamentem, acarretando aumento relevante dos riscos assumidos pela Emissora e inerentes à própria Oferta, a CVM poderá acolher pleito de modificação da Oferta. O pleito de modificação da Oferta presumir-se-á deferido caso não haja manifestação da CVM em sentido contrário no prazo de 10 (dez) Dias Úteis, contado do seu protocolo na CVM. Tendo sido deferida a modificação, a CVM poderá, por sua própria iniciativa ou a requerimento do ofertante, prorrogar o prazo da Oferta por até 90 (noventa) dias. É sempre permitida a modificação da Oferta para melhorá-la em favor dos investidores ou para renúncia a condição da Oferta estabelecida pela Emissora. Caso a Oferta seja modificada, nos termos dos artigos 25 a 27 da Instrução CVM 400: </w:t>
            </w:r>
            <w:r w:rsidRPr="00C6089D">
              <w:rPr>
                <w:rFonts w:ascii="Calibri" w:hAnsi="Calibri" w:cs="Calibri"/>
                <w:b/>
                <w:sz w:val="24"/>
              </w:rPr>
              <w:t>(i)</w:t>
            </w:r>
            <w:r w:rsidRPr="00C6089D">
              <w:rPr>
                <w:rFonts w:ascii="Calibri" w:hAnsi="Calibri" w:cs="Calibri"/>
                <w:sz w:val="24"/>
              </w:rPr>
              <w:t xml:space="preserve"> a modificação deverá ser divulgada imediatamente através de meios ao menos iguais aos utilizados para a divulgação da Oferta; </w:t>
            </w:r>
            <w:r w:rsidRPr="00C6089D">
              <w:rPr>
                <w:rFonts w:ascii="Calibri" w:hAnsi="Calibri" w:cs="Calibri"/>
                <w:b/>
                <w:sz w:val="24"/>
              </w:rPr>
              <w:t>(ii)</w:t>
            </w:r>
            <w:r w:rsidRPr="00C6089D">
              <w:rPr>
                <w:rFonts w:ascii="Calibri" w:hAnsi="Calibri" w:cs="Calibri"/>
                <w:sz w:val="24"/>
              </w:rPr>
              <w:t xml:space="preserve"> as Instituições Participantes da Oferta deverão se acautelar e se certificar, no momento do recebimento das aceitações da Oferta, de que o investidor está ciente de que a Oferta foi alterada e de que tem conhecimento das novas condições; e </w:t>
            </w:r>
            <w:r w:rsidRPr="00C6089D">
              <w:rPr>
                <w:rFonts w:ascii="Calibri" w:hAnsi="Calibri" w:cs="Calibri"/>
                <w:b/>
                <w:sz w:val="24"/>
              </w:rPr>
              <w:t>(iii)</w:t>
            </w:r>
            <w:r w:rsidRPr="00C6089D">
              <w:rPr>
                <w:rFonts w:ascii="Calibri" w:hAnsi="Calibri" w:cs="Calibri"/>
                <w:sz w:val="24"/>
              </w:rPr>
              <w:t xml:space="preserve"> os investidores que já tiverem aderido à Oferta deverão ser comunicados diretamente, por correio eletrônico, correspondência física ou qualquer outra forma de comunicação passível de comprovação, a respeito da modificação efetuada, para que confirmem, até as 16h00 (dezesseis horas) do 5º (quinto) Dia Útil subsequente à data em que foi comunicada ao investidor a modificação da Oferta, o interesse em revogar sua aceitação à Oferta, presumindo-se, na falta da manifestação, o interesse do </w:t>
            </w:r>
            <w:r w:rsidRPr="00C6089D">
              <w:rPr>
                <w:rFonts w:ascii="Calibri" w:hAnsi="Calibri" w:cs="Calibri"/>
                <w:sz w:val="24"/>
              </w:rPr>
              <w:lastRenderedPageBreak/>
              <w:t>investidor em não revogar sua aceitação. Se o investidor revogar sua aceitação e se o investidor já tiver efetuado o pagamento do Preço de Integralização, referido Preço de Integralização será devolvido sem juros ou correção monetária, sem reembolso e com dedução dos valores relativos aos tributos e encargos incidentes, se existentes, no prazo de 5 (cinco) Dias Úteis contados da data da respectiva revogação.</w:t>
            </w:r>
          </w:p>
          <w:p w14:paraId="1889BF2A" w14:textId="2AC35B53" w:rsidR="001E7279" w:rsidRPr="00C6089D" w:rsidRDefault="001E7279" w:rsidP="001E7279">
            <w:pPr>
              <w:pStyle w:val="Body"/>
              <w:rPr>
                <w:rFonts w:ascii="Calibri" w:hAnsi="Calibri" w:cs="Calibri"/>
                <w:sz w:val="24"/>
              </w:rPr>
            </w:pPr>
            <w:r w:rsidRPr="00C6089D">
              <w:rPr>
                <w:rFonts w:ascii="Calibri" w:hAnsi="Calibri" w:cs="Calibri"/>
                <w:b/>
                <w:sz w:val="24"/>
              </w:rPr>
              <w:t>Para informações adicionais a respeito da modificação da Oferta, vide item</w:t>
            </w:r>
            <w:r w:rsidRPr="00C6089D">
              <w:rPr>
                <w:rFonts w:ascii="Calibri" w:hAnsi="Calibri" w:cs="Calibri"/>
                <w:sz w:val="24"/>
              </w:rPr>
              <w:t xml:space="preserve"> </w:t>
            </w:r>
            <w:r w:rsidRPr="00C6089D">
              <w:rPr>
                <w:rFonts w:ascii="Calibri" w:hAnsi="Calibri" w:cs="Calibri"/>
                <w:b/>
                <w:sz w:val="24"/>
              </w:rPr>
              <w:t>“Informações Relativas à Emissão, à Oferta e às Debêntures - Características da Oferta – Modificação da Oferta” do Prospecto Definitivo.</w:t>
            </w:r>
          </w:p>
        </w:tc>
      </w:tr>
      <w:tr w:rsidR="001E7279" w:rsidRPr="00365D60" w14:paraId="00715BE0" w14:textId="77777777" w:rsidTr="00546802">
        <w:trPr>
          <w:jc w:val="center"/>
        </w:trPr>
        <w:tc>
          <w:tcPr>
            <w:tcW w:w="3119" w:type="dxa"/>
          </w:tcPr>
          <w:p w14:paraId="3929C3C3" w14:textId="77777777" w:rsidR="001E7279" w:rsidRPr="00C6089D" w:rsidRDefault="001E7279" w:rsidP="001E7279">
            <w:pPr>
              <w:pStyle w:val="Body"/>
              <w:jc w:val="left"/>
              <w:rPr>
                <w:rFonts w:ascii="Calibri" w:hAnsi="Calibri" w:cs="Calibri"/>
                <w:b/>
                <w:sz w:val="24"/>
              </w:rPr>
            </w:pPr>
            <w:r w:rsidRPr="00C6089D">
              <w:rPr>
                <w:rFonts w:ascii="Calibri" w:hAnsi="Calibri" w:cs="Calibri"/>
                <w:b/>
                <w:sz w:val="24"/>
              </w:rPr>
              <w:lastRenderedPageBreak/>
              <w:t>Suspensão da Oferta</w:t>
            </w:r>
          </w:p>
        </w:tc>
        <w:tc>
          <w:tcPr>
            <w:tcW w:w="5611" w:type="dxa"/>
          </w:tcPr>
          <w:p w14:paraId="5B1C0D09" w14:textId="77777777" w:rsidR="001E7279" w:rsidRPr="00C6089D" w:rsidRDefault="001E7279" w:rsidP="000847F8">
            <w:pPr>
              <w:pStyle w:val="Body"/>
              <w:spacing w:line="240" w:lineRule="auto"/>
              <w:rPr>
                <w:rFonts w:ascii="Calibri" w:hAnsi="Calibri" w:cs="Calibri"/>
                <w:sz w:val="24"/>
              </w:rPr>
            </w:pPr>
            <w:r w:rsidRPr="00C6089D">
              <w:rPr>
                <w:rFonts w:ascii="Calibri" w:hAnsi="Calibri" w:cs="Calibri"/>
                <w:sz w:val="24"/>
              </w:rPr>
              <w:t xml:space="preserve">Nos termos do artigo 19 da Instrução CVM 400, a CVM: </w:t>
            </w:r>
            <w:r w:rsidRPr="00C6089D">
              <w:rPr>
                <w:rFonts w:ascii="Calibri" w:hAnsi="Calibri" w:cs="Calibri"/>
                <w:b/>
                <w:sz w:val="24"/>
              </w:rPr>
              <w:t>(i)</w:t>
            </w:r>
            <w:r w:rsidRPr="00C6089D">
              <w:rPr>
                <w:rFonts w:ascii="Calibri" w:hAnsi="Calibri" w:cs="Calibri"/>
                <w:sz w:val="24"/>
              </w:rPr>
              <w:t xml:space="preserve"> poderá suspender, a qualquer tempo, a Oferta se: </w:t>
            </w:r>
            <w:r w:rsidRPr="00C6089D">
              <w:rPr>
                <w:rFonts w:ascii="Calibri" w:hAnsi="Calibri" w:cs="Calibri"/>
                <w:b/>
                <w:sz w:val="24"/>
              </w:rPr>
              <w:t>(a)</w:t>
            </w:r>
            <w:r w:rsidRPr="00C6089D">
              <w:rPr>
                <w:rFonts w:ascii="Calibri" w:hAnsi="Calibri" w:cs="Calibri"/>
                <w:sz w:val="24"/>
              </w:rPr>
              <w:t xml:space="preserve"> estiver se processando em condições diversas das constantes da Instrução CVM 400 ou do registro da Oferta; ou </w:t>
            </w:r>
            <w:r w:rsidRPr="00C6089D">
              <w:rPr>
                <w:rFonts w:ascii="Calibri" w:hAnsi="Calibri" w:cs="Calibri"/>
                <w:b/>
                <w:sz w:val="24"/>
              </w:rPr>
              <w:t>(b)</w:t>
            </w:r>
            <w:r w:rsidRPr="00C6089D">
              <w:rPr>
                <w:rFonts w:ascii="Calibri" w:hAnsi="Calibri" w:cs="Calibri"/>
                <w:sz w:val="24"/>
              </w:rPr>
              <w:t xml:space="preserve"> for havida por ilegal, contrária à regulamentação da CVM ou fraudulenta, ainda que após obtido o respectivo registro da Oferta; e </w:t>
            </w:r>
            <w:r w:rsidRPr="00C6089D">
              <w:rPr>
                <w:rFonts w:ascii="Calibri" w:hAnsi="Calibri" w:cs="Calibri"/>
                <w:b/>
                <w:sz w:val="24"/>
              </w:rPr>
              <w:t>(ii)</w:t>
            </w:r>
            <w:r w:rsidRPr="00C6089D">
              <w:rPr>
                <w:rFonts w:ascii="Calibri" w:hAnsi="Calibri" w:cs="Calibri"/>
                <w:sz w:val="24"/>
              </w:rPr>
              <w:t xml:space="preserve"> deverá suspender a Oferta quando verificar ilegalidade ou violação de regulamento sanáveis.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A Emissora deverá dar conhecimento da suspensão diretamente aos investidores que já tenham aceitado a Oferta, ao menos pelos meios utilizados para a divulgação da Oferta, facultando-lhes a possibilidade de revogar a aceitação até às 16h00 (dezesseis horas) do 5º (quinto) Dia Útil subsequente à data em que foi comunicada ao investidor a suspensão da Oferta, presumindo-se, na falta da manifestação, o interesse do investidor em não revogar sua aceitação. Se o investidor revogar sua aceitação e se o investidor já tiver efetuado o pagamento do Preço de Integralização, o referido Preço de Integralização será devolvido sem juros ou correção </w:t>
            </w:r>
            <w:r w:rsidRPr="00C6089D">
              <w:rPr>
                <w:rFonts w:ascii="Calibri" w:hAnsi="Calibri" w:cs="Calibri"/>
                <w:sz w:val="24"/>
              </w:rPr>
              <w:lastRenderedPageBreak/>
              <w:t>monetária, sem reembolso e com dedução dos valores relativos aos tributos e encargos incidentes, se existentes, no prazo de 5 (cinco) Dias Úteis contados da data da respectiva revogação.</w:t>
            </w:r>
          </w:p>
          <w:p w14:paraId="6D917639" w14:textId="3AF3C52F" w:rsidR="001E7279" w:rsidRPr="00C6089D" w:rsidRDefault="001E7279" w:rsidP="000847F8">
            <w:pPr>
              <w:pStyle w:val="Body"/>
              <w:spacing w:line="240" w:lineRule="auto"/>
              <w:rPr>
                <w:rFonts w:ascii="Calibri" w:hAnsi="Calibri" w:cs="Calibri"/>
                <w:sz w:val="24"/>
              </w:rPr>
            </w:pPr>
            <w:r w:rsidRPr="00C6089D">
              <w:rPr>
                <w:rFonts w:ascii="Calibri" w:hAnsi="Calibri" w:cs="Calibri"/>
                <w:b/>
                <w:sz w:val="24"/>
              </w:rPr>
              <w:t>Para informações adicionais a respeito da suspensão da Oferta vide o item</w:t>
            </w:r>
            <w:r w:rsidRPr="00C6089D">
              <w:rPr>
                <w:rFonts w:ascii="Calibri" w:hAnsi="Calibri" w:cs="Calibri"/>
                <w:sz w:val="24"/>
              </w:rPr>
              <w:t xml:space="preserve"> </w:t>
            </w:r>
            <w:r w:rsidRPr="00C6089D">
              <w:rPr>
                <w:rFonts w:ascii="Calibri" w:hAnsi="Calibri" w:cs="Calibri"/>
                <w:b/>
                <w:sz w:val="24"/>
              </w:rPr>
              <w:t>“Informações Relativas à Emissão, à Oferta e às Debêntures - Características da Oferta – Suspensão da Oferta” do Prospecto Definitivo.</w:t>
            </w:r>
          </w:p>
        </w:tc>
      </w:tr>
      <w:tr w:rsidR="001E7279" w:rsidRPr="00365D60" w14:paraId="771C7C82" w14:textId="77777777" w:rsidTr="00546802">
        <w:trPr>
          <w:jc w:val="center"/>
        </w:trPr>
        <w:tc>
          <w:tcPr>
            <w:tcW w:w="3119" w:type="dxa"/>
          </w:tcPr>
          <w:p w14:paraId="17DE5AE6" w14:textId="77777777" w:rsidR="001E7279" w:rsidRPr="00C6089D" w:rsidRDefault="001E7279" w:rsidP="001E7279">
            <w:pPr>
              <w:pStyle w:val="Body"/>
              <w:jc w:val="left"/>
              <w:rPr>
                <w:rFonts w:ascii="Calibri" w:hAnsi="Calibri" w:cs="Calibri"/>
                <w:b/>
                <w:sz w:val="24"/>
              </w:rPr>
            </w:pPr>
            <w:r w:rsidRPr="00C6089D">
              <w:rPr>
                <w:rFonts w:ascii="Calibri" w:hAnsi="Calibri" w:cs="Calibri"/>
                <w:b/>
                <w:sz w:val="24"/>
              </w:rPr>
              <w:lastRenderedPageBreak/>
              <w:t>Cancelamento ou Revogação da Oferta</w:t>
            </w:r>
          </w:p>
        </w:tc>
        <w:tc>
          <w:tcPr>
            <w:tcW w:w="5611" w:type="dxa"/>
          </w:tcPr>
          <w:p w14:paraId="456939AD" w14:textId="77777777" w:rsidR="001E7279" w:rsidRPr="00C6089D" w:rsidRDefault="001E7279" w:rsidP="000847F8">
            <w:pPr>
              <w:pStyle w:val="Body"/>
              <w:spacing w:line="240" w:lineRule="auto"/>
              <w:rPr>
                <w:rFonts w:ascii="Calibri" w:hAnsi="Calibri" w:cs="Calibri"/>
                <w:sz w:val="24"/>
              </w:rPr>
            </w:pPr>
            <w:r w:rsidRPr="00C6089D">
              <w:rPr>
                <w:rFonts w:ascii="Calibri" w:hAnsi="Calibri" w:cs="Calibri"/>
                <w:sz w:val="24"/>
              </w:rPr>
              <w:t xml:space="preserve">Nos termos dos artigos 19 e 20 da Instrução CVM 400, a CVM poderá cancelar, a qualquer tempo, a Oferta que: </w:t>
            </w:r>
            <w:r w:rsidRPr="00C6089D">
              <w:rPr>
                <w:rFonts w:ascii="Calibri" w:hAnsi="Calibri" w:cs="Calibri"/>
                <w:b/>
                <w:sz w:val="24"/>
              </w:rPr>
              <w:t>(i)</w:t>
            </w:r>
            <w:r w:rsidRPr="00C6089D">
              <w:rPr>
                <w:rFonts w:ascii="Calibri" w:hAnsi="Calibri" w:cs="Calibri"/>
                <w:sz w:val="24"/>
              </w:rPr>
              <w:t xml:space="preserve"> estiver se processando em condições diversas das constantes da Instrução CVM 400 ou do registro da Oferta; ou </w:t>
            </w:r>
            <w:r w:rsidRPr="00C6089D">
              <w:rPr>
                <w:rFonts w:ascii="Calibri" w:hAnsi="Calibri" w:cs="Calibri"/>
                <w:b/>
                <w:sz w:val="24"/>
              </w:rPr>
              <w:t>(ii)</w:t>
            </w:r>
            <w:r w:rsidRPr="00C6089D">
              <w:rPr>
                <w:rFonts w:ascii="Calibri" w:hAnsi="Calibri" w:cs="Calibri"/>
                <w:sz w:val="24"/>
              </w:rPr>
              <w:t> for havida por ilegal, contrária à regulamentação da CVM ou fraudulenta, ainda que após obtido o respectivo registro da Oferta. Adicionalmente, a rescisão do Contrato de Distribuição também importará no cancelamento do registro da Oferta. Nos termos do artigo 25 e seguintes da Instrução CVM 400, havendo, a juízo da CVM, alteração substancial, posterior e imprevisível nas circunstâncias de fato existentes quando da apresentação do pedido de registro da Oferta, ou que o fundamentem, acarretando aumento relevante dos riscos assumidos pela Emissora e inerentes à própria Oferta, a CVM poderá acolher pleito de revogação da Oferta.</w:t>
            </w:r>
          </w:p>
          <w:p w14:paraId="70D68BA5" w14:textId="77777777" w:rsidR="001E7279" w:rsidRPr="00C6089D" w:rsidRDefault="001E7279" w:rsidP="000847F8">
            <w:pPr>
              <w:pStyle w:val="Body"/>
              <w:spacing w:line="240" w:lineRule="auto"/>
              <w:rPr>
                <w:rFonts w:ascii="Calibri" w:hAnsi="Calibri" w:cs="Calibri"/>
                <w:sz w:val="24"/>
              </w:rPr>
            </w:pPr>
            <w:r w:rsidRPr="00C6089D">
              <w:rPr>
                <w:rFonts w:ascii="Calibri" w:hAnsi="Calibri" w:cs="Calibri"/>
                <w:sz w:val="24"/>
              </w:rPr>
              <w:t>Em caso de cancelamento ou revogação da Oferta ou caso o investidor revogue sua aceitação e, em ambos os casos, se o investidor já tiver efetuado o pagamento do Preço de Integralização, referido Preço de Integralização será devolvido sem juros ou correção monetária, sem reembolso e com dedução dos valores relativos aos tributos e encargos incidentes, se existentes, no prazo de 5 (cinco) Dias Úteis contados da data do cancelamento da Oferta ou respectiva revogação, conforme o caso.</w:t>
            </w:r>
          </w:p>
          <w:p w14:paraId="0B73DE1C" w14:textId="53154EC8" w:rsidR="001E7279" w:rsidRPr="00C6089D" w:rsidRDefault="001E7279" w:rsidP="000847F8">
            <w:pPr>
              <w:pStyle w:val="Body"/>
              <w:spacing w:line="240" w:lineRule="auto"/>
              <w:rPr>
                <w:rFonts w:ascii="Calibri" w:hAnsi="Calibri" w:cs="Calibri"/>
                <w:sz w:val="24"/>
              </w:rPr>
            </w:pPr>
            <w:r w:rsidRPr="00C6089D">
              <w:rPr>
                <w:rFonts w:ascii="Calibri" w:hAnsi="Calibri" w:cs="Calibri"/>
                <w:b/>
                <w:sz w:val="24"/>
              </w:rPr>
              <w:t>Para informações adicionais a respeito do cancelamento da Oferta vide o item</w:t>
            </w:r>
            <w:r w:rsidRPr="00C6089D">
              <w:rPr>
                <w:rFonts w:ascii="Calibri" w:hAnsi="Calibri" w:cs="Calibri"/>
                <w:sz w:val="24"/>
              </w:rPr>
              <w:t xml:space="preserve"> </w:t>
            </w:r>
            <w:r w:rsidRPr="00C6089D">
              <w:rPr>
                <w:rFonts w:ascii="Calibri" w:hAnsi="Calibri" w:cs="Calibri"/>
                <w:b/>
                <w:sz w:val="24"/>
              </w:rPr>
              <w:t>“Informações Relativas à Emissão, à Oferta e às Debêntures - Características da Oferta – Cancelamento da Oferta” do Prospecto Definitivo.</w:t>
            </w:r>
          </w:p>
        </w:tc>
      </w:tr>
    </w:tbl>
    <w:p w14:paraId="1AE18B1A" w14:textId="50D75474" w:rsidR="00E80B84" w:rsidRPr="00D347EC" w:rsidRDefault="00D347EC" w:rsidP="00D347EC">
      <w:pPr>
        <w:pStyle w:val="Level1"/>
        <w:tabs>
          <w:tab w:val="clear" w:pos="680"/>
          <w:tab w:val="num" w:pos="426"/>
        </w:tabs>
        <w:rPr>
          <w:rFonts w:ascii="Calibri" w:hAnsi="Calibri" w:cs="Calibri"/>
          <w:caps/>
          <w:color w:val="203463"/>
          <w:sz w:val="28"/>
          <w:szCs w:val="28"/>
        </w:rPr>
      </w:pPr>
      <w:bookmarkStart w:id="50" w:name="_Ref430119538"/>
      <w:r w:rsidRPr="00D347EC">
        <w:rPr>
          <w:rFonts w:ascii="Calibri" w:hAnsi="Calibri" w:cs="Calibri"/>
          <w:caps/>
          <w:color w:val="203463"/>
          <w:sz w:val="28"/>
          <w:szCs w:val="28"/>
        </w:rPr>
        <w:lastRenderedPageBreak/>
        <w:t>CRONOGRAMA ESTIMADO DAS ETAPAS DA OFERTA</w:t>
      </w:r>
      <w:bookmarkEnd w:id="50"/>
    </w:p>
    <w:p w14:paraId="59A2324B" w14:textId="7C9F2B4D" w:rsidR="001C0B1F" w:rsidRPr="00C6089D" w:rsidRDefault="001C0B1F" w:rsidP="001C0B1F">
      <w:pPr>
        <w:pStyle w:val="HOMEBRBodyText"/>
        <w:keepLines w:val="0"/>
        <w:widowControl w:val="0"/>
        <w:jc w:val="both"/>
        <w:rPr>
          <w:rFonts w:ascii="Calibri" w:hAnsi="Calibri" w:cs="Calibri"/>
          <w:sz w:val="24"/>
          <w:szCs w:val="24"/>
          <w:lang w:val="pt-BR"/>
        </w:rPr>
      </w:pPr>
      <w:r w:rsidRPr="00C6089D">
        <w:rPr>
          <w:rFonts w:ascii="Calibri" w:hAnsi="Calibri" w:cs="Calibri"/>
          <w:sz w:val="24"/>
          <w:szCs w:val="24"/>
          <w:lang w:val="pt-BR"/>
        </w:rPr>
        <w:t>Encontra-se abaixo o cronograma estimado para as principais etapas da Oferta:</w:t>
      </w:r>
    </w:p>
    <w:tbl>
      <w:tblPr>
        <w:tblW w:w="5000" w:type="pct"/>
        <w:tblCellMar>
          <w:top w:w="57" w:type="dxa"/>
          <w:left w:w="70" w:type="dxa"/>
          <w:bottom w:w="57" w:type="dxa"/>
          <w:right w:w="70" w:type="dxa"/>
        </w:tblCellMar>
        <w:tblLook w:val="0000" w:firstRow="0" w:lastRow="0" w:firstColumn="0" w:lastColumn="0" w:noHBand="0" w:noVBand="0"/>
      </w:tblPr>
      <w:tblGrid>
        <w:gridCol w:w="606"/>
        <w:gridCol w:w="6223"/>
        <w:gridCol w:w="2375"/>
      </w:tblGrid>
      <w:tr w:rsidR="008D36F4" w:rsidRPr="00DF7AD6" w14:paraId="5D3414E6" w14:textId="77777777" w:rsidTr="00DF7AD6">
        <w:tc>
          <w:tcPr>
            <w:tcW w:w="606" w:type="dxa"/>
            <w:tcBorders>
              <w:top w:val="single" w:sz="4" w:space="0" w:color="auto"/>
              <w:bottom w:val="single" w:sz="4" w:space="0" w:color="auto"/>
            </w:tcBorders>
            <w:shd w:val="clear" w:color="auto" w:fill="A6A6A6" w:themeFill="background1" w:themeFillShade="A6"/>
            <w:vAlign w:val="center"/>
          </w:tcPr>
          <w:p w14:paraId="30DE5025" w14:textId="737C20A0" w:rsidR="009A020C" w:rsidRPr="00DF7AD6" w:rsidRDefault="009A020C" w:rsidP="000847F8">
            <w:pPr>
              <w:spacing w:before="40" w:line="269" w:lineRule="auto"/>
              <w:jc w:val="center"/>
              <w:rPr>
                <w:rFonts w:ascii="Calibri" w:eastAsia="MS Mincho" w:hAnsi="Calibri" w:cs="Calibri"/>
                <w:b/>
                <w:sz w:val="22"/>
                <w:szCs w:val="22"/>
              </w:rPr>
            </w:pPr>
            <w:r w:rsidRPr="00DF7AD6">
              <w:rPr>
                <w:rFonts w:ascii="Calibri" w:eastAsia="MS Mincho" w:hAnsi="Calibri" w:cs="Calibri"/>
                <w:b/>
                <w:color w:val="FFFFFF"/>
                <w:sz w:val="22"/>
                <w:szCs w:val="22"/>
              </w:rPr>
              <w:t>#</w:t>
            </w:r>
          </w:p>
        </w:tc>
        <w:tc>
          <w:tcPr>
            <w:tcW w:w="6223" w:type="dxa"/>
            <w:tcBorders>
              <w:top w:val="single" w:sz="4" w:space="0" w:color="auto"/>
              <w:left w:val="nil"/>
              <w:bottom w:val="single" w:sz="4" w:space="0" w:color="auto"/>
            </w:tcBorders>
            <w:shd w:val="clear" w:color="auto" w:fill="A6A6A6" w:themeFill="background1" w:themeFillShade="A6"/>
            <w:vAlign w:val="center"/>
          </w:tcPr>
          <w:p w14:paraId="5BB56E16" w14:textId="7BFC8F62" w:rsidR="009A020C" w:rsidRPr="00DF7AD6" w:rsidRDefault="009A020C" w:rsidP="000847F8">
            <w:pPr>
              <w:spacing w:before="40" w:line="269" w:lineRule="auto"/>
              <w:jc w:val="center"/>
              <w:rPr>
                <w:rFonts w:ascii="Calibri" w:hAnsi="Calibri" w:cs="Calibri"/>
                <w:b/>
                <w:sz w:val="22"/>
                <w:szCs w:val="22"/>
              </w:rPr>
            </w:pPr>
            <w:r w:rsidRPr="00DF7AD6">
              <w:rPr>
                <w:rFonts w:ascii="Calibri" w:hAnsi="Calibri" w:cs="Calibri"/>
                <w:b/>
                <w:color w:val="FFFFFF"/>
                <w:sz w:val="22"/>
                <w:szCs w:val="22"/>
              </w:rPr>
              <w:t>Eventos</w:t>
            </w:r>
          </w:p>
        </w:tc>
        <w:tc>
          <w:tcPr>
            <w:tcW w:w="2375" w:type="dxa"/>
            <w:tcBorders>
              <w:top w:val="single" w:sz="4" w:space="0" w:color="auto"/>
              <w:bottom w:val="single" w:sz="4" w:space="0" w:color="auto"/>
            </w:tcBorders>
            <w:shd w:val="clear" w:color="auto" w:fill="A6A6A6" w:themeFill="background1" w:themeFillShade="A6"/>
            <w:vAlign w:val="center"/>
          </w:tcPr>
          <w:p w14:paraId="5A4D293E" w14:textId="2315AD25" w:rsidR="009A020C" w:rsidRPr="00DF7AD6" w:rsidRDefault="009A020C" w:rsidP="000847F8">
            <w:pPr>
              <w:spacing w:before="40" w:line="269" w:lineRule="auto"/>
              <w:jc w:val="center"/>
              <w:rPr>
                <w:rFonts w:ascii="Calibri" w:hAnsi="Calibri" w:cs="Calibri"/>
                <w:b/>
                <w:sz w:val="22"/>
                <w:szCs w:val="22"/>
              </w:rPr>
            </w:pPr>
            <w:r w:rsidRPr="00DF7AD6">
              <w:rPr>
                <w:rFonts w:ascii="Calibri" w:hAnsi="Calibri" w:cs="Calibri"/>
                <w:b/>
                <w:color w:val="FFFFFF"/>
                <w:sz w:val="22"/>
                <w:szCs w:val="22"/>
              </w:rPr>
              <w:t>Data</w:t>
            </w:r>
            <w:r w:rsidRPr="00DF7AD6">
              <w:rPr>
                <w:rFonts w:ascii="Calibri" w:hAnsi="Calibri" w:cs="Calibri"/>
                <w:b/>
                <w:color w:val="FFFFFF"/>
                <w:sz w:val="22"/>
                <w:szCs w:val="22"/>
                <w:vertAlign w:val="superscript"/>
              </w:rPr>
              <w:t>(1)(2)(3)</w:t>
            </w:r>
          </w:p>
        </w:tc>
      </w:tr>
      <w:tr w:rsidR="00AF6782" w:rsidRPr="00DF7AD6" w14:paraId="65232BB1" w14:textId="77777777" w:rsidTr="00DF7AD6">
        <w:tc>
          <w:tcPr>
            <w:tcW w:w="606" w:type="dxa"/>
            <w:tcBorders>
              <w:top w:val="single" w:sz="4" w:space="0" w:color="auto"/>
              <w:bottom w:val="single" w:sz="4" w:space="0" w:color="auto"/>
            </w:tcBorders>
            <w:shd w:val="clear" w:color="auto" w:fill="auto"/>
            <w:vAlign w:val="center"/>
          </w:tcPr>
          <w:p w14:paraId="3212B28B" w14:textId="3306BAFD" w:rsidR="00AF6782" w:rsidRPr="00DF7AD6" w:rsidRDefault="00AF6782" w:rsidP="000847F8">
            <w:pPr>
              <w:pStyle w:val="CellBody"/>
              <w:spacing w:before="0" w:after="0" w:line="269" w:lineRule="auto"/>
              <w:contextualSpacing/>
              <w:jc w:val="center"/>
              <w:rPr>
                <w:rFonts w:ascii="Calibri" w:eastAsiaTheme="minorHAnsi" w:hAnsi="Calibri" w:cs="Calibri"/>
                <w:sz w:val="22"/>
                <w:szCs w:val="22"/>
                <w:lang w:val="en-GB"/>
              </w:rPr>
            </w:pPr>
            <w:r w:rsidRPr="00DF7AD6">
              <w:rPr>
                <w:rFonts w:ascii="Calibri" w:eastAsia="Arial" w:hAnsi="Calibri" w:cs="Calibri"/>
                <w:sz w:val="22"/>
                <w:szCs w:val="22"/>
              </w:rPr>
              <w:t>1</w:t>
            </w:r>
          </w:p>
        </w:tc>
        <w:tc>
          <w:tcPr>
            <w:tcW w:w="6223" w:type="dxa"/>
            <w:tcBorders>
              <w:top w:val="single" w:sz="4" w:space="0" w:color="auto"/>
              <w:left w:val="nil"/>
              <w:bottom w:val="single" w:sz="4" w:space="0" w:color="auto"/>
            </w:tcBorders>
            <w:shd w:val="clear" w:color="auto" w:fill="auto"/>
            <w:vAlign w:val="center"/>
          </w:tcPr>
          <w:p w14:paraId="06BA4AE3" w14:textId="7FFEAEC4" w:rsidR="00AF6782" w:rsidRPr="00DF7AD6" w:rsidRDefault="00A03A99" w:rsidP="000847F8">
            <w:pPr>
              <w:pStyle w:val="CellBody"/>
              <w:spacing w:before="0" w:after="0" w:line="269" w:lineRule="auto"/>
              <w:contextualSpacing/>
              <w:jc w:val="both"/>
              <w:rPr>
                <w:rFonts w:ascii="Calibri" w:eastAsia="Arial" w:hAnsi="Calibri" w:cs="Calibri"/>
                <w:sz w:val="22"/>
                <w:szCs w:val="22"/>
              </w:rPr>
            </w:pPr>
            <w:r w:rsidRPr="00DF7AD6">
              <w:rPr>
                <w:rFonts w:ascii="Calibri" w:eastAsia="Arial" w:hAnsi="Calibri" w:cs="Calibri"/>
                <w:sz w:val="22"/>
                <w:szCs w:val="22"/>
              </w:rPr>
              <w:t>Protocolo na CVM do pedido de registro da Oferta</w:t>
            </w:r>
            <w:r w:rsidR="001A3670" w:rsidRPr="00DF7AD6">
              <w:rPr>
                <w:rFonts w:ascii="Calibri" w:eastAsia="Arial" w:hAnsi="Calibri" w:cs="Calibri"/>
                <w:sz w:val="22"/>
                <w:szCs w:val="22"/>
              </w:rPr>
              <w:t>.</w:t>
            </w:r>
          </w:p>
          <w:p w14:paraId="5F1151A4" w14:textId="01C32B38" w:rsidR="001A3670" w:rsidRPr="003423E0" w:rsidRDefault="001A3670" w:rsidP="000847F8">
            <w:pPr>
              <w:pStyle w:val="CellBody"/>
              <w:spacing w:before="0" w:after="0" w:line="269" w:lineRule="auto"/>
              <w:contextualSpacing/>
              <w:jc w:val="both"/>
              <w:rPr>
                <w:rFonts w:ascii="Calibri" w:eastAsiaTheme="minorHAnsi" w:hAnsi="Calibri" w:cs="Calibri"/>
                <w:sz w:val="22"/>
                <w:szCs w:val="22"/>
              </w:rPr>
            </w:pPr>
            <w:r w:rsidRPr="00DF7AD6">
              <w:rPr>
                <w:rFonts w:ascii="Calibri" w:eastAsiaTheme="minorHAnsi" w:hAnsi="Calibri" w:cs="Calibri"/>
                <w:sz w:val="22"/>
                <w:szCs w:val="22"/>
              </w:rPr>
              <w:t xml:space="preserve">Divulgação do Aviso ao </w:t>
            </w:r>
            <w:r w:rsidRPr="003423E0">
              <w:rPr>
                <w:rFonts w:ascii="Calibri" w:eastAsiaTheme="minorHAnsi" w:hAnsi="Calibri" w:cs="Calibri"/>
                <w:sz w:val="22"/>
                <w:szCs w:val="22"/>
              </w:rPr>
              <w:t>Mercado e disponibilização do Prospecto Preliminar aos Investidores da Oferta.</w:t>
            </w:r>
          </w:p>
        </w:tc>
        <w:tc>
          <w:tcPr>
            <w:tcW w:w="2375" w:type="dxa"/>
            <w:tcBorders>
              <w:top w:val="single" w:sz="4" w:space="0" w:color="auto"/>
              <w:bottom w:val="single" w:sz="4" w:space="0" w:color="auto"/>
            </w:tcBorders>
            <w:shd w:val="clear" w:color="auto" w:fill="auto"/>
            <w:vAlign w:val="center"/>
          </w:tcPr>
          <w:p w14:paraId="3675ED73" w14:textId="1F753C66" w:rsidR="00AF6782" w:rsidRPr="003423E0" w:rsidRDefault="00A03A99" w:rsidP="000847F8">
            <w:pPr>
              <w:pStyle w:val="CellBody"/>
              <w:spacing w:before="0" w:after="0" w:line="269" w:lineRule="auto"/>
              <w:contextualSpacing/>
              <w:jc w:val="center"/>
              <w:rPr>
                <w:rFonts w:ascii="Calibri" w:eastAsiaTheme="minorHAnsi" w:hAnsi="Calibri" w:cs="Calibri"/>
                <w:sz w:val="22"/>
                <w:szCs w:val="22"/>
                <w:lang w:val="en-GB"/>
              </w:rPr>
            </w:pPr>
            <w:r w:rsidRPr="003423E0">
              <w:rPr>
                <w:rFonts w:ascii="Calibri" w:eastAsia="Arial" w:hAnsi="Calibri" w:cs="Calibri"/>
                <w:sz w:val="22"/>
                <w:szCs w:val="22"/>
              </w:rPr>
              <w:t>13 de dezembro de 2021</w:t>
            </w:r>
          </w:p>
        </w:tc>
      </w:tr>
      <w:tr w:rsidR="00BB4A8D" w:rsidRPr="00DF7AD6" w14:paraId="67C14CB2" w14:textId="77777777" w:rsidTr="00DF7AD6">
        <w:tc>
          <w:tcPr>
            <w:tcW w:w="606" w:type="dxa"/>
            <w:tcBorders>
              <w:top w:val="single" w:sz="4" w:space="0" w:color="auto"/>
              <w:bottom w:val="single" w:sz="4" w:space="0" w:color="auto"/>
            </w:tcBorders>
            <w:shd w:val="clear" w:color="auto" w:fill="auto"/>
            <w:vAlign w:val="center"/>
          </w:tcPr>
          <w:p w14:paraId="2ED26A5E" w14:textId="24B9C287" w:rsidR="00BB4A8D" w:rsidRPr="00DF7AD6" w:rsidRDefault="00992DB1" w:rsidP="000847F8">
            <w:pPr>
              <w:pStyle w:val="CellBody"/>
              <w:spacing w:before="0" w:after="0" w:line="269" w:lineRule="auto"/>
              <w:contextualSpacing/>
              <w:jc w:val="center"/>
              <w:rPr>
                <w:rFonts w:ascii="Calibri" w:eastAsiaTheme="minorHAnsi" w:hAnsi="Calibri" w:cs="Calibri"/>
                <w:sz w:val="22"/>
                <w:szCs w:val="22"/>
                <w:lang w:val="en-GB"/>
              </w:rPr>
            </w:pPr>
            <w:r w:rsidRPr="00DF7AD6">
              <w:rPr>
                <w:rFonts w:ascii="Calibri" w:eastAsiaTheme="minorHAnsi" w:hAnsi="Calibri" w:cs="Calibri"/>
                <w:sz w:val="22"/>
                <w:szCs w:val="22"/>
              </w:rPr>
              <w:t>2</w:t>
            </w:r>
          </w:p>
        </w:tc>
        <w:tc>
          <w:tcPr>
            <w:tcW w:w="6223" w:type="dxa"/>
            <w:tcBorders>
              <w:top w:val="single" w:sz="4" w:space="0" w:color="auto"/>
              <w:left w:val="nil"/>
              <w:bottom w:val="single" w:sz="4" w:space="0" w:color="auto"/>
            </w:tcBorders>
            <w:shd w:val="clear" w:color="auto" w:fill="auto"/>
            <w:vAlign w:val="center"/>
          </w:tcPr>
          <w:p w14:paraId="594763AD" w14:textId="2344D5F7" w:rsidR="00BB4A8D" w:rsidRPr="00DF7AD6" w:rsidRDefault="00A03A99" w:rsidP="000847F8">
            <w:pPr>
              <w:pStyle w:val="CellBody"/>
              <w:spacing w:before="0" w:after="0" w:line="269" w:lineRule="auto"/>
              <w:contextualSpacing/>
              <w:jc w:val="both"/>
              <w:rPr>
                <w:rFonts w:ascii="Calibri" w:eastAsiaTheme="minorHAnsi" w:hAnsi="Calibri" w:cs="Calibri"/>
                <w:sz w:val="22"/>
                <w:szCs w:val="22"/>
              </w:rPr>
            </w:pPr>
            <w:r w:rsidRPr="00DF7AD6">
              <w:rPr>
                <w:rFonts w:ascii="Calibri" w:eastAsia="Arial" w:hAnsi="Calibri" w:cs="Calibri"/>
                <w:sz w:val="22"/>
                <w:szCs w:val="22"/>
              </w:rPr>
              <w:t xml:space="preserve">Início das apresentações de </w:t>
            </w:r>
            <w:proofErr w:type="spellStart"/>
            <w:r w:rsidRPr="00DF7AD6">
              <w:rPr>
                <w:rFonts w:ascii="Calibri" w:eastAsia="Arial" w:hAnsi="Calibri" w:cs="Calibri"/>
                <w:i/>
                <w:iCs/>
                <w:sz w:val="22"/>
                <w:szCs w:val="22"/>
              </w:rPr>
              <w:t>Roadshow</w:t>
            </w:r>
            <w:proofErr w:type="spellEnd"/>
            <w:r w:rsidR="00BB4A8D" w:rsidRPr="00DF7AD6">
              <w:rPr>
                <w:rFonts w:ascii="Calibri" w:eastAsia="Arial" w:hAnsi="Calibri" w:cs="Calibri"/>
                <w:sz w:val="22"/>
                <w:szCs w:val="22"/>
              </w:rPr>
              <w:t>.</w:t>
            </w:r>
          </w:p>
        </w:tc>
        <w:tc>
          <w:tcPr>
            <w:tcW w:w="2375" w:type="dxa"/>
            <w:tcBorders>
              <w:top w:val="single" w:sz="4" w:space="0" w:color="auto"/>
              <w:bottom w:val="single" w:sz="4" w:space="0" w:color="auto"/>
            </w:tcBorders>
            <w:shd w:val="clear" w:color="auto" w:fill="auto"/>
            <w:vAlign w:val="center"/>
          </w:tcPr>
          <w:p w14:paraId="22C7D84A" w14:textId="4B863052" w:rsidR="00BB4A8D" w:rsidRPr="003423E0" w:rsidRDefault="00A03A99" w:rsidP="000847F8">
            <w:pPr>
              <w:pStyle w:val="CellBody"/>
              <w:spacing w:before="0" w:after="0" w:line="269" w:lineRule="auto"/>
              <w:contextualSpacing/>
              <w:jc w:val="center"/>
              <w:rPr>
                <w:rFonts w:ascii="Calibri" w:eastAsiaTheme="minorHAnsi" w:hAnsi="Calibri" w:cs="Calibri"/>
                <w:sz w:val="22"/>
                <w:szCs w:val="22"/>
                <w:lang w:val="en-GB"/>
              </w:rPr>
            </w:pPr>
            <w:r w:rsidRPr="00DF7AD6">
              <w:rPr>
                <w:rFonts w:ascii="Calibri" w:eastAsia="Arial" w:hAnsi="Calibri" w:cs="Calibri"/>
                <w:sz w:val="22"/>
                <w:szCs w:val="22"/>
              </w:rPr>
              <w:t>15 de dezembro de 2021</w:t>
            </w:r>
          </w:p>
        </w:tc>
      </w:tr>
      <w:tr w:rsidR="005816FD" w:rsidRPr="00DF7AD6" w14:paraId="1A729988" w14:textId="77777777" w:rsidTr="00DF7AD6">
        <w:tc>
          <w:tcPr>
            <w:tcW w:w="606" w:type="dxa"/>
            <w:tcBorders>
              <w:top w:val="single" w:sz="4" w:space="0" w:color="auto"/>
              <w:bottom w:val="single" w:sz="4" w:space="0" w:color="auto"/>
            </w:tcBorders>
            <w:shd w:val="clear" w:color="auto" w:fill="auto"/>
            <w:vAlign w:val="center"/>
          </w:tcPr>
          <w:p w14:paraId="37D47152" w14:textId="05686886" w:rsidR="005816FD" w:rsidRPr="00DF7AD6" w:rsidRDefault="00992DB1"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3</w:t>
            </w:r>
          </w:p>
        </w:tc>
        <w:tc>
          <w:tcPr>
            <w:tcW w:w="6223" w:type="dxa"/>
            <w:tcBorders>
              <w:top w:val="single" w:sz="4" w:space="0" w:color="auto"/>
              <w:left w:val="nil"/>
              <w:bottom w:val="single" w:sz="4" w:space="0" w:color="auto"/>
            </w:tcBorders>
            <w:shd w:val="clear" w:color="auto" w:fill="auto"/>
            <w:vAlign w:val="center"/>
          </w:tcPr>
          <w:p w14:paraId="6C0C2E74" w14:textId="5D4CCD43" w:rsidR="005816FD" w:rsidRPr="00DF7AD6" w:rsidRDefault="005816FD" w:rsidP="000847F8">
            <w:pPr>
              <w:pStyle w:val="CellBody"/>
              <w:spacing w:before="0" w:after="0" w:line="269" w:lineRule="auto"/>
              <w:contextualSpacing/>
              <w:jc w:val="both"/>
              <w:rPr>
                <w:rFonts w:ascii="Calibri" w:eastAsia="Arial" w:hAnsi="Calibri" w:cs="Calibri"/>
                <w:sz w:val="22"/>
                <w:szCs w:val="22"/>
              </w:rPr>
            </w:pPr>
            <w:r w:rsidRPr="00DF7AD6">
              <w:rPr>
                <w:rFonts w:ascii="Calibri" w:eastAsia="Arial" w:hAnsi="Calibri" w:cs="Calibri"/>
                <w:sz w:val="22"/>
                <w:szCs w:val="22"/>
              </w:rPr>
              <w:t xml:space="preserve">Encerramento de apresentações de </w:t>
            </w:r>
            <w:proofErr w:type="spellStart"/>
            <w:r w:rsidRPr="00DF7AD6">
              <w:rPr>
                <w:rFonts w:ascii="Calibri" w:eastAsia="Arial" w:hAnsi="Calibri" w:cs="Calibri"/>
                <w:i/>
                <w:sz w:val="22"/>
                <w:szCs w:val="22"/>
              </w:rPr>
              <w:t>Roadshow</w:t>
            </w:r>
            <w:proofErr w:type="spellEnd"/>
          </w:p>
        </w:tc>
        <w:tc>
          <w:tcPr>
            <w:tcW w:w="2375" w:type="dxa"/>
            <w:tcBorders>
              <w:top w:val="single" w:sz="4" w:space="0" w:color="auto"/>
              <w:bottom w:val="single" w:sz="4" w:space="0" w:color="auto"/>
            </w:tcBorders>
            <w:shd w:val="clear" w:color="auto" w:fill="auto"/>
            <w:vAlign w:val="center"/>
          </w:tcPr>
          <w:p w14:paraId="2A5F05EA" w14:textId="40837824" w:rsidR="005816FD" w:rsidRPr="003423E0" w:rsidRDefault="005816FD"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17 de dezembro de 2021</w:t>
            </w:r>
          </w:p>
        </w:tc>
      </w:tr>
      <w:tr w:rsidR="005819C1" w:rsidRPr="00DF7AD6" w14:paraId="2B3DB50D" w14:textId="77777777" w:rsidTr="00DF7AD6">
        <w:tc>
          <w:tcPr>
            <w:tcW w:w="606" w:type="dxa"/>
            <w:tcBorders>
              <w:top w:val="single" w:sz="4" w:space="0" w:color="auto"/>
              <w:bottom w:val="single" w:sz="4" w:space="0" w:color="auto"/>
            </w:tcBorders>
            <w:shd w:val="clear" w:color="auto" w:fill="auto"/>
            <w:vAlign w:val="center"/>
          </w:tcPr>
          <w:p w14:paraId="6A99CEED" w14:textId="014D3265" w:rsidR="005819C1" w:rsidRPr="00DF7AD6" w:rsidRDefault="00550A4B" w:rsidP="000847F8">
            <w:pPr>
              <w:pStyle w:val="CellBody"/>
              <w:spacing w:before="0" w:after="0" w:line="269" w:lineRule="auto"/>
              <w:contextualSpacing/>
              <w:jc w:val="center"/>
              <w:rPr>
                <w:rFonts w:ascii="Calibri" w:eastAsiaTheme="minorHAnsi" w:hAnsi="Calibri" w:cs="Calibri"/>
                <w:sz w:val="22"/>
                <w:szCs w:val="22"/>
              </w:rPr>
            </w:pPr>
            <w:r w:rsidRPr="00DF7AD6">
              <w:rPr>
                <w:rFonts w:ascii="Calibri" w:eastAsiaTheme="minorHAnsi" w:hAnsi="Calibri" w:cs="Calibri"/>
                <w:sz w:val="22"/>
                <w:szCs w:val="22"/>
              </w:rPr>
              <w:t>4</w:t>
            </w:r>
          </w:p>
        </w:tc>
        <w:tc>
          <w:tcPr>
            <w:tcW w:w="6223" w:type="dxa"/>
            <w:tcBorders>
              <w:top w:val="single" w:sz="4" w:space="0" w:color="auto"/>
              <w:left w:val="nil"/>
              <w:bottom w:val="single" w:sz="4" w:space="0" w:color="auto"/>
            </w:tcBorders>
            <w:shd w:val="clear" w:color="auto" w:fill="auto"/>
            <w:vAlign w:val="center"/>
          </w:tcPr>
          <w:p w14:paraId="29A45C8D" w14:textId="5A75536E" w:rsidR="005819C1" w:rsidRPr="00DF7AD6" w:rsidRDefault="005819C1" w:rsidP="000847F8">
            <w:pPr>
              <w:pStyle w:val="CellBody"/>
              <w:spacing w:before="0" w:after="0" w:line="269" w:lineRule="auto"/>
              <w:contextualSpacing/>
              <w:jc w:val="both"/>
              <w:rPr>
                <w:rFonts w:ascii="Calibri" w:eastAsia="Arial" w:hAnsi="Calibri" w:cs="Calibri"/>
                <w:sz w:val="22"/>
                <w:szCs w:val="22"/>
              </w:rPr>
            </w:pPr>
            <w:r w:rsidRPr="00DF7AD6">
              <w:rPr>
                <w:rFonts w:ascii="Calibri" w:eastAsia="Arial" w:hAnsi="Calibri" w:cs="Calibri"/>
                <w:sz w:val="22"/>
                <w:szCs w:val="22"/>
              </w:rPr>
              <w:t xml:space="preserve">Divulgação do </w:t>
            </w:r>
            <w:r w:rsidR="00C5439F">
              <w:rPr>
                <w:rFonts w:ascii="Calibri" w:eastAsia="Arial" w:hAnsi="Calibri" w:cs="Calibri"/>
                <w:sz w:val="22"/>
                <w:szCs w:val="22"/>
              </w:rPr>
              <w:t xml:space="preserve">1º </w:t>
            </w:r>
            <w:r w:rsidRPr="00DF7AD6">
              <w:rPr>
                <w:rFonts w:ascii="Calibri" w:eastAsia="Arial" w:hAnsi="Calibri" w:cs="Calibri"/>
                <w:sz w:val="22"/>
                <w:szCs w:val="22"/>
              </w:rPr>
              <w:t>Comunicado ao Mercado de Modificação da Oferta.</w:t>
            </w:r>
          </w:p>
        </w:tc>
        <w:tc>
          <w:tcPr>
            <w:tcW w:w="2375" w:type="dxa"/>
            <w:tcBorders>
              <w:top w:val="single" w:sz="4" w:space="0" w:color="auto"/>
              <w:bottom w:val="single" w:sz="4" w:space="0" w:color="auto"/>
            </w:tcBorders>
            <w:shd w:val="clear" w:color="auto" w:fill="auto"/>
            <w:vAlign w:val="center"/>
          </w:tcPr>
          <w:p w14:paraId="217F49C4" w14:textId="09930544" w:rsidR="005819C1" w:rsidRPr="003423E0" w:rsidRDefault="005819C1"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2</w:t>
            </w:r>
            <w:r w:rsidR="001946BE" w:rsidRPr="00DF7AD6">
              <w:rPr>
                <w:rFonts w:ascii="Calibri" w:eastAsia="Arial" w:hAnsi="Calibri" w:cs="Calibri"/>
                <w:sz w:val="22"/>
                <w:szCs w:val="22"/>
              </w:rPr>
              <w:t>2</w:t>
            </w:r>
            <w:r w:rsidRPr="00DF7AD6">
              <w:rPr>
                <w:rFonts w:ascii="Calibri" w:eastAsia="Arial" w:hAnsi="Calibri" w:cs="Calibri"/>
                <w:sz w:val="22"/>
                <w:szCs w:val="22"/>
              </w:rPr>
              <w:t xml:space="preserve"> de dezembro de 2021</w:t>
            </w:r>
          </w:p>
        </w:tc>
      </w:tr>
      <w:tr w:rsidR="00550A4B" w:rsidRPr="00DF7AD6" w14:paraId="5004E0C5" w14:textId="77777777" w:rsidTr="00DF7AD6">
        <w:tc>
          <w:tcPr>
            <w:tcW w:w="606" w:type="dxa"/>
            <w:tcBorders>
              <w:top w:val="single" w:sz="4" w:space="0" w:color="auto"/>
              <w:bottom w:val="single" w:sz="4" w:space="0" w:color="auto"/>
            </w:tcBorders>
            <w:shd w:val="clear" w:color="auto" w:fill="auto"/>
            <w:vAlign w:val="center"/>
          </w:tcPr>
          <w:p w14:paraId="6A3F151E" w14:textId="36BAE032" w:rsidR="00550A4B" w:rsidRPr="00DF7AD6" w:rsidRDefault="00550A4B" w:rsidP="000847F8">
            <w:pPr>
              <w:pStyle w:val="CellBody"/>
              <w:spacing w:before="0" w:after="0" w:line="269" w:lineRule="auto"/>
              <w:contextualSpacing/>
              <w:jc w:val="center"/>
              <w:rPr>
                <w:rFonts w:ascii="Calibri" w:eastAsiaTheme="minorHAnsi" w:hAnsi="Calibri" w:cs="Calibri"/>
                <w:sz w:val="22"/>
                <w:szCs w:val="22"/>
              </w:rPr>
            </w:pPr>
            <w:r w:rsidRPr="00DF7AD6">
              <w:rPr>
                <w:rFonts w:ascii="Calibri" w:eastAsiaTheme="minorHAnsi" w:hAnsi="Calibri" w:cs="Calibri"/>
                <w:sz w:val="22"/>
                <w:szCs w:val="22"/>
              </w:rPr>
              <w:t>5</w:t>
            </w:r>
          </w:p>
        </w:tc>
        <w:tc>
          <w:tcPr>
            <w:tcW w:w="6223" w:type="dxa"/>
            <w:tcBorders>
              <w:top w:val="single" w:sz="4" w:space="0" w:color="auto"/>
              <w:left w:val="nil"/>
              <w:bottom w:val="single" w:sz="4" w:space="0" w:color="auto"/>
            </w:tcBorders>
            <w:shd w:val="clear" w:color="auto" w:fill="auto"/>
            <w:vAlign w:val="center"/>
          </w:tcPr>
          <w:p w14:paraId="111A00EF" w14:textId="617123E5" w:rsidR="00550A4B" w:rsidRPr="00DF7AD6" w:rsidRDefault="00550A4B" w:rsidP="000847F8">
            <w:pPr>
              <w:pStyle w:val="CellBody"/>
              <w:spacing w:before="0" w:after="0" w:line="269" w:lineRule="auto"/>
              <w:contextualSpacing/>
              <w:jc w:val="both"/>
              <w:rPr>
                <w:rFonts w:ascii="Calibri" w:eastAsia="Arial" w:hAnsi="Calibri" w:cs="Calibri"/>
                <w:sz w:val="22"/>
                <w:szCs w:val="22"/>
              </w:rPr>
            </w:pPr>
            <w:r w:rsidRPr="00DF7AD6">
              <w:rPr>
                <w:rFonts w:ascii="Calibri" w:eastAsia="Arial" w:hAnsi="Calibri" w:cs="Calibri"/>
                <w:sz w:val="22"/>
                <w:szCs w:val="22"/>
              </w:rPr>
              <w:t>Início do Período de Reserva.</w:t>
            </w:r>
          </w:p>
        </w:tc>
        <w:tc>
          <w:tcPr>
            <w:tcW w:w="2375" w:type="dxa"/>
            <w:tcBorders>
              <w:top w:val="single" w:sz="4" w:space="0" w:color="auto"/>
              <w:bottom w:val="single" w:sz="4" w:space="0" w:color="auto"/>
            </w:tcBorders>
            <w:shd w:val="clear" w:color="auto" w:fill="auto"/>
            <w:vAlign w:val="center"/>
          </w:tcPr>
          <w:p w14:paraId="2DA28CEB" w14:textId="4C7AE03B" w:rsidR="00550A4B" w:rsidRPr="003423E0" w:rsidRDefault="00550A4B"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29 de dezembro de 2021</w:t>
            </w:r>
          </w:p>
        </w:tc>
      </w:tr>
      <w:tr w:rsidR="00BB4A8D" w:rsidRPr="00DF7AD6" w14:paraId="5F09435D" w14:textId="77777777" w:rsidTr="00DF7AD6">
        <w:tc>
          <w:tcPr>
            <w:tcW w:w="606" w:type="dxa"/>
            <w:tcBorders>
              <w:top w:val="single" w:sz="4" w:space="0" w:color="auto"/>
              <w:bottom w:val="single" w:sz="4" w:space="0" w:color="auto"/>
            </w:tcBorders>
            <w:shd w:val="clear" w:color="auto" w:fill="auto"/>
            <w:vAlign w:val="center"/>
          </w:tcPr>
          <w:p w14:paraId="43F06F28" w14:textId="683DBA7F" w:rsidR="00BB4A8D" w:rsidRPr="00DF7AD6" w:rsidRDefault="001946BE" w:rsidP="000847F8">
            <w:pPr>
              <w:pStyle w:val="CellBody"/>
              <w:spacing w:before="0" w:after="0" w:line="269" w:lineRule="auto"/>
              <w:contextualSpacing/>
              <w:jc w:val="center"/>
              <w:rPr>
                <w:rFonts w:ascii="Calibri" w:eastAsiaTheme="minorHAnsi" w:hAnsi="Calibri" w:cs="Calibri"/>
                <w:sz w:val="22"/>
                <w:szCs w:val="22"/>
                <w:lang w:val="en-GB"/>
              </w:rPr>
            </w:pPr>
            <w:r w:rsidRPr="00DF7AD6">
              <w:rPr>
                <w:rFonts w:ascii="Calibri" w:eastAsiaTheme="minorHAnsi" w:hAnsi="Calibri" w:cs="Calibri"/>
                <w:sz w:val="22"/>
                <w:szCs w:val="22"/>
              </w:rPr>
              <w:t>6</w:t>
            </w:r>
          </w:p>
        </w:tc>
        <w:tc>
          <w:tcPr>
            <w:tcW w:w="6223" w:type="dxa"/>
            <w:tcBorders>
              <w:top w:val="single" w:sz="4" w:space="0" w:color="auto"/>
              <w:left w:val="nil"/>
              <w:bottom w:val="single" w:sz="4" w:space="0" w:color="auto"/>
            </w:tcBorders>
            <w:shd w:val="clear" w:color="auto" w:fill="auto"/>
            <w:vAlign w:val="center"/>
          </w:tcPr>
          <w:p w14:paraId="79E528BF" w14:textId="7B846DCF" w:rsidR="00BB4A8D" w:rsidRPr="00DF7AD6" w:rsidRDefault="00A03A99" w:rsidP="000847F8">
            <w:pPr>
              <w:pStyle w:val="CellBody"/>
              <w:spacing w:before="0" w:after="0" w:line="269" w:lineRule="auto"/>
              <w:contextualSpacing/>
              <w:jc w:val="both"/>
              <w:rPr>
                <w:rFonts w:ascii="Calibri" w:eastAsiaTheme="minorHAnsi" w:hAnsi="Calibri" w:cs="Calibri"/>
                <w:sz w:val="22"/>
                <w:szCs w:val="22"/>
              </w:rPr>
            </w:pPr>
            <w:r w:rsidRPr="00DF7AD6">
              <w:rPr>
                <w:rFonts w:ascii="Calibri" w:eastAsia="Arial" w:hAnsi="Calibri" w:cs="Calibri"/>
                <w:sz w:val="22"/>
                <w:szCs w:val="22"/>
              </w:rPr>
              <w:t>Encerramento do Período de Reserva</w:t>
            </w:r>
            <w:r w:rsidR="00BB4A8D" w:rsidRPr="00DF7AD6">
              <w:rPr>
                <w:rFonts w:ascii="Calibri" w:eastAsia="Arial" w:hAnsi="Calibri" w:cs="Calibri"/>
                <w:sz w:val="22"/>
                <w:szCs w:val="22"/>
              </w:rPr>
              <w:t>.</w:t>
            </w:r>
          </w:p>
        </w:tc>
        <w:tc>
          <w:tcPr>
            <w:tcW w:w="2375" w:type="dxa"/>
            <w:tcBorders>
              <w:top w:val="single" w:sz="4" w:space="0" w:color="auto"/>
              <w:bottom w:val="single" w:sz="4" w:space="0" w:color="auto"/>
            </w:tcBorders>
            <w:shd w:val="clear" w:color="auto" w:fill="auto"/>
            <w:vAlign w:val="center"/>
          </w:tcPr>
          <w:p w14:paraId="675911B5" w14:textId="68838E96" w:rsidR="00BB4A8D" w:rsidRPr="003423E0" w:rsidRDefault="00E518A0" w:rsidP="000847F8">
            <w:pPr>
              <w:pStyle w:val="CellBody"/>
              <w:spacing w:before="0" w:after="0" w:line="269" w:lineRule="auto"/>
              <w:contextualSpacing/>
              <w:jc w:val="center"/>
              <w:rPr>
                <w:rFonts w:ascii="Calibri" w:hAnsi="Calibri" w:cs="Calibri"/>
                <w:sz w:val="22"/>
                <w:szCs w:val="22"/>
              </w:rPr>
            </w:pPr>
            <w:r w:rsidRPr="00DF7AD6">
              <w:rPr>
                <w:rFonts w:ascii="Calibri" w:eastAsia="Arial" w:hAnsi="Calibri" w:cs="Calibri"/>
                <w:sz w:val="22"/>
                <w:szCs w:val="22"/>
              </w:rPr>
              <w:t>1</w:t>
            </w:r>
            <w:r w:rsidR="005819C1" w:rsidRPr="003423E0">
              <w:rPr>
                <w:rFonts w:ascii="Calibri" w:eastAsia="Arial" w:hAnsi="Calibri" w:cs="Calibri"/>
                <w:sz w:val="22"/>
                <w:szCs w:val="22"/>
              </w:rPr>
              <w:t>3</w:t>
            </w:r>
            <w:r w:rsidR="00BB4A8D" w:rsidRPr="003423E0">
              <w:rPr>
                <w:rFonts w:ascii="Calibri" w:eastAsia="Arial" w:hAnsi="Calibri" w:cs="Calibri"/>
                <w:sz w:val="22"/>
                <w:szCs w:val="22"/>
              </w:rPr>
              <w:t xml:space="preserve"> de </w:t>
            </w:r>
            <w:r w:rsidRPr="003423E0">
              <w:rPr>
                <w:rFonts w:ascii="Calibri" w:eastAsia="Arial" w:hAnsi="Calibri" w:cs="Calibri"/>
                <w:sz w:val="22"/>
                <w:szCs w:val="22"/>
              </w:rPr>
              <w:t>janeiro</w:t>
            </w:r>
            <w:r w:rsidR="00BB4A8D" w:rsidRPr="003423E0">
              <w:rPr>
                <w:rFonts w:ascii="Calibri" w:eastAsia="Arial" w:hAnsi="Calibri" w:cs="Calibri"/>
                <w:sz w:val="22"/>
                <w:szCs w:val="22"/>
              </w:rPr>
              <w:t xml:space="preserve"> de 20</w:t>
            </w:r>
            <w:r w:rsidRPr="003423E0">
              <w:rPr>
                <w:rFonts w:ascii="Calibri" w:eastAsia="Arial" w:hAnsi="Calibri" w:cs="Calibri"/>
                <w:sz w:val="22"/>
                <w:szCs w:val="22"/>
              </w:rPr>
              <w:t>22</w:t>
            </w:r>
          </w:p>
        </w:tc>
      </w:tr>
      <w:tr w:rsidR="00BB4A8D" w:rsidRPr="00DF7AD6" w14:paraId="359711F3" w14:textId="77777777" w:rsidTr="00DF7AD6">
        <w:tc>
          <w:tcPr>
            <w:tcW w:w="606" w:type="dxa"/>
            <w:tcBorders>
              <w:top w:val="single" w:sz="4" w:space="0" w:color="auto"/>
              <w:bottom w:val="single" w:sz="4" w:space="0" w:color="auto"/>
            </w:tcBorders>
            <w:shd w:val="clear" w:color="auto" w:fill="auto"/>
            <w:vAlign w:val="center"/>
          </w:tcPr>
          <w:p w14:paraId="016A353C" w14:textId="232899B4" w:rsidR="00BB4A8D" w:rsidRPr="00DF7AD6" w:rsidRDefault="001946BE" w:rsidP="000847F8">
            <w:pPr>
              <w:pStyle w:val="CellBody"/>
              <w:spacing w:before="0" w:after="0" w:line="269" w:lineRule="auto"/>
              <w:contextualSpacing/>
              <w:jc w:val="center"/>
              <w:rPr>
                <w:rFonts w:ascii="Calibri" w:eastAsiaTheme="minorHAnsi" w:hAnsi="Calibri" w:cs="Calibri"/>
                <w:sz w:val="22"/>
                <w:szCs w:val="22"/>
                <w:lang w:val="en-GB"/>
              </w:rPr>
            </w:pPr>
            <w:r w:rsidRPr="00DF7AD6">
              <w:rPr>
                <w:rFonts w:ascii="Calibri" w:eastAsiaTheme="minorHAnsi" w:hAnsi="Calibri" w:cs="Calibri"/>
                <w:sz w:val="22"/>
                <w:szCs w:val="22"/>
              </w:rPr>
              <w:t>7</w:t>
            </w:r>
          </w:p>
        </w:tc>
        <w:tc>
          <w:tcPr>
            <w:tcW w:w="6223" w:type="dxa"/>
            <w:tcBorders>
              <w:top w:val="single" w:sz="4" w:space="0" w:color="auto"/>
              <w:left w:val="nil"/>
              <w:bottom w:val="single" w:sz="4" w:space="0" w:color="auto"/>
            </w:tcBorders>
            <w:shd w:val="clear" w:color="auto" w:fill="auto"/>
            <w:vAlign w:val="center"/>
          </w:tcPr>
          <w:p w14:paraId="6288E83B" w14:textId="7823A817" w:rsidR="00BB4A8D" w:rsidRPr="00DF7AD6" w:rsidRDefault="005866B9" w:rsidP="000847F8">
            <w:pPr>
              <w:pStyle w:val="CellBody"/>
              <w:spacing w:before="0" w:after="0" w:line="269" w:lineRule="auto"/>
              <w:contextualSpacing/>
              <w:jc w:val="both"/>
              <w:rPr>
                <w:rFonts w:ascii="Calibri" w:eastAsiaTheme="minorHAnsi" w:hAnsi="Calibri" w:cs="Calibri"/>
                <w:sz w:val="22"/>
                <w:szCs w:val="22"/>
              </w:rPr>
            </w:pPr>
            <w:r w:rsidRPr="00DF7AD6">
              <w:rPr>
                <w:rFonts w:ascii="Calibri" w:eastAsia="Arial" w:hAnsi="Calibri" w:cs="Calibri"/>
                <w:sz w:val="22"/>
                <w:szCs w:val="22"/>
              </w:rPr>
              <w:t xml:space="preserve">Procedimento de </w:t>
            </w:r>
            <w:r w:rsidRPr="00DF7AD6">
              <w:rPr>
                <w:rFonts w:ascii="Calibri" w:eastAsia="Arial" w:hAnsi="Calibri" w:cs="Calibri"/>
                <w:i/>
                <w:iCs/>
                <w:sz w:val="22"/>
                <w:szCs w:val="22"/>
              </w:rPr>
              <w:t>Bookbuilding</w:t>
            </w:r>
            <w:r w:rsidR="00BB4A8D" w:rsidRPr="00DF7AD6">
              <w:rPr>
                <w:rFonts w:ascii="Calibri" w:eastAsia="Arial" w:hAnsi="Calibri" w:cs="Calibri"/>
                <w:i/>
                <w:iCs/>
                <w:sz w:val="22"/>
                <w:szCs w:val="22"/>
              </w:rPr>
              <w:t>.</w:t>
            </w:r>
          </w:p>
        </w:tc>
        <w:tc>
          <w:tcPr>
            <w:tcW w:w="2375" w:type="dxa"/>
            <w:tcBorders>
              <w:top w:val="single" w:sz="4" w:space="0" w:color="auto"/>
              <w:bottom w:val="single" w:sz="4" w:space="0" w:color="auto"/>
            </w:tcBorders>
            <w:shd w:val="clear" w:color="auto" w:fill="auto"/>
            <w:vAlign w:val="center"/>
          </w:tcPr>
          <w:p w14:paraId="39420A6F" w14:textId="1A01F439" w:rsidR="00BB4A8D" w:rsidRPr="003423E0" w:rsidRDefault="005866B9" w:rsidP="000847F8">
            <w:pPr>
              <w:pStyle w:val="CellBody"/>
              <w:spacing w:before="0" w:after="0" w:line="269" w:lineRule="auto"/>
              <w:contextualSpacing/>
              <w:jc w:val="center"/>
              <w:rPr>
                <w:rFonts w:ascii="Calibri" w:eastAsiaTheme="minorHAnsi" w:hAnsi="Calibri" w:cs="Calibri"/>
                <w:sz w:val="22"/>
                <w:szCs w:val="22"/>
              </w:rPr>
            </w:pPr>
            <w:r w:rsidRPr="00DF7AD6">
              <w:rPr>
                <w:rFonts w:ascii="Calibri" w:eastAsia="Arial" w:hAnsi="Calibri" w:cs="Calibri"/>
                <w:sz w:val="22"/>
                <w:szCs w:val="22"/>
              </w:rPr>
              <w:t>1</w:t>
            </w:r>
            <w:r w:rsidR="005819C1" w:rsidRPr="003423E0">
              <w:rPr>
                <w:rFonts w:ascii="Calibri" w:eastAsia="Arial" w:hAnsi="Calibri" w:cs="Calibri"/>
                <w:sz w:val="22"/>
                <w:szCs w:val="22"/>
              </w:rPr>
              <w:t>4</w:t>
            </w:r>
            <w:r w:rsidR="00BB4A8D" w:rsidRPr="003423E0">
              <w:rPr>
                <w:rFonts w:ascii="Calibri" w:eastAsia="Arial" w:hAnsi="Calibri" w:cs="Calibri"/>
                <w:sz w:val="22"/>
                <w:szCs w:val="22"/>
              </w:rPr>
              <w:t xml:space="preserve"> de </w:t>
            </w:r>
            <w:r w:rsidR="00E518A0" w:rsidRPr="003423E0">
              <w:rPr>
                <w:rFonts w:ascii="Calibri" w:eastAsia="Arial" w:hAnsi="Calibri" w:cs="Calibri"/>
                <w:sz w:val="22"/>
                <w:szCs w:val="22"/>
              </w:rPr>
              <w:t>janeiro</w:t>
            </w:r>
            <w:r w:rsidR="00BB4A8D" w:rsidRPr="003423E0">
              <w:rPr>
                <w:rFonts w:ascii="Calibri" w:eastAsia="Arial" w:hAnsi="Calibri" w:cs="Calibri"/>
                <w:sz w:val="22"/>
                <w:szCs w:val="22"/>
              </w:rPr>
              <w:t xml:space="preserve"> de 20</w:t>
            </w:r>
            <w:r w:rsidR="00E518A0" w:rsidRPr="003423E0">
              <w:rPr>
                <w:rFonts w:ascii="Calibri" w:eastAsia="Arial" w:hAnsi="Calibri" w:cs="Calibri"/>
                <w:sz w:val="22"/>
                <w:szCs w:val="22"/>
              </w:rPr>
              <w:t>22</w:t>
            </w:r>
          </w:p>
        </w:tc>
      </w:tr>
      <w:tr w:rsidR="00DF7AD6" w:rsidRPr="00DF7AD6" w14:paraId="3FB37395" w14:textId="77777777" w:rsidTr="00C738AA">
        <w:tc>
          <w:tcPr>
            <w:tcW w:w="606" w:type="dxa"/>
            <w:tcBorders>
              <w:top w:val="single" w:sz="4" w:space="0" w:color="auto"/>
              <w:bottom w:val="single" w:sz="4" w:space="0" w:color="auto"/>
            </w:tcBorders>
            <w:shd w:val="clear" w:color="auto" w:fill="auto"/>
            <w:vAlign w:val="center"/>
          </w:tcPr>
          <w:p w14:paraId="7F987802" w14:textId="679D5E69" w:rsidR="00DF7AD6" w:rsidRPr="00DF7AD6" w:rsidRDefault="00DF7AD6" w:rsidP="000847F8">
            <w:pPr>
              <w:pStyle w:val="CellBody"/>
              <w:spacing w:before="0" w:after="0" w:line="269" w:lineRule="auto"/>
              <w:contextualSpacing/>
              <w:jc w:val="center"/>
              <w:rPr>
                <w:rFonts w:ascii="Calibri" w:eastAsiaTheme="minorHAnsi" w:hAnsi="Calibri" w:cs="Calibri"/>
                <w:sz w:val="22"/>
                <w:szCs w:val="22"/>
                <w:lang w:val="en-GB"/>
              </w:rPr>
            </w:pPr>
            <w:r w:rsidRPr="00DF7AD6">
              <w:rPr>
                <w:rFonts w:ascii="Calibri" w:eastAsiaTheme="minorHAnsi" w:hAnsi="Calibri" w:cs="Calibri"/>
                <w:sz w:val="22"/>
                <w:szCs w:val="22"/>
              </w:rPr>
              <w:t>8</w:t>
            </w:r>
          </w:p>
        </w:tc>
        <w:tc>
          <w:tcPr>
            <w:tcW w:w="6223" w:type="dxa"/>
            <w:tcBorders>
              <w:top w:val="single" w:sz="4" w:space="0" w:color="auto"/>
              <w:left w:val="nil"/>
              <w:bottom w:val="single" w:sz="4" w:space="0" w:color="auto"/>
            </w:tcBorders>
            <w:shd w:val="clear" w:color="auto" w:fill="auto"/>
          </w:tcPr>
          <w:p w14:paraId="1740D1AD" w14:textId="3008150A" w:rsidR="00DF7AD6" w:rsidRPr="003423E0" w:rsidRDefault="00DF7AD6" w:rsidP="000847F8">
            <w:pPr>
              <w:spacing w:line="269" w:lineRule="auto"/>
              <w:contextualSpacing/>
              <w:rPr>
                <w:rFonts w:ascii="Calibri" w:eastAsiaTheme="minorHAnsi" w:hAnsi="Calibri" w:cs="Calibri"/>
                <w:sz w:val="22"/>
                <w:szCs w:val="22"/>
              </w:rPr>
            </w:pPr>
            <w:r w:rsidRPr="00C738AA">
              <w:rPr>
                <w:rFonts w:ascii="Calibri" w:hAnsi="Calibri" w:cs="Calibri"/>
                <w:sz w:val="22"/>
                <w:szCs w:val="22"/>
              </w:rPr>
              <w:t>Divulgação d</w:t>
            </w:r>
            <w:r w:rsidR="00DB2A8D">
              <w:rPr>
                <w:rFonts w:ascii="Calibri" w:hAnsi="Calibri" w:cs="Calibri"/>
                <w:sz w:val="22"/>
                <w:szCs w:val="22"/>
              </w:rPr>
              <w:t>o</w:t>
            </w:r>
            <w:r w:rsidRPr="00C738AA">
              <w:rPr>
                <w:rFonts w:ascii="Calibri" w:hAnsi="Calibri" w:cs="Calibri"/>
                <w:sz w:val="22"/>
                <w:szCs w:val="22"/>
              </w:rPr>
              <w:t xml:space="preserve"> 2º Comunicado ao Mercado de Modificação da Oferta (alteração de cronograma)</w:t>
            </w:r>
          </w:p>
        </w:tc>
        <w:tc>
          <w:tcPr>
            <w:tcW w:w="2375" w:type="dxa"/>
            <w:tcBorders>
              <w:top w:val="single" w:sz="4" w:space="0" w:color="auto"/>
              <w:bottom w:val="single" w:sz="4" w:space="0" w:color="auto"/>
            </w:tcBorders>
            <w:shd w:val="clear" w:color="auto" w:fill="auto"/>
          </w:tcPr>
          <w:p w14:paraId="2CB89185" w14:textId="411C00B1" w:rsidR="00DF7AD6" w:rsidRPr="003423E0" w:rsidRDefault="00DF7AD6" w:rsidP="000847F8">
            <w:pPr>
              <w:pStyle w:val="CellBody"/>
              <w:spacing w:before="0" w:after="0" w:line="269" w:lineRule="auto"/>
              <w:contextualSpacing/>
              <w:jc w:val="center"/>
              <w:rPr>
                <w:rFonts w:ascii="Calibri" w:eastAsiaTheme="minorHAnsi" w:hAnsi="Calibri" w:cs="Calibri"/>
                <w:sz w:val="22"/>
                <w:szCs w:val="22"/>
                <w:lang w:val="en-GB"/>
              </w:rPr>
            </w:pPr>
            <w:r w:rsidRPr="00C738AA">
              <w:rPr>
                <w:rFonts w:ascii="Calibri" w:hAnsi="Calibri" w:cs="Calibri"/>
                <w:sz w:val="22"/>
                <w:szCs w:val="22"/>
              </w:rPr>
              <w:t>7 de fevereiro de 2022</w:t>
            </w:r>
          </w:p>
        </w:tc>
      </w:tr>
      <w:tr w:rsidR="00DF7AD6" w:rsidRPr="00DF7AD6" w14:paraId="23043763" w14:textId="77777777" w:rsidTr="00DF7AD6">
        <w:tc>
          <w:tcPr>
            <w:tcW w:w="606" w:type="dxa"/>
            <w:tcBorders>
              <w:top w:val="single" w:sz="4" w:space="0" w:color="auto"/>
              <w:bottom w:val="single" w:sz="4" w:space="0" w:color="auto"/>
            </w:tcBorders>
            <w:shd w:val="clear" w:color="auto" w:fill="auto"/>
            <w:vAlign w:val="center"/>
          </w:tcPr>
          <w:p w14:paraId="426034FA" w14:textId="1B3BE20D" w:rsidR="00DF7AD6" w:rsidRPr="00DF7AD6" w:rsidRDefault="00DF7AD6"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9</w:t>
            </w:r>
          </w:p>
        </w:tc>
        <w:tc>
          <w:tcPr>
            <w:tcW w:w="6223" w:type="dxa"/>
            <w:tcBorders>
              <w:top w:val="single" w:sz="4" w:space="0" w:color="auto"/>
              <w:left w:val="nil"/>
              <w:bottom w:val="single" w:sz="4" w:space="0" w:color="auto"/>
            </w:tcBorders>
            <w:shd w:val="clear" w:color="auto" w:fill="auto"/>
            <w:vAlign w:val="center"/>
          </w:tcPr>
          <w:p w14:paraId="7FDD45F7" w14:textId="4622076B" w:rsidR="00DF7AD6" w:rsidRPr="003423E0" w:rsidRDefault="00C738AA" w:rsidP="000847F8">
            <w:pPr>
              <w:spacing w:line="269" w:lineRule="auto"/>
              <w:contextualSpacing/>
              <w:rPr>
                <w:rFonts w:ascii="Calibri" w:eastAsia="Arial" w:hAnsi="Calibri" w:cs="Calibri"/>
                <w:kern w:val="20"/>
                <w:sz w:val="22"/>
                <w:szCs w:val="22"/>
              </w:rPr>
            </w:pPr>
            <w:r>
              <w:rPr>
                <w:rFonts w:ascii="Calibri" w:eastAsia="Arial" w:hAnsi="Calibri" w:cs="Calibri"/>
                <w:kern w:val="20"/>
                <w:sz w:val="22"/>
                <w:szCs w:val="22"/>
              </w:rPr>
              <w:t>I</w:t>
            </w:r>
            <w:r w:rsidR="00DF7AD6" w:rsidRPr="00C738AA">
              <w:rPr>
                <w:rFonts w:ascii="Calibri" w:eastAsia="Arial" w:hAnsi="Calibri" w:cs="Calibri"/>
                <w:kern w:val="20"/>
                <w:sz w:val="22"/>
                <w:szCs w:val="22"/>
              </w:rPr>
              <w:t>nício do 1º Período de Desistência</w:t>
            </w:r>
            <w:r w:rsidR="009A360F" w:rsidRPr="00D833EF">
              <w:rPr>
                <w:rFonts w:cstheme="minorHAnsi"/>
                <w:sz w:val="18"/>
                <w:szCs w:val="18"/>
                <w:vertAlign w:val="superscript"/>
              </w:rPr>
              <w:t>(</w:t>
            </w:r>
            <w:r w:rsidR="009A360F">
              <w:rPr>
                <w:rFonts w:cstheme="minorHAnsi"/>
                <w:sz w:val="18"/>
                <w:szCs w:val="18"/>
                <w:vertAlign w:val="superscript"/>
              </w:rPr>
              <w:t>4</w:t>
            </w:r>
            <w:r w:rsidR="009A360F" w:rsidRPr="00D833EF">
              <w:rPr>
                <w:rFonts w:cstheme="minorHAnsi"/>
                <w:sz w:val="18"/>
                <w:szCs w:val="18"/>
                <w:vertAlign w:val="superscript"/>
              </w:rPr>
              <w:t>)</w:t>
            </w:r>
          </w:p>
        </w:tc>
        <w:tc>
          <w:tcPr>
            <w:tcW w:w="2375" w:type="dxa"/>
            <w:tcBorders>
              <w:top w:val="single" w:sz="4" w:space="0" w:color="auto"/>
              <w:bottom w:val="single" w:sz="4" w:space="0" w:color="auto"/>
            </w:tcBorders>
            <w:shd w:val="clear" w:color="auto" w:fill="auto"/>
            <w:vAlign w:val="center"/>
          </w:tcPr>
          <w:p w14:paraId="66D20B31" w14:textId="37A81AE2" w:rsidR="00DF7AD6" w:rsidRPr="003423E0" w:rsidRDefault="00DF7AD6" w:rsidP="000847F8">
            <w:pPr>
              <w:pStyle w:val="CellBody"/>
              <w:spacing w:before="0" w:after="0" w:line="269" w:lineRule="auto"/>
              <w:contextualSpacing/>
              <w:jc w:val="center"/>
              <w:rPr>
                <w:rFonts w:ascii="Calibri" w:eastAsia="Arial" w:hAnsi="Calibri" w:cs="Calibri"/>
                <w:sz w:val="22"/>
                <w:szCs w:val="22"/>
              </w:rPr>
            </w:pPr>
            <w:r w:rsidRPr="00C738AA">
              <w:rPr>
                <w:rFonts w:ascii="Calibri" w:eastAsia="Arial" w:hAnsi="Calibri" w:cs="Calibri"/>
                <w:sz w:val="22"/>
                <w:szCs w:val="22"/>
              </w:rPr>
              <w:t>8 de fevereiro de 2022</w:t>
            </w:r>
          </w:p>
        </w:tc>
      </w:tr>
      <w:tr w:rsidR="00DF7AD6" w:rsidRPr="00DF7AD6" w14:paraId="76565C8B" w14:textId="77777777" w:rsidTr="00C738AA">
        <w:tc>
          <w:tcPr>
            <w:tcW w:w="606" w:type="dxa"/>
            <w:tcBorders>
              <w:top w:val="single" w:sz="4" w:space="0" w:color="auto"/>
              <w:bottom w:val="single" w:sz="4" w:space="0" w:color="auto"/>
            </w:tcBorders>
            <w:shd w:val="clear" w:color="auto" w:fill="auto"/>
            <w:vAlign w:val="center"/>
          </w:tcPr>
          <w:p w14:paraId="14B06D67" w14:textId="635BC285" w:rsidR="00DF7AD6" w:rsidRPr="00DF7AD6" w:rsidRDefault="00DF7AD6"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10</w:t>
            </w:r>
          </w:p>
        </w:tc>
        <w:tc>
          <w:tcPr>
            <w:tcW w:w="6223" w:type="dxa"/>
            <w:tcBorders>
              <w:top w:val="single" w:sz="4" w:space="0" w:color="auto"/>
              <w:left w:val="nil"/>
              <w:bottom w:val="single" w:sz="4" w:space="0" w:color="auto"/>
            </w:tcBorders>
            <w:shd w:val="clear" w:color="auto" w:fill="auto"/>
            <w:vAlign w:val="center"/>
          </w:tcPr>
          <w:p w14:paraId="4F61B680" w14:textId="471C20F3" w:rsidR="00DF7AD6" w:rsidRPr="003423E0" w:rsidDel="005866B9" w:rsidRDefault="00DF7AD6" w:rsidP="000847F8">
            <w:pPr>
              <w:spacing w:line="269" w:lineRule="auto"/>
              <w:contextualSpacing/>
              <w:rPr>
                <w:rFonts w:ascii="Calibri" w:eastAsia="Arial" w:hAnsi="Calibri" w:cs="Calibri"/>
                <w:sz w:val="22"/>
                <w:szCs w:val="22"/>
              </w:rPr>
            </w:pPr>
            <w:r w:rsidRPr="00C738AA">
              <w:rPr>
                <w:rFonts w:ascii="Calibri" w:eastAsia="Arial" w:hAnsi="Calibri" w:cs="Calibri"/>
                <w:kern w:val="20"/>
                <w:sz w:val="22"/>
                <w:szCs w:val="22"/>
              </w:rPr>
              <w:t>Divulgação, pela Companhia, de demonstrações financeiras do período de nove meses encerrado em 31 de dezembro de 2021</w:t>
            </w:r>
          </w:p>
        </w:tc>
        <w:tc>
          <w:tcPr>
            <w:tcW w:w="2375" w:type="dxa"/>
            <w:tcBorders>
              <w:top w:val="single" w:sz="4" w:space="0" w:color="auto"/>
              <w:bottom w:val="single" w:sz="4" w:space="0" w:color="auto"/>
            </w:tcBorders>
            <w:shd w:val="clear" w:color="auto" w:fill="auto"/>
            <w:vAlign w:val="center"/>
          </w:tcPr>
          <w:p w14:paraId="72A31B2C" w14:textId="1D28E3BF" w:rsidR="00DF7AD6" w:rsidRPr="003423E0" w:rsidDel="005866B9" w:rsidRDefault="00DF7AD6" w:rsidP="000847F8">
            <w:pPr>
              <w:pStyle w:val="CellBody"/>
              <w:spacing w:before="0" w:after="0" w:line="269" w:lineRule="auto"/>
              <w:contextualSpacing/>
              <w:jc w:val="center"/>
              <w:rPr>
                <w:rFonts w:ascii="Calibri" w:eastAsia="Arial" w:hAnsi="Calibri" w:cs="Calibri"/>
                <w:sz w:val="22"/>
                <w:szCs w:val="22"/>
              </w:rPr>
            </w:pPr>
            <w:r w:rsidRPr="00C738AA">
              <w:rPr>
                <w:rFonts w:ascii="Calibri" w:eastAsia="Arial" w:hAnsi="Calibri" w:cs="Calibri"/>
                <w:sz w:val="22"/>
                <w:szCs w:val="22"/>
              </w:rPr>
              <w:t>14 de fevereiro de 2022</w:t>
            </w:r>
          </w:p>
        </w:tc>
      </w:tr>
      <w:tr w:rsidR="00DF7AD6" w:rsidRPr="00DF7AD6" w14:paraId="6B487E23" w14:textId="77777777" w:rsidTr="00C738AA">
        <w:tc>
          <w:tcPr>
            <w:tcW w:w="606" w:type="dxa"/>
            <w:tcBorders>
              <w:top w:val="single" w:sz="4" w:space="0" w:color="auto"/>
              <w:bottom w:val="single" w:sz="4" w:space="0" w:color="auto"/>
            </w:tcBorders>
            <w:shd w:val="clear" w:color="auto" w:fill="auto"/>
            <w:vAlign w:val="center"/>
          </w:tcPr>
          <w:p w14:paraId="0771BC7F" w14:textId="52425230" w:rsidR="00DF7AD6" w:rsidRPr="00DF7AD6" w:rsidRDefault="00DF7AD6"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11</w:t>
            </w:r>
          </w:p>
        </w:tc>
        <w:tc>
          <w:tcPr>
            <w:tcW w:w="6223" w:type="dxa"/>
            <w:tcBorders>
              <w:top w:val="single" w:sz="4" w:space="0" w:color="auto"/>
              <w:left w:val="nil"/>
              <w:bottom w:val="single" w:sz="4" w:space="0" w:color="auto"/>
            </w:tcBorders>
            <w:shd w:val="clear" w:color="auto" w:fill="auto"/>
            <w:vAlign w:val="center"/>
          </w:tcPr>
          <w:p w14:paraId="3158FE06" w14:textId="0C5BBCFB" w:rsidR="00DF7AD6" w:rsidRPr="003423E0" w:rsidRDefault="00DF7AD6" w:rsidP="000847F8">
            <w:pPr>
              <w:spacing w:line="269" w:lineRule="auto"/>
              <w:contextualSpacing/>
              <w:rPr>
                <w:rFonts w:ascii="Calibri" w:hAnsi="Calibri" w:cs="Calibri"/>
                <w:sz w:val="22"/>
                <w:szCs w:val="22"/>
              </w:rPr>
            </w:pPr>
            <w:r w:rsidRPr="00C738AA">
              <w:rPr>
                <w:rFonts w:ascii="Calibri" w:eastAsia="Arial" w:hAnsi="Calibri" w:cs="Calibri"/>
                <w:kern w:val="20"/>
                <w:sz w:val="22"/>
                <w:szCs w:val="22"/>
              </w:rPr>
              <w:t>Encerramento do 1º Período de Desistência</w:t>
            </w:r>
          </w:p>
        </w:tc>
        <w:tc>
          <w:tcPr>
            <w:tcW w:w="2375" w:type="dxa"/>
            <w:tcBorders>
              <w:top w:val="single" w:sz="4" w:space="0" w:color="auto"/>
              <w:bottom w:val="single" w:sz="4" w:space="0" w:color="auto"/>
            </w:tcBorders>
            <w:shd w:val="clear" w:color="auto" w:fill="auto"/>
            <w:vAlign w:val="center"/>
          </w:tcPr>
          <w:p w14:paraId="3E15F443" w14:textId="366D8F2C" w:rsidR="00DF7AD6" w:rsidRPr="003423E0" w:rsidRDefault="00DF7AD6" w:rsidP="000847F8">
            <w:pPr>
              <w:pStyle w:val="CellBody"/>
              <w:spacing w:before="0" w:after="0" w:line="269" w:lineRule="auto"/>
              <w:contextualSpacing/>
              <w:jc w:val="center"/>
              <w:rPr>
                <w:rFonts w:ascii="Calibri" w:hAnsi="Calibri" w:cs="Calibri"/>
                <w:sz w:val="22"/>
                <w:szCs w:val="22"/>
              </w:rPr>
            </w:pPr>
            <w:r w:rsidRPr="00C738AA">
              <w:rPr>
                <w:rFonts w:ascii="Calibri" w:eastAsia="Arial" w:hAnsi="Calibri" w:cs="Calibri"/>
                <w:sz w:val="22"/>
                <w:szCs w:val="22"/>
              </w:rPr>
              <w:t>15 de fevereiro de 2022</w:t>
            </w:r>
          </w:p>
        </w:tc>
      </w:tr>
      <w:tr w:rsidR="00DF7AD6" w:rsidRPr="00DF7AD6" w14:paraId="136D421D" w14:textId="77777777" w:rsidTr="00C738AA">
        <w:tc>
          <w:tcPr>
            <w:tcW w:w="606" w:type="dxa"/>
            <w:tcBorders>
              <w:top w:val="single" w:sz="4" w:space="0" w:color="auto"/>
              <w:bottom w:val="single" w:sz="4" w:space="0" w:color="auto"/>
            </w:tcBorders>
            <w:shd w:val="clear" w:color="auto" w:fill="auto"/>
            <w:vAlign w:val="center"/>
          </w:tcPr>
          <w:p w14:paraId="29FCC446" w14:textId="5557EE87" w:rsidR="00DF7AD6" w:rsidRPr="00DF7AD6" w:rsidRDefault="00DF7AD6"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12</w:t>
            </w:r>
          </w:p>
        </w:tc>
        <w:tc>
          <w:tcPr>
            <w:tcW w:w="6223" w:type="dxa"/>
            <w:tcBorders>
              <w:top w:val="single" w:sz="4" w:space="0" w:color="auto"/>
              <w:left w:val="nil"/>
              <w:bottom w:val="single" w:sz="4" w:space="0" w:color="auto"/>
            </w:tcBorders>
            <w:shd w:val="clear" w:color="auto" w:fill="auto"/>
            <w:vAlign w:val="center"/>
          </w:tcPr>
          <w:p w14:paraId="6102892B" w14:textId="0A44A09A" w:rsidR="00DF7AD6" w:rsidRPr="003423E0" w:rsidRDefault="00DF7AD6" w:rsidP="000847F8">
            <w:pPr>
              <w:spacing w:line="269" w:lineRule="auto"/>
              <w:contextualSpacing/>
              <w:rPr>
                <w:rFonts w:ascii="Calibri" w:hAnsi="Calibri" w:cs="Calibri"/>
                <w:sz w:val="22"/>
                <w:szCs w:val="22"/>
              </w:rPr>
            </w:pPr>
            <w:r w:rsidRPr="00C738AA">
              <w:rPr>
                <w:rFonts w:ascii="Calibri" w:eastAsia="Arial" w:hAnsi="Calibri" w:cs="Calibri"/>
                <w:kern w:val="20"/>
                <w:sz w:val="22"/>
                <w:szCs w:val="22"/>
              </w:rPr>
              <w:t>Disponibilização de nova versão do Prospecto Preliminar</w:t>
            </w:r>
            <w:r w:rsidRPr="00C738AA">
              <w:rPr>
                <w:rFonts w:ascii="Calibri" w:hAnsi="Calibri" w:cs="Calibri"/>
                <w:bCs/>
                <w:sz w:val="22"/>
                <w:szCs w:val="22"/>
                <w:vertAlign w:val="superscript"/>
              </w:rPr>
              <w:t>(</w:t>
            </w:r>
            <w:r w:rsidR="009A360F">
              <w:rPr>
                <w:rFonts w:ascii="Calibri" w:hAnsi="Calibri" w:cs="Calibri"/>
                <w:bCs/>
                <w:sz w:val="22"/>
                <w:szCs w:val="22"/>
                <w:vertAlign w:val="superscript"/>
              </w:rPr>
              <w:t>5</w:t>
            </w:r>
            <w:r w:rsidRPr="00C738AA">
              <w:rPr>
                <w:rFonts w:ascii="Calibri" w:hAnsi="Calibri" w:cs="Calibri"/>
                <w:bCs/>
                <w:sz w:val="22"/>
                <w:szCs w:val="22"/>
                <w:vertAlign w:val="superscript"/>
              </w:rPr>
              <w:t>)</w:t>
            </w:r>
            <w:r w:rsidRPr="00C738AA">
              <w:rPr>
                <w:rFonts w:ascii="Calibri" w:eastAsia="Arial" w:hAnsi="Calibri" w:cs="Calibri"/>
                <w:bCs/>
                <w:kern w:val="20"/>
                <w:sz w:val="22"/>
                <w:szCs w:val="22"/>
              </w:rPr>
              <w:t xml:space="preserve"> </w:t>
            </w:r>
            <w:r w:rsidRPr="00C738AA">
              <w:rPr>
                <w:rFonts w:ascii="Calibri" w:eastAsia="Arial" w:hAnsi="Calibri" w:cs="Calibri"/>
                <w:kern w:val="20"/>
                <w:sz w:val="22"/>
                <w:szCs w:val="22"/>
              </w:rPr>
              <w:br/>
              <w:t>Divulgação de 3º Comunicado ao Mercado, para abrir o 2º Período de Desistência</w:t>
            </w:r>
          </w:p>
        </w:tc>
        <w:tc>
          <w:tcPr>
            <w:tcW w:w="2375" w:type="dxa"/>
            <w:tcBorders>
              <w:top w:val="single" w:sz="4" w:space="0" w:color="auto"/>
              <w:bottom w:val="single" w:sz="4" w:space="0" w:color="auto"/>
            </w:tcBorders>
            <w:shd w:val="clear" w:color="auto" w:fill="auto"/>
            <w:vAlign w:val="center"/>
          </w:tcPr>
          <w:p w14:paraId="39552B5C" w14:textId="2421DE3F" w:rsidR="00DF7AD6" w:rsidRPr="003423E0" w:rsidRDefault="00DF7AD6" w:rsidP="000847F8">
            <w:pPr>
              <w:pStyle w:val="CellBody"/>
              <w:spacing w:before="0" w:after="0" w:line="269" w:lineRule="auto"/>
              <w:contextualSpacing/>
              <w:jc w:val="center"/>
              <w:rPr>
                <w:rFonts w:ascii="Calibri" w:hAnsi="Calibri" w:cs="Calibri"/>
                <w:sz w:val="22"/>
                <w:szCs w:val="22"/>
              </w:rPr>
            </w:pPr>
            <w:r w:rsidRPr="00C738AA">
              <w:rPr>
                <w:rFonts w:ascii="Calibri" w:eastAsia="Arial" w:hAnsi="Calibri" w:cs="Calibri"/>
                <w:sz w:val="22"/>
                <w:szCs w:val="22"/>
              </w:rPr>
              <w:t>16 de fevereiro de 2022</w:t>
            </w:r>
          </w:p>
        </w:tc>
      </w:tr>
      <w:tr w:rsidR="00DF7AD6" w:rsidRPr="00DF7AD6" w14:paraId="40714D88" w14:textId="77777777" w:rsidTr="00C738AA">
        <w:tc>
          <w:tcPr>
            <w:tcW w:w="606" w:type="dxa"/>
            <w:tcBorders>
              <w:top w:val="single" w:sz="4" w:space="0" w:color="auto"/>
              <w:bottom w:val="single" w:sz="4" w:space="0" w:color="auto"/>
            </w:tcBorders>
            <w:shd w:val="clear" w:color="auto" w:fill="auto"/>
            <w:vAlign w:val="center"/>
          </w:tcPr>
          <w:p w14:paraId="2F721A69" w14:textId="178AFD1F" w:rsidR="00DF7AD6" w:rsidRPr="00DF7AD6" w:rsidRDefault="00DF7AD6"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13</w:t>
            </w:r>
          </w:p>
        </w:tc>
        <w:tc>
          <w:tcPr>
            <w:tcW w:w="6223" w:type="dxa"/>
            <w:tcBorders>
              <w:top w:val="single" w:sz="4" w:space="0" w:color="auto"/>
              <w:left w:val="nil"/>
              <w:bottom w:val="single" w:sz="4" w:space="0" w:color="auto"/>
            </w:tcBorders>
            <w:shd w:val="clear" w:color="auto" w:fill="auto"/>
            <w:vAlign w:val="center"/>
          </w:tcPr>
          <w:p w14:paraId="476BECB6" w14:textId="63494484" w:rsidR="00DF7AD6" w:rsidRPr="00DF7AD6" w:rsidRDefault="00DF7AD6" w:rsidP="000847F8">
            <w:pPr>
              <w:spacing w:line="269" w:lineRule="auto"/>
              <w:contextualSpacing/>
              <w:rPr>
                <w:rFonts w:ascii="Calibri" w:hAnsi="Calibri" w:cs="Calibri"/>
                <w:sz w:val="22"/>
                <w:szCs w:val="22"/>
              </w:rPr>
            </w:pPr>
            <w:r w:rsidRPr="00C738AA">
              <w:rPr>
                <w:rFonts w:ascii="Calibri" w:eastAsia="Arial" w:hAnsi="Calibri" w:cs="Calibri"/>
                <w:kern w:val="20"/>
                <w:sz w:val="22"/>
                <w:szCs w:val="22"/>
              </w:rPr>
              <w:t>Início do 2º Período de Desistência</w:t>
            </w:r>
            <w:r w:rsidR="009A360F" w:rsidRPr="00D833EF">
              <w:rPr>
                <w:rFonts w:cstheme="minorHAnsi"/>
                <w:sz w:val="18"/>
                <w:szCs w:val="18"/>
                <w:vertAlign w:val="superscript"/>
              </w:rPr>
              <w:t>(</w:t>
            </w:r>
            <w:r w:rsidR="009A360F">
              <w:rPr>
                <w:rFonts w:cstheme="minorHAnsi"/>
                <w:sz w:val="18"/>
                <w:szCs w:val="18"/>
                <w:vertAlign w:val="superscript"/>
              </w:rPr>
              <w:t>4</w:t>
            </w:r>
            <w:r w:rsidR="009A360F" w:rsidRPr="00D833EF">
              <w:rPr>
                <w:rFonts w:cstheme="minorHAnsi"/>
                <w:sz w:val="18"/>
                <w:szCs w:val="18"/>
                <w:vertAlign w:val="superscript"/>
              </w:rPr>
              <w:t>)</w:t>
            </w:r>
          </w:p>
        </w:tc>
        <w:tc>
          <w:tcPr>
            <w:tcW w:w="2375" w:type="dxa"/>
            <w:tcBorders>
              <w:top w:val="single" w:sz="4" w:space="0" w:color="auto"/>
              <w:bottom w:val="single" w:sz="4" w:space="0" w:color="auto"/>
            </w:tcBorders>
            <w:shd w:val="clear" w:color="auto" w:fill="auto"/>
            <w:vAlign w:val="center"/>
          </w:tcPr>
          <w:p w14:paraId="1264CF4C" w14:textId="4BD5EA77" w:rsidR="00DF7AD6" w:rsidRPr="00DF7AD6" w:rsidRDefault="00DF7AD6" w:rsidP="000847F8">
            <w:pPr>
              <w:pStyle w:val="CellBody"/>
              <w:spacing w:before="0" w:after="0" w:line="269" w:lineRule="auto"/>
              <w:contextualSpacing/>
              <w:jc w:val="center"/>
              <w:rPr>
                <w:rFonts w:ascii="Calibri" w:hAnsi="Calibri" w:cs="Calibri"/>
                <w:sz w:val="22"/>
                <w:szCs w:val="22"/>
              </w:rPr>
            </w:pPr>
            <w:r w:rsidRPr="00C738AA">
              <w:rPr>
                <w:rFonts w:ascii="Calibri" w:eastAsia="Arial" w:hAnsi="Calibri" w:cs="Calibri"/>
                <w:sz w:val="22"/>
                <w:szCs w:val="22"/>
              </w:rPr>
              <w:t>17 de fevereiro de 2022</w:t>
            </w:r>
          </w:p>
        </w:tc>
      </w:tr>
      <w:tr w:rsidR="00DF7AD6" w:rsidRPr="00DF7AD6" w14:paraId="0D6FEAF4" w14:textId="77777777" w:rsidTr="00C738AA">
        <w:tc>
          <w:tcPr>
            <w:tcW w:w="606" w:type="dxa"/>
            <w:tcBorders>
              <w:top w:val="single" w:sz="4" w:space="0" w:color="auto"/>
              <w:bottom w:val="single" w:sz="4" w:space="0" w:color="auto"/>
            </w:tcBorders>
            <w:shd w:val="clear" w:color="auto" w:fill="auto"/>
            <w:vAlign w:val="center"/>
          </w:tcPr>
          <w:p w14:paraId="0F384CF0" w14:textId="604757A2" w:rsidR="00DF7AD6" w:rsidRPr="00DF7AD6" w:rsidRDefault="00DF7AD6"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14</w:t>
            </w:r>
          </w:p>
        </w:tc>
        <w:tc>
          <w:tcPr>
            <w:tcW w:w="6223" w:type="dxa"/>
            <w:tcBorders>
              <w:top w:val="single" w:sz="4" w:space="0" w:color="auto"/>
              <w:left w:val="nil"/>
              <w:bottom w:val="single" w:sz="4" w:space="0" w:color="auto"/>
            </w:tcBorders>
            <w:shd w:val="clear" w:color="auto" w:fill="auto"/>
            <w:vAlign w:val="center"/>
          </w:tcPr>
          <w:p w14:paraId="7DEC581E" w14:textId="6890C3E0" w:rsidR="00DF7AD6" w:rsidRPr="00DF7AD6" w:rsidRDefault="00DF7AD6" w:rsidP="000847F8">
            <w:pPr>
              <w:spacing w:line="269" w:lineRule="auto"/>
              <w:contextualSpacing/>
              <w:rPr>
                <w:rFonts w:ascii="Calibri" w:hAnsi="Calibri" w:cs="Calibri"/>
                <w:sz w:val="22"/>
                <w:szCs w:val="22"/>
              </w:rPr>
            </w:pPr>
            <w:r w:rsidRPr="00C738AA">
              <w:rPr>
                <w:rFonts w:ascii="Calibri" w:eastAsia="Arial" w:hAnsi="Calibri" w:cs="Calibri"/>
                <w:kern w:val="20"/>
                <w:sz w:val="22"/>
                <w:szCs w:val="22"/>
              </w:rPr>
              <w:t>Encerramento do 2º Período de Desistência</w:t>
            </w:r>
          </w:p>
        </w:tc>
        <w:tc>
          <w:tcPr>
            <w:tcW w:w="2375" w:type="dxa"/>
            <w:tcBorders>
              <w:top w:val="single" w:sz="4" w:space="0" w:color="auto"/>
              <w:bottom w:val="single" w:sz="4" w:space="0" w:color="auto"/>
            </w:tcBorders>
            <w:shd w:val="clear" w:color="auto" w:fill="auto"/>
            <w:vAlign w:val="center"/>
          </w:tcPr>
          <w:p w14:paraId="6EFD7B4B" w14:textId="14B750C1" w:rsidR="00DF7AD6" w:rsidRPr="00DF7AD6" w:rsidRDefault="00DF7AD6" w:rsidP="000847F8">
            <w:pPr>
              <w:pStyle w:val="CellBody"/>
              <w:spacing w:before="0" w:after="0" w:line="269" w:lineRule="auto"/>
              <w:contextualSpacing/>
              <w:jc w:val="center"/>
              <w:rPr>
                <w:rFonts w:ascii="Calibri" w:hAnsi="Calibri" w:cs="Calibri"/>
                <w:sz w:val="22"/>
                <w:szCs w:val="22"/>
              </w:rPr>
            </w:pPr>
            <w:r w:rsidRPr="00C738AA">
              <w:rPr>
                <w:rFonts w:ascii="Calibri" w:eastAsia="Arial" w:hAnsi="Calibri" w:cs="Calibri"/>
                <w:sz w:val="22"/>
                <w:szCs w:val="22"/>
              </w:rPr>
              <w:t>24 de fevereiro de 2022</w:t>
            </w:r>
          </w:p>
        </w:tc>
      </w:tr>
      <w:tr w:rsidR="00DF7AD6" w:rsidRPr="00DF7AD6" w14:paraId="774878E6" w14:textId="77777777" w:rsidTr="00C738AA">
        <w:tc>
          <w:tcPr>
            <w:tcW w:w="606" w:type="dxa"/>
            <w:tcBorders>
              <w:top w:val="single" w:sz="4" w:space="0" w:color="auto"/>
              <w:bottom w:val="single" w:sz="4" w:space="0" w:color="auto"/>
            </w:tcBorders>
            <w:shd w:val="clear" w:color="auto" w:fill="auto"/>
            <w:vAlign w:val="center"/>
          </w:tcPr>
          <w:p w14:paraId="00D49F2A" w14:textId="263DAB80" w:rsidR="00DF7AD6" w:rsidRPr="00DF7AD6" w:rsidRDefault="00DF7AD6"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15</w:t>
            </w:r>
          </w:p>
        </w:tc>
        <w:tc>
          <w:tcPr>
            <w:tcW w:w="6223" w:type="dxa"/>
            <w:tcBorders>
              <w:top w:val="single" w:sz="4" w:space="0" w:color="auto"/>
              <w:left w:val="nil"/>
              <w:bottom w:val="single" w:sz="4" w:space="0" w:color="auto"/>
            </w:tcBorders>
            <w:shd w:val="clear" w:color="auto" w:fill="auto"/>
            <w:vAlign w:val="center"/>
          </w:tcPr>
          <w:p w14:paraId="77EAD0F1" w14:textId="57A1B090" w:rsidR="00DF7AD6" w:rsidRPr="00DF7AD6" w:rsidRDefault="00DF7AD6" w:rsidP="000847F8">
            <w:pPr>
              <w:spacing w:line="269" w:lineRule="auto"/>
              <w:contextualSpacing/>
              <w:rPr>
                <w:rFonts w:ascii="Calibri" w:hAnsi="Calibri" w:cs="Calibri"/>
                <w:sz w:val="22"/>
                <w:szCs w:val="22"/>
              </w:rPr>
            </w:pPr>
            <w:r w:rsidRPr="00C738AA">
              <w:rPr>
                <w:rFonts w:ascii="Calibri" w:eastAsia="Arial" w:hAnsi="Calibri" w:cs="Calibri"/>
                <w:kern w:val="20"/>
                <w:sz w:val="22"/>
                <w:szCs w:val="22"/>
              </w:rPr>
              <w:t>Registro da Oferta pela CVM</w:t>
            </w:r>
          </w:p>
        </w:tc>
        <w:tc>
          <w:tcPr>
            <w:tcW w:w="2375" w:type="dxa"/>
            <w:tcBorders>
              <w:top w:val="single" w:sz="4" w:space="0" w:color="auto"/>
              <w:bottom w:val="single" w:sz="4" w:space="0" w:color="auto"/>
            </w:tcBorders>
            <w:shd w:val="clear" w:color="auto" w:fill="auto"/>
            <w:vAlign w:val="center"/>
          </w:tcPr>
          <w:p w14:paraId="065EA0B8" w14:textId="70FF63D8" w:rsidR="00DF7AD6" w:rsidRPr="00DF7AD6" w:rsidRDefault="00DF7AD6" w:rsidP="000847F8">
            <w:pPr>
              <w:pStyle w:val="CellBody"/>
              <w:spacing w:before="0" w:after="0" w:line="269" w:lineRule="auto"/>
              <w:contextualSpacing/>
              <w:jc w:val="center"/>
              <w:rPr>
                <w:rFonts w:ascii="Calibri" w:hAnsi="Calibri" w:cs="Calibri"/>
                <w:sz w:val="22"/>
                <w:szCs w:val="22"/>
              </w:rPr>
            </w:pPr>
            <w:r w:rsidRPr="00C738AA">
              <w:rPr>
                <w:rFonts w:ascii="Calibri" w:eastAsia="Arial" w:hAnsi="Calibri" w:cs="Calibri"/>
                <w:sz w:val="22"/>
                <w:szCs w:val="22"/>
              </w:rPr>
              <w:t>18 de março de 2022</w:t>
            </w:r>
          </w:p>
        </w:tc>
      </w:tr>
      <w:tr w:rsidR="00DF7AD6" w:rsidRPr="00DF7AD6" w14:paraId="3D76044E" w14:textId="77777777" w:rsidTr="00C738AA">
        <w:tc>
          <w:tcPr>
            <w:tcW w:w="606" w:type="dxa"/>
            <w:tcBorders>
              <w:top w:val="single" w:sz="4" w:space="0" w:color="auto"/>
              <w:bottom w:val="single" w:sz="4" w:space="0" w:color="auto"/>
            </w:tcBorders>
            <w:shd w:val="clear" w:color="auto" w:fill="auto"/>
            <w:vAlign w:val="center"/>
          </w:tcPr>
          <w:p w14:paraId="5DD9C3A0" w14:textId="582436F6" w:rsidR="00DF7AD6" w:rsidRPr="00DF7AD6" w:rsidRDefault="00DF7AD6"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16</w:t>
            </w:r>
          </w:p>
        </w:tc>
        <w:tc>
          <w:tcPr>
            <w:tcW w:w="6223" w:type="dxa"/>
            <w:tcBorders>
              <w:top w:val="single" w:sz="4" w:space="0" w:color="auto"/>
              <w:left w:val="nil"/>
              <w:bottom w:val="single" w:sz="4" w:space="0" w:color="auto"/>
            </w:tcBorders>
            <w:shd w:val="clear" w:color="auto" w:fill="auto"/>
            <w:vAlign w:val="center"/>
          </w:tcPr>
          <w:p w14:paraId="10A64604" w14:textId="491C1EC4" w:rsidR="00DF7AD6" w:rsidRPr="00C738AA" w:rsidRDefault="00DF7AD6" w:rsidP="000847F8">
            <w:pPr>
              <w:spacing w:line="269" w:lineRule="auto"/>
              <w:contextualSpacing/>
              <w:rPr>
                <w:rFonts w:ascii="Calibri" w:eastAsia="Arial" w:hAnsi="Calibri" w:cs="Calibri"/>
                <w:kern w:val="20"/>
                <w:sz w:val="22"/>
                <w:szCs w:val="22"/>
              </w:rPr>
            </w:pPr>
            <w:r w:rsidRPr="00C738AA">
              <w:rPr>
                <w:rFonts w:ascii="Calibri" w:eastAsia="Arial" w:hAnsi="Calibri" w:cs="Calibri"/>
                <w:kern w:val="20"/>
                <w:sz w:val="22"/>
                <w:szCs w:val="22"/>
              </w:rPr>
              <w:t>Divulgação d</w:t>
            </w:r>
            <w:r w:rsidR="00DB2A8D">
              <w:rPr>
                <w:rFonts w:ascii="Calibri" w:eastAsia="Arial" w:hAnsi="Calibri" w:cs="Calibri"/>
                <w:kern w:val="20"/>
                <w:sz w:val="22"/>
                <w:szCs w:val="22"/>
              </w:rPr>
              <w:t>este</w:t>
            </w:r>
            <w:r w:rsidRPr="00C738AA">
              <w:rPr>
                <w:rFonts w:ascii="Calibri" w:eastAsia="Arial" w:hAnsi="Calibri" w:cs="Calibri"/>
                <w:kern w:val="20"/>
                <w:sz w:val="22"/>
                <w:szCs w:val="22"/>
              </w:rPr>
              <w:t xml:space="preserve"> Anúncio de Início</w:t>
            </w:r>
          </w:p>
          <w:p w14:paraId="55D8B456" w14:textId="77777777" w:rsidR="00DF7AD6" w:rsidRPr="00C738AA" w:rsidRDefault="00DF7AD6" w:rsidP="000847F8">
            <w:pPr>
              <w:spacing w:line="269" w:lineRule="auto"/>
              <w:contextualSpacing/>
              <w:rPr>
                <w:rFonts w:ascii="Calibri" w:eastAsia="Arial" w:hAnsi="Calibri" w:cs="Calibri"/>
                <w:kern w:val="20"/>
                <w:sz w:val="22"/>
                <w:szCs w:val="22"/>
              </w:rPr>
            </w:pPr>
            <w:r w:rsidRPr="00C738AA">
              <w:rPr>
                <w:rFonts w:ascii="Calibri" w:eastAsia="Arial" w:hAnsi="Calibri" w:cs="Calibri"/>
                <w:kern w:val="20"/>
                <w:sz w:val="22"/>
                <w:szCs w:val="22"/>
              </w:rPr>
              <w:t>Data de Início da Oferta</w:t>
            </w:r>
          </w:p>
          <w:p w14:paraId="0632C4AB" w14:textId="758B1983" w:rsidR="00DF7AD6" w:rsidRPr="00DF7AD6" w:rsidRDefault="00DF7AD6" w:rsidP="000847F8">
            <w:pPr>
              <w:spacing w:line="269" w:lineRule="auto"/>
              <w:contextualSpacing/>
              <w:rPr>
                <w:rFonts w:ascii="Calibri" w:hAnsi="Calibri" w:cs="Calibri"/>
                <w:sz w:val="22"/>
                <w:szCs w:val="22"/>
              </w:rPr>
            </w:pPr>
            <w:r w:rsidRPr="00C738AA">
              <w:rPr>
                <w:rFonts w:ascii="Calibri" w:eastAsia="Arial" w:hAnsi="Calibri" w:cs="Calibri"/>
                <w:kern w:val="20"/>
                <w:sz w:val="22"/>
                <w:szCs w:val="22"/>
              </w:rPr>
              <w:t>Disponibilização do Prospecto Definitivo</w:t>
            </w:r>
          </w:p>
        </w:tc>
        <w:tc>
          <w:tcPr>
            <w:tcW w:w="2375" w:type="dxa"/>
            <w:tcBorders>
              <w:top w:val="single" w:sz="4" w:space="0" w:color="auto"/>
              <w:bottom w:val="single" w:sz="4" w:space="0" w:color="auto"/>
            </w:tcBorders>
            <w:shd w:val="clear" w:color="auto" w:fill="auto"/>
            <w:vAlign w:val="center"/>
          </w:tcPr>
          <w:p w14:paraId="64AF8B0B" w14:textId="745EA15C" w:rsidR="00DF7AD6" w:rsidRPr="00DF7AD6" w:rsidRDefault="00DF7AD6" w:rsidP="000847F8">
            <w:pPr>
              <w:pStyle w:val="CellBody"/>
              <w:spacing w:before="0" w:after="0" w:line="269" w:lineRule="auto"/>
              <w:contextualSpacing/>
              <w:jc w:val="center"/>
              <w:rPr>
                <w:rFonts w:ascii="Calibri" w:hAnsi="Calibri" w:cs="Calibri"/>
                <w:sz w:val="22"/>
                <w:szCs w:val="22"/>
              </w:rPr>
            </w:pPr>
            <w:r w:rsidRPr="00C738AA">
              <w:rPr>
                <w:rFonts w:ascii="Calibri" w:eastAsia="Arial" w:hAnsi="Calibri" w:cs="Calibri"/>
                <w:sz w:val="22"/>
                <w:szCs w:val="22"/>
              </w:rPr>
              <w:t>21 de março de 2022</w:t>
            </w:r>
          </w:p>
        </w:tc>
      </w:tr>
      <w:tr w:rsidR="00DF7AD6" w:rsidRPr="00DF7AD6" w14:paraId="7232D928" w14:textId="77777777" w:rsidTr="00C738AA">
        <w:tc>
          <w:tcPr>
            <w:tcW w:w="606" w:type="dxa"/>
            <w:tcBorders>
              <w:top w:val="single" w:sz="4" w:space="0" w:color="auto"/>
              <w:bottom w:val="single" w:sz="4" w:space="0" w:color="auto"/>
            </w:tcBorders>
            <w:shd w:val="clear" w:color="auto" w:fill="auto"/>
            <w:vAlign w:val="center"/>
          </w:tcPr>
          <w:p w14:paraId="58E862DA" w14:textId="74B39BFB" w:rsidR="00DF7AD6" w:rsidRPr="00DF7AD6" w:rsidRDefault="00DF7AD6"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17</w:t>
            </w:r>
          </w:p>
        </w:tc>
        <w:tc>
          <w:tcPr>
            <w:tcW w:w="6223" w:type="dxa"/>
            <w:tcBorders>
              <w:top w:val="single" w:sz="4" w:space="0" w:color="auto"/>
              <w:left w:val="nil"/>
              <w:bottom w:val="single" w:sz="4" w:space="0" w:color="auto"/>
            </w:tcBorders>
            <w:shd w:val="clear" w:color="auto" w:fill="auto"/>
            <w:vAlign w:val="center"/>
          </w:tcPr>
          <w:p w14:paraId="66253AFB" w14:textId="631A8FB6" w:rsidR="00DF7AD6" w:rsidRPr="00DF7AD6" w:rsidRDefault="00FB6063" w:rsidP="000847F8">
            <w:pPr>
              <w:spacing w:line="269" w:lineRule="auto"/>
              <w:contextualSpacing/>
              <w:rPr>
                <w:rFonts w:ascii="Calibri" w:hAnsi="Calibri" w:cs="Calibri"/>
                <w:sz w:val="22"/>
                <w:szCs w:val="22"/>
              </w:rPr>
            </w:pPr>
            <w:r>
              <w:rPr>
                <w:rFonts w:ascii="Calibri" w:eastAsia="Arial" w:hAnsi="Calibri" w:cs="Calibri"/>
                <w:sz w:val="22"/>
                <w:szCs w:val="22"/>
              </w:rPr>
              <w:t>Primeira</w:t>
            </w:r>
            <w:r w:rsidR="00BD7146">
              <w:rPr>
                <w:rFonts w:ascii="Calibri" w:eastAsia="Arial" w:hAnsi="Calibri" w:cs="Calibri"/>
                <w:sz w:val="22"/>
                <w:szCs w:val="22"/>
              </w:rPr>
              <w:t xml:space="preserve"> </w:t>
            </w:r>
            <w:r w:rsidR="00DF7AD6" w:rsidRPr="00C738AA">
              <w:rPr>
                <w:rFonts w:ascii="Calibri" w:eastAsia="Arial" w:hAnsi="Calibri" w:cs="Calibri"/>
                <w:sz w:val="22"/>
                <w:szCs w:val="22"/>
              </w:rPr>
              <w:t>Liquidação Financeira das Debêntures</w:t>
            </w:r>
          </w:p>
        </w:tc>
        <w:tc>
          <w:tcPr>
            <w:tcW w:w="2375" w:type="dxa"/>
            <w:tcBorders>
              <w:top w:val="single" w:sz="4" w:space="0" w:color="auto"/>
              <w:bottom w:val="single" w:sz="4" w:space="0" w:color="auto"/>
            </w:tcBorders>
            <w:shd w:val="clear" w:color="auto" w:fill="auto"/>
            <w:vAlign w:val="center"/>
          </w:tcPr>
          <w:p w14:paraId="3D549DB4" w14:textId="46F3847A" w:rsidR="00DF7AD6" w:rsidRPr="00DF7AD6" w:rsidRDefault="00DF7AD6" w:rsidP="000847F8">
            <w:pPr>
              <w:pStyle w:val="CellBody"/>
              <w:spacing w:before="0" w:after="0" w:line="269" w:lineRule="auto"/>
              <w:contextualSpacing/>
              <w:jc w:val="center"/>
              <w:rPr>
                <w:rFonts w:ascii="Calibri" w:hAnsi="Calibri" w:cs="Calibri"/>
                <w:sz w:val="22"/>
                <w:szCs w:val="22"/>
              </w:rPr>
            </w:pPr>
            <w:r w:rsidRPr="00C738AA">
              <w:rPr>
                <w:rFonts w:ascii="Calibri" w:eastAsia="Arial" w:hAnsi="Calibri" w:cs="Calibri"/>
                <w:sz w:val="22"/>
                <w:szCs w:val="22"/>
              </w:rPr>
              <w:t>22 de março de 2022</w:t>
            </w:r>
          </w:p>
        </w:tc>
      </w:tr>
      <w:tr w:rsidR="00DF7AD6" w:rsidRPr="00DF7AD6" w14:paraId="1459AF12" w14:textId="77777777" w:rsidTr="00C738AA">
        <w:tc>
          <w:tcPr>
            <w:tcW w:w="606" w:type="dxa"/>
            <w:tcBorders>
              <w:top w:val="single" w:sz="4" w:space="0" w:color="auto"/>
              <w:bottom w:val="single" w:sz="4" w:space="0" w:color="auto"/>
            </w:tcBorders>
            <w:shd w:val="clear" w:color="auto" w:fill="auto"/>
            <w:vAlign w:val="center"/>
          </w:tcPr>
          <w:p w14:paraId="45C49746" w14:textId="629FF7C6" w:rsidR="00DF7AD6" w:rsidRPr="00DF7AD6" w:rsidRDefault="00DF7AD6"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18</w:t>
            </w:r>
          </w:p>
        </w:tc>
        <w:tc>
          <w:tcPr>
            <w:tcW w:w="6223" w:type="dxa"/>
            <w:tcBorders>
              <w:top w:val="single" w:sz="4" w:space="0" w:color="auto"/>
              <w:left w:val="nil"/>
              <w:bottom w:val="single" w:sz="4" w:space="0" w:color="auto"/>
            </w:tcBorders>
            <w:shd w:val="clear" w:color="auto" w:fill="auto"/>
            <w:vAlign w:val="center"/>
          </w:tcPr>
          <w:p w14:paraId="21EC32F2" w14:textId="072E156A" w:rsidR="00DF7AD6" w:rsidRPr="00DF7AD6" w:rsidRDefault="00DF7AD6" w:rsidP="000847F8">
            <w:pPr>
              <w:spacing w:line="269" w:lineRule="auto"/>
              <w:contextualSpacing/>
              <w:rPr>
                <w:rFonts w:ascii="Calibri" w:hAnsi="Calibri" w:cs="Calibri"/>
                <w:sz w:val="22"/>
                <w:szCs w:val="22"/>
              </w:rPr>
            </w:pPr>
            <w:r w:rsidRPr="00C738AA">
              <w:rPr>
                <w:rFonts w:ascii="Calibri" w:eastAsia="Arial" w:hAnsi="Calibri" w:cs="Calibri"/>
                <w:kern w:val="20"/>
                <w:sz w:val="22"/>
                <w:szCs w:val="22"/>
              </w:rPr>
              <w:t>Data Máxima para Divulgação do Anúncio de Encerramento da Oferta</w:t>
            </w:r>
          </w:p>
        </w:tc>
        <w:tc>
          <w:tcPr>
            <w:tcW w:w="2375" w:type="dxa"/>
            <w:tcBorders>
              <w:top w:val="single" w:sz="4" w:space="0" w:color="auto"/>
              <w:bottom w:val="single" w:sz="4" w:space="0" w:color="auto"/>
            </w:tcBorders>
            <w:shd w:val="clear" w:color="auto" w:fill="auto"/>
            <w:vAlign w:val="center"/>
          </w:tcPr>
          <w:p w14:paraId="7D6B3192" w14:textId="0DF835DD" w:rsidR="00DF7AD6" w:rsidRPr="00DF7AD6" w:rsidRDefault="00DF7AD6" w:rsidP="000847F8">
            <w:pPr>
              <w:pStyle w:val="CellBody"/>
              <w:spacing w:before="0" w:after="0" w:line="269" w:lineRule="auto"/>
              <w:contextualSpacing/>
              <w:jc w:val="center"/>
              <w:rPr>
                <w:rFonts w:ascii="Calibri" w:hAnsi="Calibri" w:cs="Calibri"/>
                <w:sz w:val="22"/>
                <w:szCs w:val="22"/>
              </w:rPr>
            </w:pPr>
            <w:r w:rsidRPr="00C738AA">
              <w:rPr>
                <w:rFonts w:ascii="Calibri" w:eastAsia="Arial" w:hAnsi="Calibri" w:cs="Calibri"/>
                <w:sz w:val="22"/>
                <w:szCs w:val="22"/>
              </w:rPr>
              <w:t>21 de setembro de 2022</w:t>
            </w:r>
          </w:p>
        </w:tc>
      </w:tr>
      <w:tr w:rsidR="00DF7AD6" w:rsidRPr="00DF7AD6" w14:paraId="578FA8E6" w14:textId="77777777" w:rsidTr="00C738AA">
        <w:tc>
          <w:tcPr>
            <w:tcW w:w="606" w:type="dxa"/>
            <w:tcBorders>
              <w:top w:val="single" w:sz="4" w:space="0" w:color="auto"/>
              <w:bottom w:val="single" w:sz="4" w:space="0" w:color="auto"/>
            </w:tcBorders>
            <w:shd w:val="clear" w:color="auto" w:fill="auto"/>
            <w:vAlign w:val="center"/>
          </w:tcPr>
          <w:p w14:paraId="0C091C32" w14:textId="0550B281" w:rsidR="00DF7AD6" w:rsidRPr="00DF7AD6" w:rsidRDefault="00DF7AD6" w:rsidP="000847F8">
            <w:pPr>
              <w:pStyle w:val="CellBody"/>
              <w:spacing w:before="0" w:after="0" w:line="269" w:lineRule="auto"/>
              <w:contextualSpacing/>
              <w:jc w:val="center"/>
              <w:rPr>
                <w:rFonts w:ascii="Calibri" w:eastAsia="Arial" w:hAnsi="Calibri" w:cs="Calibri"/>
                <w:sz w:val="22"/>
                <w:szCs w:val="22"/>
              </w:rPr>
            </w:pPr>
            <w:r w:rsidRPr="00DF7AD6">
              <w:rPr>
                <w:rFonts w:ascii="Calibri" w:eastAsia="Arial" w:hAnsi="Calibri" w:cs="Calibri"/>
                <w:sz w:val="22"/>
                <w:szCs w:val="22"/>
              </w:rPr>
              <w:t>19</w:t>
            </w:r>
          </w:p>
        </w:tc>
        <w:tc>
          <w:tcPr>
            <w:tcW w:w="6223" w:type="dxa"/>
            <w:tcBorders>
              <w:top w:val="single" w:sz="4" w:space="0" w:color="auto"/>
              <w:left w:val="nil"/>
              <w:bottom w:val="single" w:sz="4" w:space="0" w:color="auto"/>
            </w:tcBorders>
            <w:shd w:val="clear" w:color="auto" w:fill="auto"/>
            <w:vAlign w:val="center"/>
          </w:tcPr>
          <w:p w14:paraId="548B7205" w14:textId="0637152A" w:rsidR="00DF7AD6" w:rsidRPr="00DF7AD6" w:rsidRDefault="00DF7AD6" w:rsidP="000847F8">
            <w:pPr>
              <w:spacing w:line="269" w:lineRule="auto"/>
              <w:contextualSpacing/>
              <w:rPr>
                <w:rFonts w:ascii="Calibri" w:hAnsi="Calibri" w:cs="Calibri"/>
                <w:sz w:val="22"/>
                <w:szCs w:val="22"/>
              </w:rPr>
            </w:pPr>
            <w:r w:rsidRPr="00C738AA">
              <w:rPr>
                <w:rFonts w:ascii="Calibri" w:eastAsia="Arial" w:hAnsi="Calibri" w:cs="Calibri"/>
                <w:kern w:val="20"/>
                <w:sz w:val="22"/>
                <w:szCs w:val="22"/>
              </w:rPr>
              <w:t>Data Máxima para início da negociação das Debêntures na B3</w:t>
            </w:r>
          </w:p>
        </w:tc>
        <w:tc>
          <w:tcPr>
            <w:tcW w:w="2375" w:type="dxa"/>
            <w:tcBorders>
              <w:top w:val="single" w:sz="4" w:space="0" w:color="auto"/>
              <w:bottom w:val="single" w:sz="4" w:space="0" w:color="auto"/>
            </w:tcBorders>
            <w:shd w:val="clear" w:color="auto" w:fill="auto"/>
            <w:vAlign w:val="center"/>
          </w:tcPr>
          <w:p w14:paraId="04A20B14" w14:textId="0A339060" w:rsidR="00DF7AD6" w:rsidRPr="00DF7AD6" w:rsidRDefault="00DF7AD6" w:rsidP="000847F8">
            <w:pPr>
              <w:pStyle w:val="CellBody"/>
              <w:spacing w:before="0" w:after="0" w:line="269" w:lineRule="auto"/>
              <w:contextualSpacing/>
              <w:jc w:val="center"/>
              <w:rPr>
                <w:rFonts w:ascii="Calibri" w:hAnsi="Calibri" w:cs="Calibri"/>
                <w:sz w:val="22"/>
                <w:szCs w:val="22"/>
              </w:rPr>
            </w:pPr>
            <w:r w:rsidRPr="00C738AA">
              <w:rPr>
                <w:rFonts w:ascii="Calibri" w:eastAsia="Arial" w:hAnsi="Calibri" w:cs="Calibri"/>
                <w:sz w:val="22"/>
                <w:szCs w:val="22"/>
              </w:rPr>
              <w:t>22 de setembro de 2022</w:t>
            </w:r>
          </w:p>
        </w:tc>
      </w:tr>
    </w:tbl>
    <w:p w14:paraId="3AC63386" w14:textId="0D0828D7" w:rsidR="00992DB1" w:rsidRDefault="005866B9" w:rsidP="00992DB1">
      <w:pPr>
        <w:pStyle w:val="Body"/>
        <w:widowControl w:val="0"/>
        <w:contextualSpacing/>
        <w:rPr>
          <w:rFonts w:ascii="Calibri" w:hAnsi="Calibri" w:cs="Calibri"/>
          <w:bCs/>
          <w:sz w:val="18"/>
          <w:szCs w:val="18"/>
        </w:rPr>
      </w:pPr>
      <w:r w:rsidRPr="005866B9">
        <w:rPr>
          <w:rFonts w:ascii="Calibri" w:hAnsi="Calibri" w:cs="Calibri"/>
          <w:sz w:val="18"/>
          <w:szCs w:val="18"/>
          <w:vertAlign w:val="superscript"/>
        </w:rPr>
        <w:lastRenderedPageBreak/>
        <w:t>(1)</w:t>
      </w:r>
      <w:r w:rsidRPr="005866B9">
        <w:rPr>
          <w:rFonts w:ascii="Calibri" w:hAnsi="Calibri" w:cs="Calibri"/>
          <w:sz w:val="18"/>
          <w:szCs w:val="18"/>
        </w:rPr>
        <w:t xml:space="preserve"> As datas previstas para os eventos futuros são meramente indicativas e estão sujeitas a alterações, atrasos e antecipações sem aviso prévio, a critério da Emissora e do Coordenador Líder. Qualquer modificação no cronograma da distribuição deverá ser comunicada à CVM e poderá ser analisada como modificação da Oferta, seguindo o disposto nos artigos 25 e 27 da Instrução CVM 400</w:t>
      </w:r>
      <w:r w:rsidRPr="005866B9">
        <w:rPr>
          <w:rFonts w:ascii="Calibri" w:hAnsi="Calibri" w:cs="Calibri"/>
          <w:bCs/>
          <w:sz w:val="18"/>
          <w:szCs w:val="18"/>
        </w:rPr>
        <w:t>.</w:t>
      </w:r>
    </w:p>
    <w:p w14:paraId="0D6D2A53" w14:textId="0D136CEB" w:rsidR="00992DB1" w:rsidRDefault="005866B9" w:rsidP="00BE19AA">
      <w:pPr>
        <w:pStyle w:val="Body"/>
        <w:widowControl w:val="0"/>
        <w:contextualSpacing/>
      </w:pPr>
      <w:r w:rsidRPr="005866B9">
        <w:rPr>
          <w:rFonts w:ascii="Calibri" w:hAnsi="Calibri" w:cs="Calibri"/>
          <w:sz w:val="18"/>
          <w:szCs w:val="18"/>
          <w:vertAlign w:val="superscript"/>
        </w:rPr>
        <w:t>(2)</w:t>
      </w:r>
      <w:r w:rsidRPr="005866B9">
        <w:rPr>
          <w:rFonts w:ascii="Calibri" w:hAnsi="Calibri" w:cs="Calibri"/>
          <w:sz w:val="18"/>
          <w:szCs w:val="18"/>
        </w:rPr>
        <w:t xml:space="preserve"> Caso ocorram alterações das circunstâncias, suspensão, prorrogação, revogação ou </w:t>
      </w:r>
      <w:r w:rsidR="00550A4B">
        <w:rPr>
          <w:rFonts w:ascii="Calibri" w:hAnsi="Calibri" w:cs="Calibri"/>
          <w:sz w:val="18"/>
          <w:szCs w:val="18"/>
        </w:rPr>
        <w:t xml:space="preserve">nova </w:t>
      </w:r>
      <w:r w:rsidRPr="005866B9">
        <w:rPr>
          <w:rFonts w:ascii="Calibri" w:hAnsi="Calibri" w:cs="Calibri"/>
          <w:sz w:val="18"/>
          <w:szCs w:val="18"/>
        </w:rPr>
        <w:t xml:space="preserve">modificação da Oferta, tal cronograma poderá ser </w:t>
      </w:r>
      <w:r w:rsidR="001946BE">
        <w:rPr>
          <w:rFonts w:ascii="Calibri" w:hAnsi="Calibri" w:cs="Calibri"/>
          <w:sz w:val="18"/>
          <w:szCs w:val="18"/>
        </w:rPr>
        <w:t xml:space="preserve">novamente </w:t>
      </w:r>
      <w:r w:rsidRPr="005866B9">
        <w:rPr>
          <w:rFonts w:ascii="Calibri" w:hAnsi="Calibri" w:cs="Calibri"/>
          <w:sz w:val="18"/>
          <w:szCs w:val="18"/>
        </w:rPr>
        <w:t>alterado. Para informações sobre manifestação de aceitação à Oferta, manifestação de revogação da aceitação à Oferta, modificação da Oferta, suspensão da Oferta e cancelamento ou revogação da Oferta, veja as seções “Informações Relativas à Emissão, à Oferta e às Debêntures - Características da Oferta – Modificação da Oferta”, “Informações Relativas à Emissão, à Oferta e às Debêntures - Características da Oferta –Suspensão da Oferta” e “Informações Relativas à Emissão, à Oferta e às Debêntures – Características da Oferta - Cancelamento ou Revogação da Oferta”</w:t>
      </w:r>
      <w:r>
        <w:rPr>
          <w:rFonts w:ascii="Calibri" w:hAnsi="Calibri" w:cs="Calibri"/>
          <w:sz w:val="18"/>
          <w:szCs w:val="18"/>
        </w:rPr>
        <w:t xml:space="preserve"> no</w:t>
      </w:r>
      <w:r w:rsidRPr="005866B9">
        <w:rPr>
          <w:rFonts w:ascii="Calibri" w:hAnsi="Calibri" w:cs="Calibri"/>
          <w:sz w:val="18"/>
          <w:szCs w:val="18"/>
        </w:rPr>
        <w:t xml:space="preserve"> Prospecto</w:t>
      </w:r>
      <w:r>
        <w:rPr>
          <w:rFonts w:ascii="Calibri" w:hAnsi="Calibri" w:cs="Calibri"/>
          <w:sz w:val="18"/>
          <w:szCs w:val="18"/>
        </w:rPr>
        <w:t xml:space="preserve"> Definitivo</w:t>
      </w:r>
      <w:r w:rsidRPr="005866B9" w:rsidDel="005866B9">
        <w:rPr>
          <w:rFonts w:ascii="Calibri" w:hAnsi="Calibri" w:cs="Calibri"/>
          <w:sz w:val="18"/>
          <w:szCs w:val="18"/>
          <w:vertAlign w:val="superscript"/>
        </w:rPr>
        <w:t xml:space="preserve"> </w:t>
      </w:r>
      <w:r w:rsidR="009A020C" w:rsidRPr="005866B9">
        <w:rPr>
          <w:rFonts w:ascii="Calibri" w:hAnsi="Calibri" w:cs="Calibri"/>
          <w:sz w:val="18"/>
          <w:szCs w:val="18"/>
        </w:rPr>
        <w:t>.</w:t>
      </w:r>
    </w:p>
    <w:p w14:paraId="5C9CDC0C" w14:textId="3D461850" w:rsidR="00DF7AD6" w:rsidRDefault="00992DB1" w:rsidP="00992DB1">
      <w:pPr>
        <w:pStyle w:val="Body"/>
        <w:widowControl w:val="0"/>
        <w:contextualSpacing/>
        <w:rPr>
          <w:rFonts w:ascii="Calibri" w:hAnsi="Calibri" w:cs="Calibri"/>
          <w:kern w:val="0"/>
          <w:sz w:val="18"/>
          <w:szCs w:val="18"/>
        </w:rPr>
      </w:pPr>
      <w:r w:rsidRPr="00992DB1">
        <w:rPr>
          <w:rFonts w:ascii="Calibri" w:hAnsi="Calibri" w:cs="Calibri"/>
          <w:sz w:val="18"/>
          <w:szCs w:val="18"/>
          <w:vertAlign w:val="superscript"/>
        </w:rPr>
        <w:t>(3)</w:t>
      </w:r>
      <w:r w:rsidRPr="00992DB1">
        <w:rPr>
          <w:rFonts w:ascii="Calibri" w:hAnsi="Calibri" w:cs="Calibri"/>
          <w:kern w:val="0"/>
          <w:sz w:val="18"/>
          <w:szCs w:val="18"/>
        </w:rPr>
        <w:t xml:space="preserve"> Para informações sobre o prazo para exercício da garantia firme e venda das Debêntures objeto da garantia firme pelo Coordenador Líder, conforme o caso, veja a seção “Informações Relativas à Emissão, à Oferta e às Debêntures – Contrato de Distribuição – Regime de Colocação”, n</w:t>
      </w:r>
      <w:r>
        <w:rPr>
          <w:rFonts w:ascii="Calibri" w:hAnsi="Calibri" w:cs="Calibri"/>
          <w:kern w:val="0"/>
          <w:sz w:val="18"/>
          <w:szCs w:val="18"/>
        </w:rPr>
        <w:t>o</w:t>
      </w:r>
      <w:r w:rsidRPr="00992DB1">
        <w:rPr>
          <w:rFonts w:ascii="Calibri" w:hAnsi="Calibri" w:cs="Calibri"/>
          <w:kern w:val="0"/>
          <w:sz w:val="18"/>
          <w:szCs w:val="18"/>
        </w:rPr>
        <w:t xml:space="preserve"> Prospecto</w:t>
      </w:r>
      <w:r>
        <w:rPr>
          <w:rFonts w:ascii="Calibri" w:hAnsi="Calibri" w:cs="Calibri"/>
          <w:kern w:val="0"/>
          <w:sz w:val="18"/>
          <w:szCs w:val="18"/>
        </w:rPr>
        <w:t xml:space="preserve"> Definitivo</w:t>
      </w:r>
      <w:r w:rsidRPr="00992DB1">
        <w:rPr>
          <w:rFonts w:ascii="Calibri" w:hAnsi="Calibri" w:cs="Calibri"/>
          <w:kern w:val="0"/>
          <w:sz w:val="18"/>
          <w:szCs w:val="18"/>
        </w:rPr>
        <w:t>.</w:t>
      </w:r>
    </w:p>
    <w:p w14:paraId="35BA36E6" w14:textId="77777777" w:rsidR="009A360F" w:rsidRDefault="00DF7AD6" w:rsidP="009A360F">
      <w:pPr>
        <w:pStyle w:val="Body"/>
        <w:widowControl w:val="0"/>
        <w:contextualSpacing/>
        <w:rPr>
          <w:rFonts w:cstheme="minorHAnsi"/>
          <w:sz w:val="18"/>
          <w:szCs w:val="18"/>
        </w:rPr>
      </w:pPr>
      <w:r w:rsidRPr="00992DB1">
        <w:rPr>
          <w:rFonts w:ascii="Calibri" w:hAnsi="Calibri" w:cs="Calibri"/>
          <w:sz w:val="18"/>
          <w:szCs w:val="18"/>
          <w:vertAlign w:val="superscript"/>
        </w:rPr>
        <w:t>(</w:t>
      </w:r>
      <w:r>
        <w:rPr>
          <w:rFonts w:ascii="Calibri" w:hAnsi="Calibri" w:cs="Calibri"/>
          <w:sz w:val="18"/>
          <w:szCs w:val="18"/>
          <w:vertAlign w:val="superscript"/>
        </w:rPr>
        <w:t>4</w:t>
      </w:r>
      <w:r w:rsidRPr="00992DB1">
        <w:rPr>
          <w:rFonts w:ascii="Calibri" w:hAnsi="Calibri" w:cs="Calibri"/>
          <w:sz w:val="18"/>
          <w:szCs w:val="18"/>
          <w:vertAlign w:val="superscript"/>
        </w:rPr>
        <w:t>)</w:t>
      </w:r>
      <w:r w:rsidRPr="00992DB1">
        <w:rPr>
          <w:rFonts w:ascii="Calibri" w:hAnsi="Calibri" w:cs="Calibri"/>
          <w:kern w:val="0"/>
          <w:sz w:val="18"/>
          <w:szCs w:val="18"/>
        </w:rPr>
        <w:t xml:space="preserve"> </w:t>
      </w:r>
      <w:bookmarkStart w:id="51" w:name="_Hlk95916091"/>
      <w:r w:rsidR="009A360F" w:rsidRPr="00D833EF">
        <w:rPr>
          <w:rFonts w:cstheme="minorHAnsi"/>
          <w:sz w:val="18"/>
          <w:szCs w:val="18"/>
        </w:rPr>
        <w:t xml:space="preserve">A respeito da desistência do Pedido de Reserva, </w:t>
      </w:r>
      <w:r w:rsidR="009A360F">
        <w:rPr>
          <w:rFonts w:cstheme="minorHAnsi"/>
          <w:sz w:val="18"/>
          <w:szCs w:val="18"/>
        </w:rPr>
        <w:t>o processo ocorreu e</w:t>
      </w:r>
      <w:r w:rsidR="009A360F" w:rsidRPr="00D833EF">
        <w:rPr>
          <w:rFonts w:cstheme="minorHAnsi"/>
          <w:sz w:val="18"/>
          <w:szCs w:val="18"/>
        </w:rPr>
        <w:t xml:space="preserve"> ocorrerá</w:t>
      </w:r>
      <w:r w:rsidR="009A360F">
        <w:rPr>
          <w:rFonts w:cstheme="minorHAnsi"/>
          <w:sz w:val="18"/>
          <w:szCs w:val="18"/>
        </w:rPr>
        <w:t>, conforme o caso,</w:t>
      </w:r>
      <w:r w:rsidR="009A360F" w:rsidRPr="00D833EF">
        <w:rPr>
          <w:rFonts w:cstheme="minorHAnsi"/>
          <w:sz w:val="18"/>
          <w:szCs w:val="18"/>
        </w:rPr>
        <w:t xml:space="preserve"> sem ônus</w:t>
      </w:r>
      <w:r w:rsidR="009A360F">
        <w:rPr>
          <w:rFonts w:cstheme="minorHAnsi"/>
          <w:sz w:val="18"/>
          <w:szCs w:val="18"/>
        </w:rPr>
        <w:t xml:space="preserve"> </w:t>
      </w:r>
      <w:r w:rsidR="009A360F" w:rsidRPr="00D833EF">
        <w:rPr>
          <w:rFonts w:cstheme="minorHAnsi"/>
          <w:sz w:val="18"/>
          <w:szCs w:val="18"/>
        </w:rPr>
        <w:t>para o subscritor.</w:t>
      </w:r>
      <w:r w:rsidR="009A360F">
        <w:rPr>
          <w:rFonts w:cstheme="minorHAnsi"/>
          <w:sz w:val="18"/>
          <w:szCs w:val="18"/>
        </w:rPr>
        <w:t xml:space="preserve"> </w:t>
      </w:r>
    </w:p>
    <w:p w14:paraId="7ED5E759" w14:textId="5597AB21" w:rsidR="00DF7AD6" w:rsidRDefault="009A360F" w:rsidP="009A360F">
      <w:pPr>
        <w:pStyle w:val="Body"/>
        <w:widowControl w:val="0"/>
        <w:contextualSpacing/>
        <w:rPr>
          <w:rFonts w:ascii="Calibri" w:hAnsi="Calibri" w:cs="Calibri"/>
          <w:kern w:val="0"/>
          <w:sz w:val="18"/>
          <w:szCs w:val="18"/>
        </w:rPr>
      </w:pPr>
      <w:r w:rsidRPr="00D833EF">
        <w:rPr>
          <w:rFonts w:cstheme="minorHAnsi"/>
          <w:sz w:val="18"/>
          <w:szCs w:val="18"/>
          <w:vertAlign w:val="superscript"/>
        </w:rPr>
        <w:t>(5)</w:t>
      </w:r>
      <w:r>
        <w:rPr>
          <w:rFonts w:cstheme="minorHAnsi"/>
          <w:sz w:val="18"/>
          <w:szCs w:val="18"/>
          <w:vertAlign w:val="superscript"/>
        </w:rPr>
        <w:t xml:space="preserve"> </w:t>
      </w:r>
      <w:bookmarkEnd w:id="51"/>
      <w:r w:rsidR="00DF7AD6" w:rsidRPr="00DF7AD6">
        <w:rPr>
          <w:rFonts w:ascii="Calibri" w:hAnsi="Calibri" w:cs="Calibri"/>
          <w:kern w:val="0"/>
          <w:sz w:val="18"/>
          <w:szCs w:val="18"/>
        </w:rPr>
        <w:t>Atualização para cumprimento do ofício de vícios sanáveis, inclusão das informações financeiras trimestrais de 31.12.2021 e substituição do cronograma estimativo da oferta.</w:t>
      </w:r>
    </w:p>
    <w:p w14:paraId="29F62886" w14:textId="77777777" w:rsidR="00B16C7E" w:rsidRPr="00146FDC" w:rsidRDefault="009A360F" w:rsidP="00B16C7E">
      <w:pPr>
        <w:pStyle w:val="Body"/>
        <w:widowControl w:val="0"/>
        <w:contextualSpacing/>
        <w:rPr>
          <w:rFonts w:cstheme="minorHAnsi"/>
          <w:sz w:val="18"/>
          <w:szCs w:val="18"/>
        </w:rPr>
      </w:pPr>
      <w:r w:rsidRPr="00D833EF">
        <w:rPr>
          <w:rFonts w:cstheme="minorHAnsi"/>
          <w:sz w:val="18"/>
          <w:szCs w:val="18"/>
          <w:vertAlign w:val="superscript"/>
        </w:rPr>
        <w:t>(</w:t>
      </w:r>
      <w:r>
        <w:rPr>
          <w:rFonts w:cstheme="minorHAnsi"/>
          <w:sz w:val="18"/>
          <w:szCs w:val="18"/>
          <w:vertAlign w:val="superscript"/>
        </w:rPr>
        <w:t>6</w:t>
      </w:r>
      <w:r w:rsidRPr="00D833EF">
        <w:rPr>
          <w:rFonts w:cstheme="minorHAnsi"/>
          <w:sz w:val="18"/>
          <w:szCs w:val="18"/>
          <w:vertAlign w:val="superscript"/>
        </w:rPr>
        <w:t>)</w:t>
      </w:r>
      <w:r>
        <w:rPr>
          <w:rFonts w:cstheme="minorHAnsi"/>
          <w:sz w:val="18"/>
          <w:szCs w:val="18"/>
          <w:vertAlign w:val="superscript"/>
        </w:rPr>
        <w:t xml:space="preserve"> </w:t>
      </w:r>
      <w:r w:rsidR="00B16C7E">
        <w:rPr>
          <w:rFonts w:cstheme="minorHAnsi"/>
          <w:sz w:val="18"/>
          <w:szCs w:val="18"/>
        </w:rPr>
        <w:t xml:space="preserve">Nesta data, </w:t>
      </w:r>
      <w:r w:rsidR="00B16C7E" w:rsidRPr="00711504">
        <w:rPr>
          <w:rFonts w:cstheme="minorHAnsi"/>
          <w:sz w:val="18"/>
          <w:szCs w:val="18"/>
        </w:rPr>
        <w:t>pretende-se concluir a integralização das: (i)</w:t>
      </w:r>
      <w:r w:rsidR="00B16C7E">
        <w:rPr>
          <w:rFonts w:cstheme="minorHAnsi"/>
          <w:sz w:val="18"/>
          <w:szCs w:val="18"/>
        </w:rPr>
        <w:t xml:space="preserve"> Debêntures objeto da </w:t>
      </w:r>
      <w:r w:rsidR="00B16C7E" w:rsidRPr="0087402A">
        <w:rPr>
          <w:rFonts w:cstheme="minorHAnsi"/>
          <w:sz w:val="18"/>
          <w:szCs w:val="18"/>
        </w:rPr>
        <w:t>quantidade inicialmente ofertada</w:t>
      </w:r>
      <w:r w:rsidR="00B16C7E">
        <w:rPr>
          <w:rFonts w:cstheme="minorHAnsi"/>
          <w:sz w:val="18"/>
          <w:szCs w:val="18"/>
        </w:rPr>
        <w:t>, equivalente ao montante da Garantia Firme; e (</w:t>
      </w:r>
      <w:proofErr w:type="spellStart"/>
      <w:r w:rsidR="00B16C7E">
        <w:rPr>
          <w:rFonts w:cstheme="minorHAnsi"/>
          <w:sz w:val="18"/>
          <w:szCs w:val="18"/>
        </w:rPr>
        <w:t>ii</w:t>
      </w:r>
      <w:proofErr w:type="spellEnd"/>
      <w:r w:rsidR="00B16C7E">
        <w:rPr>
          <w:rFonts w:cstheme="minorHAnsi"/>
          <w:sz w:val="18"/>
          <w:szCs w:val="18"/>
        </w:rPr>
        <w:t xml:space="preserve">) Debêntures Adicionais. </w:t>
      </w:r>
      <w:r w:rsidR="00B16C7E" w:rsidRPr="00711504">
        <w:rPr>
          <w:rFonts w:cstheme="minorHAnsi"/>
          <w:sz w:val="18"/>
          <w:szCs w:val="18"/>
        </w:rPr>
        <w:t>Considerando que as Debêntures Adicionais serão emitidas sob regime de melhores esforços de colocação, caso não haja a integralização da totalidade das Debêntures Adicionais até a divulgação do Anúncio de Encerramento da Oferta, as Debêntures Adicionais não integralizadas serão canceladas pela Emissora</w:t>
      </w:r>
      <w:r w:rsidR="00B16C7E">
        <w:rPr>
          <w:rFonts w:cstheme="minorHAnsi"/>
          <w:sz w:val="18"/>
          <w:szCs w:val="18"/>
        </w:rPr>
        <w:t>.</w:t>
      </w:r>
    </w:p>
    <w:p w14:paraId="58197B0A" w14:textId="636161EA" w:rsidR="009A360F" w:rsidRPr="00146FDC" w:rsidRDefault="009A360F" w:rsidP="009A360F">
      <w:pPr>
        <w:pStyle w:val="Body"/>
        <w:widowControl w:val="0"/>
        <w:contextualSpacing/>
        <w:rPr>
          <w:rFonts w:cstheme="minorHAnsi"/>
          <w:sz w:val="18"/>
          <w:szCs w:val="18"/>
        </w:rPr>
      </w:pPr>
    </w:p>
    <w:p w14:paraId="368CF180" w14:textId="77777777" w:rsidR="009A360F" w:rsidRDefault="009A360F" w:rsidP="009A360F">
      <w:pPr>
        <w:pStyle w:val="Body"/>
        <w:widowControl w:val="0"/>
        <w:contextualSpacing/>
        <w:rPr>
          <w:rFonts w:ascii="Calibri" w:hAnsi="Calibri" w:cs="Calibri"/>
          <w:kern w:val="0"/>
          <w:sz w:val="18"/>
          <w:szCs w:val="18"/>
        </w:rPr>
      </w:pPr>
    </w:p>
    <w:p w14:paraId="47E14634" w14:textId="77777777" w:rsidR="00DF7AD6" w:rsidRPr="00992DB1" w:rsidRDefault="00DF7AD6" w:rsidP="00992DB1">
      <w:pPr>
        <w:pStyle w:val="Body"/>
        <w:widowControl w:val="0"/>
        <w:contextualSpacing/>
        <w:rPr>
          <w:rFonts w:ascii="Calibri" w:hAnsi="Calibri" w:cs="Calibri"/>
          <w:kern w:val="0"/>
          <w:sz w:val="18"/>
          <w:szCs w:val="18"/>
        </w:rPr>
      </w:pPr>
    </w:p>
    <w:p w14:paraId="25E2A135" w14:textId="61CD4D07" w:rsidR="001C0B1F" w:rsidRPr="00C6089D" w:rsidRDefault="009A020C" w:rsidP="00BE7828">
      <w:pPr>
        <w:pStyle w:val="Body"/>
        <w:widowControl w:val="0"/>
        <w:spacing w:before="280" w:line="314" w:lineRule="auto"/>
        <w:rPr>
          <w:rFonts w:ascii="Calibri" w:hAnsi="Calibri" w:cs="Calibri"/>
          <w:sz w:val="24"/>
        </w:rPr>
      </w:pPr>
      <w:bookmarkStart w:id="52" w:name="_Toc428306446"/>
      <w:bookmarkStart w:id="53" w:name="_Toc428306447"/>
      <w:bookmarkStart w:id="54" w:name="_Toc428306448"/>
      <w:bookmarkStart w:id="55" w:name="_Toc428306449"/>
      <w:bookmarkStart w:id="56" w:name="_Toc428306450"/>
      <w:bookmarkStart w:id="57" w:name="_Toc428306451"/>
      <w:bookmarkStart w:id="58" w:name="_Toc428306452"/>
      <w:bookmarkStart w:id="59" w:name="_Toc428306453"/>
      <w:bookmarkStart w:id="60" w:name="_Toc428306454"/>
      <w:bookmarkStart w:id="61" w:name="_Toc428306455"/>
      <w:bookmarkStart w:id="62" w:name="_Toc428306456"/>
      <w:bookmarkStart w:id="63" w:name="_Toc428306457"/>
      <w:bookmarkStart w:id="64" w:name="_Toc428306458"/>
      <w:bookmarkStart w:id="65" w:name="_Toc428306459"/>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C6089D">
        <w:rPr>
          <w:rFonts w:ascii="Calibri" w:hAnsi="Calibri" w:cs="Calibri"/>
          <w:sz w:val="24"/>
        </w:rPr>
        <w:t>Na hipótese de suspensão, cancelamento, modificação ou revogação da Oferta, o cronograma acima será alterado. Quaisquer comunicados ao mercado relativos a tais eventos relacionados à Oferta serão publicados e divulgados nos mesmos meios utilizados para publicação e divulgação deste Anúncio de Início, conforme abaixo indicados.</w:t>
      </w:r>
    </w:p>
    <w:p w14:paraId="024F246E" w14:textId="0629CA74" w:rsidR="00E80B84" w:rsidRPr="00D347EC" w:rsidRDefault="00D347EC" w:rsidP="00BE7828">
      <w:pPr>
        <w:pStyle w:val="Level1"/>
        <w:tabs>
          <w:tab w:val="clear" w:pos="680"/>
          <w:tab w:val="num" w:pos="426"/>
        </w:tabs>
        <w:spacing w:line="314" w:lineRule="auto"/>
        <w:rPr>
          <w:rFonts w:ascii="Calibri" w:hAnsi="Calibri" w:cs="Calibri"/>
          <w:caps/>
          <w:color w:val="203463"/>
          <w:sz w:val="28"/>
          <w:szCs w:val="28"/>
        </w:rPr>
      </w:pPr>
      <w:r w:rsidRPr="00D347EC">
        <w:rPr>
          <w:rFonts w:ascii="Calibri" w:hAnsi="Calibri" w:cs="Calibri"/>
          <w:caps/>
          <w:color w:val="203463"/>
          <w:sz w:val="28"/>
          <w:szCs w:val="28"/>
        </w:rPr>
        <w:t>PUBLICIDADE</w:t>
      </w:r>
    </w:p>
    <w:p w14:paraId="31354FF3" w14:textId="45ABE33F" w:rsidR="001C0B1F" w:rsidRPr="00C6089D" w:rsidRDefault="009A020C" w:rsidP="000B32BB">
      <w:pPr>
        <w:pStyle w:val="Body"/>
        <w:spacing w:line="276" w:lineRule="auto"/>
        <w:rPr>
          <w:rFonts w:ascii="Calibri" w:hAnsi="Calibri" w:cs="Calibri"/>
          <w:sz w:val="24"/>
        </w:rPr>
      </w:pPr>
      <w:r w:rsidRPr="00C6089D">
        <w:rPr>
          <w:rFonts w:ascii="Calibri" w:hAnsi="Calibri" w:cs="Calibri"/>
          <w:sz w:val="24"/>
        </w:rPr>
        <w:t>Todos os atos e decisões decorrentes da Emissão que, de qualquer forma, vierem a envolver, direta ou indiretamente, o interesse dos Debenturistas, deverão ser publicados sob a forma de “Aviso aos Debenturistas” no DOE</w:t>
      </w:r>
      <w:r w:rsidR="00B10679" w:rsidRPr="00365D60">
        <w:rPr>
          <w:rFonts w:ascii="Calibri" w:hAnsi="Calibri" w:cs="Calibri"/>
          <w:sz w:val="24"/>
        </w:rPr>
        <w:t>SP</w:t>
      </w:r>
      <w:r w:rsidRPr="00C6089D">
        <w:rPr>
          <w:rFonts w:ascii="Calibri" w:hAnsi="Calibri" w:cs="Calibri"/>
          <w:sz w:val="24"/>
        </w:rPr>
        <w:t xml:space="preserve"> e no jornal “</w:t>
      </w:r>
      <w:r w:rsidRPr="00C6089D">
        <w:rPr>
          <w:rFonts w:ascii="Calibri" w:hAnsi="Calibri" w:cs="Calibri"/>
          <w:color w:val="000000"/>
          <w:sz w:val="24"/>
        </w:rPr>
        <w:t>Valor Econômico”</w:t>
      </w:r>
      <w:r w:rsidRPr="00C6089D">
        <w:rPr>
          <w:rFonts w:ascii="Calibri" w:hAnsi="Calibri" w:cs="Calibri"/>
          <w:sz w:val="24"/>
        </w:rPr>
        <w:t xml:space="preserve">, utilizados pela Emissora para efetuar as publicações ordenadas pela Lei das Sociedades por Ações, observado que as publicações relacionadas à Oferta serão feitas nos termos da Instrução CVM 400. O “Aviso aos Debenturistas” também deverá ser divulgado nas páginas da rede mundial de computadores da Emissora, da B3 e da CVM. 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w:t>
      </w:r>
      <w:r w:rsidRPr="00C6089D">
        <w:rPr>
          <w:rFonts w:ascii="Calibri" w:hAnsi="Calibri" w:cs="Calibri"/>
          <w:sz w:val="24"/>
        </w:rPr>
        <w:lastRenderedPageBreak/>
        <w:t xml:space="preserve">Sociedades por Ações, podendo os Debenturistas verificar com o Agente Fiduciário sobre a eventual alteração do jornal de publicação. As divulgações relacionadas à Oferta </w:t>
      </w:r>
      <w:r w:rsidR="005953FF" w:rsidRPr="00C6089D">
        <w:rPr>
          <w:rFonts w:ascii="Calibri" w:hAnsi="Calibri" w:cs="Calibri"/>
          <w:sz w:val="24"/>
        </w:rPr>
        <w:t xml:space="preserve">foram e </w:t>
      </w:r>
      <w:r w:rsidRPr="00C6089D">
        <w:rPr>
          <w:rFonts w:ascii="Calibri" w:hAnsi="Calibri" w:cs="Calibri"/>
          <w:sz w:val="24"/>
        </w:rPr>
        <w:t>serão</w:t>
      </w:r>
      <w:r w:rsidR="005953FF" w:rsidRPr="00C6089D">
        <w:rPr>
          <w:rFonts w:ascii="Calibri" w:hAnsi="Calibri" w:cs="Calibri"/>
          <w:sz w:val="24"/>
        </w:rPr>
        <w:t>, conforme o caso,</w:t>
      </w:r>
      <w:r w:rsidRPr="00C6089D">
        <w:rPr>
          <w:rFonts w:ascii="Calibri" w:hAnsi="Calibri" w:cs="Calibri"/>
          <w:sz w:val="24"/>
        </w:rPr>
        <w:t xml:space="preserve"> feitas nos termos da Instrução CVM 400, sendo que todos os anúncios, aviso e demais atos relativos à Oferta, incluindo o Aviso ao Mercado, este Anúncio de Início e o Anúncio de Encerramento, </w:t>
      </w:r>
      <w:r w:rsidR="005953FF" w:rsidRPr="00C6089D">
        <w:rPr>
          <w:rFonts w:ascii="Calibri" w:hAnsi="Calibri" w:cs="Calibri"/>
          <w:sz w:val="24"/>
        </w:rPr>
        <w:t xml:space="preserve">foram ou </w:t>
      </w:r>
      <w:r w:rsidRPr="00C6089D">
        <w:rPr>
          <w:rFonts w:ascii="Calibri" w:hAnsi="Calibri" w:cs="Calibri"/>
          <w:sz w:val="24"/>
        </w:rPr>
        <w:t>serão</w:t>
      </w:r>
      <w:r w:rsidR="005953FF" w:rsidRPr="00C6089D">
        <w:rPr>
          <w:rFonts w:ascii="Calibri" w:hAnsi="Calibri" w:cs="Calibri"/>
          <w:sz w:val="24"/>
        </w:rPr>
        <w:t>, conforme o caso,</w:t>
      </w:r>
      <w:r w:rsidRPr="00C6089D">
        <w:rPr>
          <w:rFonts w:ascii="Calibri" w:hAnsi="Calibri" w:cs="Calibri"/>
          <w:sz w:val="24"/>
        </w:rPr>
        <w:t xml:space="preserve"> divulgados nas páginas da rede mundial de computadores da Emissora, do </w:t>
      </w:r>
      <w:r w:rsidR="00B10679" w:rsidRPr="00365D60">
        <w:rPr>
          <w:rFonts w:ascii="Calibri" w:hAnsi="Calibri" w:cs="Calibri"/>
          <w:sz w:val="24"/>
        </w:rPr>
        <w:t>Coordenador Líder</w:t>
      </w:r>
      <w:r w:rsidRPr="00C6089D">
        <w:rPr>
          <w:rFonts w:ascii="Calibri" w:hAnsi="Calibri" w:cs="Calibri"/>
          <w:sz w:val="24"/>
        </w:rPr>
        <w:t>, da B3 e da CVM, conforme o caso, observado o disposto na legislação e na regulamentação aplicável.</w:t>
      </w:r>
    </w:p>
    <w:p w14:paraId="6548FBC3" w14:textId="403938ED" w:rsidR="00E80B84" w:rsidRPr="00D347EC" w:rsidRDefault="00CC7807" w:rsidP="000B32BB">
      <w:pPr>
        <w:pStyle w:val="Level1"/>
        <w:tabs>
          <w:tab w:val="clear" w:pos="680"/>
          <w:tab w:val="num" w:pos="426"/>
        </w:tabs>
        <w:spacing w:line="276" w:lineRule="auto"/>
        <w:rPr>
          <w:rFonts w:ascii="Calibri" w:hAnsi="Calibri" w:cs="Calibri"/>
          <w:caps/>
          <w:color w:val="203463"/>
          <w:sz w:val="28"/>
          <w:szCs w:val="28"/>
        </w:rPr>
      </w:pPr>
      <w:bookmarkStart w:id="66" w:name="_Ref423287106"/>
      <w:r w:rsidRPr="00D347EC">
        <w:rPr>
          <w:rFonts w:ascii="Calibri" w:hAnsi="Calibri" w:cs="Calibri"/>
          <w:caps/>
          <w:color w:val="203463"/>
          <w:sz w:val="28"/>
          <w:szCs w:val="28"/>
        </w:rPr>
        <w:t>Divulgação de Avisos e Anúncios</w:t>
      </w:r>
      <w:r w:rsidR="00452EA9" w:rsidRPr="00D347EC">
        <w:rPr>
          <w:rFonts w:ascii="Calibri" w:hAnsi="Calibri" w:cs="Calibri"/>
          <w:caps/>
          <w:color w:val="203463"/>
          <w:sz w:val="28"/>
          <w:szCs w:val="28"/>
        </w:rPr>
        <w:t xml:space="preserve"> </w:t>
      </w:r>
      <w:r w:rsidRPr="00D347EC">
        <w:rPr>
          <w:rFonts w:ascii="Calibri" w:hAnsi="Calibri" w:cs="Calibri"/>
          <w:caps/>
          <w:color w:val="203463"/>
          <w:sz w:val="28"/>
          <w:szCs w:val="28"/>
        </w:rPr>
        <w:t>da Oferta</w:t>
      </w:r>
      <w:bookmarkEnd w:id="66"/>
    </w:p>
    <w:p w14:paraId="3BEF5A8E" w14:textId="2120B821" w:rsidR="00CC7807" w:rsidRPr="00C6089D" w:rsidRDefault="009A020C" w:rsidP="000B32BB">
      <w:pPr>
        <w:pStyle w:val="Body"/>
        <w:spacing w:line="276" w:lineRule="auto"/>
        <w:rPr>
          <w:rFonts w:ascii="Calibri" w:hAnsi="Calibri" w:cs="Calibri"/>
          <w:b/>
          <w:sz w:val="24"/>
        </w:rPr>
      </w:pPr>
      <w:r w:rsidRPr="00C6089D">
        <w:rPr>
          <w:rFonts w:ascii="Calibri" w:hAnsi="Calibri" w:cs="Calibri"/>
          <w:b/>
          <w:sz w:val="24"/>
        </w:rPr>
        <w:t xml:space="preserve">O AVISO AO MERCADO, ESTE ANÚNCIO DE INÍCIO, O ANÚNCIO DE ENCERRAMENTO, EVENTUAIS ANÚNCIOS DE RETIFICAÇÃO, BEM COMO TODO E QUALQUER AVISO OU COMUNICADO RELATIVO À OFERTA </w:t>
      </w:r>
      <w:r w:rsidR="002D32F3" w:rsidRPr="00C6089D">
        <w:rPr>
          <w:rFonts w:ascii="Calibri" w:hAnsi="Calibri" w:cs="Calibri"/>
          <w:b/>
          <w:sz w:val="24"/>
        </w:rPr>
        <w:t>FORAM OU SERÃO</w:t>
      </w:r>
      <w:r w:rsidRPr="00C6089D">
        <w:rPr>
          <w:rFonts w:ascii="Calibri" w:hAnsi="Calibri" w:cs="Calibri"/>
          <w:b/>
          <w:sz w:val="24"/>
        </w:rPr>
        <w:t xml:space="preserve"> DISPONIBILIZADOS</w:t>
      </w:r>
      <w:r w:rsidR="002D32F3" w:rsidRPr="00C6089D">
        <w:rPr>
          <w:rFonts w:ascii="Calibri" w:hAnsi="Calibri" w:cs="Calibri"/>
          <w:b/>
          <w:sz w:val="24"/>
        </w:rPr>
        <w:t>, CONFORME O CASO</w:t>
      </w:r>
      <w:r w:rsidRPr="00C6089D">
        <w:rPr>
          <w:rFonts w:ascii="Calibri" w:hAnsi="Calibri" w:cs="Calibri"/>
          <w:b/>
          <w:sz w:val="24"/>
        </w:rPr>
        <w:t>, ATÉ O ENCERRAMENTO DA OFERTA, NOS TERMOS DO ARTIGO 54-A DA INSTRUÇÃO CVM 400, NAS PÁGINAS NA REDE MUNDIAL DE COMPUTADORES DA EMISSORA, DO COORDENADOR</w:t>
      </w:r>
      <w:r w:rsidR="00B10679" w:rsidRPr="00365D60">
        <w:rPr>
          <w:rFonts w:ascii="Calibri" w:hAnsi="Calibri" w:cs="Calibri"/>
          <w:b/>
          <w:sz w:val="24"/>
        </w:rPr>
        <w:t xml:space="preserve"> LÍDER,</w:t>
      </w:r>
      <w:r w:rsidRPr="00C6089D">
        <w:rPr>
          <w:rFonts w:ascii="Calibri" w:hAnsi="Calibri" w:cs="Calibri"/>
          <w:b/>
          <w:sz w:val="24"/>
        </w:rPr>
        <w:t xml:space="preserve"> DA CVM E DA B3 NOS SEGUINTES ENDEREÇOS E PÁGINAS DA INTERNET:</w:t>
      </w:r>
    </w:p>
    <w:p w14:paraId="72CD474F" w14:textId="77777777" w:rsidR="00B10679" w:rsidRPr="00365D60" w:rsidRDefault="00B10679" w:rsidP="000B32BB">
      <w:pPr>
        <w:spacing w:after="140" w:line="276" w:lineRule="auto"/>
        <w:jc w:val="both"/>
        <w:rPr>
          <w:rFonts w:ascii="Calibri" w:hAnsi="Calibri" w:cs="Calibri"/>
          <w:b/>
          <w:kern w:val="20"/>
          <w:sz w:val="24"/>
        </w:rPr>
      </w:pPr>
      <w:r w:rsidRPr="00365D60">
        <w:rPr>
          <w:rFonts w:ascii="Calibri" w:hAnsi="Calibri" w:cs="Calibri"/>
          <w:b/>
          <w:kern w:val="20"/>
          <w:sz w:val="24"/>
        </w:rPr>
        <w:t>Emissora</w:t>
      </w:r>
    </w:p>
    <w:p w14:paraId="4835A7E6" w14:textId="77777777" w:rsidR="00B10679" w:rsidRPr="00365D60" w:rsidRDefault="00B10679" w:rsidP="000B32BB">
      <w:pPr>
        <w:widowControl w:val="0"/>
        <w:spacing w:after="140" w:line="276" w:lineRule="auto"/>
        <w:jc w:val="both"/>
        <w:rPr>
          <w:rFonts w:ascii="Calibri" w:eastAsia="Tahoma" w:hAnsi="Calibri" w:cs="Calibri"/>
          <w:b/>
          <w:spacing w:val="6"/>
          <w:sz w:val="24"/>
          <w:lang w:eastAsia="en-US"/>
        </w:rPr>
      </w:pPr>
      <w:r w:rsidRPr="00365D60">
        <w:rPr>
          <w:rFonts w:ascii="Calibri" w:eastAsia="Tahoma" w:hAnsi="Calibri" w:cs="Calibri"/>
          <w:b/>
          <w:spacing w:val="6"/>
          <w:sz w:val="24"/>
          <w:lang w:eastAsia="en-US"/>
        </w:rPr>
        <w:t>SÃO MARTINHO S.A.</w:t>
      </w:r>
    </w:p>
    <w:p w14:paraId="4D76F93F" w14:textId="0B9D6FCB" w:rsidR="00B10679" w:rsidRPr="00365D60" w:rsidRDefault="00BB0658" w:rsidP="000B32BB">
      <w:pPr>
        <w:spacing w:after="140" w:line="276" w:lineRule="auto"/>
        <w:jc w:val="both"/>
        <w:rPr>
          <w:rFonts w:ascii="Calibri" w:hAnsi="Calibri" w:cs="Calibri"/>
          <w:kern w:val="20"/>
          <w:sz w:val="24"/>
        </w:rPr>
      </w:pPr>
      <w:r w:rsidRPr="00365D60">
        <w:rPr>
          <w:rFonts w:ascii="Calibri" w:hAnsi="Calibri" w:cs="Calibri"/>
          <w:kern w:val="20"/>
          <w:sz w:val="24"/>
        </w:rPr>
        <w:t xml:space="preserve">https://ri.saomartinho.com.br/ (neste website, acessar </w:t>
      </w:r>
      <w:r w:rsidRPr="00C2688F">
        <w:rPr>
          <w:rFonts w:ascii="Calibri" w:hAnsi="Calibri" w:cs="Calibri"/>
          <w:sz w:val="24"/>
        </w:rPr>
        <w:t>“Informações aos Investidores”, “Documentos Entregues à CVM”</w:t>
      </w:r>
      <w:r w:rsidRPr="00365D60">
        <w:rPr>
          <w:rFonts w:ascii="Calibri" w:hAnsi="Calibri" w:cs="Calibri"/>
          <w:kern w:val="20"/>
          <w:sz w:val="24"/>
        </w:rPr>
        <w:t xml:space="preserve">, em seguida, </w:t>
      </w:r>
      <w:r w:rsidR="00873F4C">
        <w:rPr>
          <w:rFonts w:ascii="Calibri" w:hAnsi="Calibri" w:cs="Calibri"/>
          <w:kern w:val="20"/>
          <w:sz w:val="24"/>
        </w:rPr>
        <w:t xml:space="preserve">clicar </w:t>
      </w:r>
      <w:r w:rsidR="00873F4C" w:rsidRPr="00873F4C">
        <w:rPr>
          <w:rFonts w:ascii="Calibri" w:hAnsi="Calibri" w:cs="Calibri"/>
          <w:kern w:val="20"/>
          <w:sz w:val="24"/>
        </w:rPr>
        <w:t xml:space="preserve">“Filtrar por ano”, selecionar </w:t>
      </w:r>
      <w:r w:rsidR="00110045">
        <w:rPr>
          <w:rFonts w:ascii="Calibri" w:hAnsi="Calibri" w:cs="Calibri"/>
          <w:kern w:val="20"/>
          <w:sz w:val="24"/>
        </w:rPr>
        <w:t>“202</w:t>
      </w:r>
      <w:r w:rsidR="00DC2881">
        <w:rPr>
          <w:rFonts w:ascii="Calibri" w:hAnsi="Calibri" w:cs="Calibri"/>
          <w:kern w:val="20"/>
          <w:sz w:val="24"/>
        </w:rPr>
        <w:t>2</w:t>
      </w:r>
      <w:r w:rsidR="00110045">
        <w:rPr>
          <w:rFonts w:ascii="Calibri" w:hAnsi="Calibri" w:cs="Calibri"/>
          <w:kern w:val="20"/>
          <w:sz w:val="24"/>
        </w:rPr>
        <w:t>”</w:t>
      </w:r>
      <w:r w:rsidR="00873F4C" w:rsidRPr="00873F4C">
        <w:rPr>
          <w:rFonts w:ascii="Calibri" w:hAnsi="Calibri" w:cs="Calibri"/>
          <w:kern w:val="20"/>
          <w:sz w:val="24"/>
        </w:rPr>
        <w:t xml:space="preserve"> e, na página </w:t>
      </w:r>
      <w:r w:rsidR="000D662E" w:rsidRPr="00873F4C">
        <w:rPr>
          <w:rFonts w:ascii="Calibri" w:hAnsi="Calibri" w:cs="Calibri"/>
          <w:kern w:val="20"/>
          <w:sz w:val="24"/>
        </w:rPr>
        <w:t>seguinte</w:t>
      </w:r>
      <w:r w:rsidR="000D662E" w:rsidRPr="00873F4C" w:rsidDel="00873F4C">
        <w:rPr>
          <w:rFonts w:ascii="Calibri" w:hAnsi="Calibri" w:cs="Calibri"/>
          <w:kern w:val="20"/>
          <w:sz w:val="24"/>
        </w:rPr>
        <w:t>,</w:t>
      </w:r>
      <w:r w:rsidRPr="00365D60">
        <w:rPr>
          <w:rFonts w:ascii="Calibri" w:hAnsi="Calibri" w:cs="Calibri"/>
          <w:kern w:val="20"/>
          <w:sz w:val="24"/>
        </w:rPr>
        <w:t xml:space="preserve"> </w:t>
      </w:r>
      <w:r w:rsidR="00110045">
        <w:rPr>
          <w:rFonts w:ascii="Calibri" w:hAnsi="Calibri" w:cs="Calibri"/>
          <w:kern w:val="20"/>
          <w:sz w:val="24"/>
        </w:rPr>
        <w:t xml:space="preserve">na aba “Outros Documentos”, </w:t>
      </w:r>
      <w:r w:rsidRPr="00365D60">
        <w:rPr>
          <w:rFonts w:ascii="Calibri" w:hAnsi="Calibri" w:cs="Calibri"/>
          <w:kern w:val="20"/>
          <w:sz w:val="24"/>
        </w:rPr>
        <w:t>acessar o “Anúncio de Início”, o “Aviso ao Mercado”, o “Anúncio de Encerramento” e/ou eventuais outros anúncios, avisos e comunicados da Oferta</w:t>
      </w:r>
      <w:r w:rsidR="00B10679" w:rsidRPr="00365D60">
        <w:rPr>
          <w:rFonts w:ascii="Calibri" w:eastAsia="Tahoma" w:hAnsi="Calibri" w:cs="Calibri"/>
          <w:color w:val="000000"/>
          <w:spacing w:val="6"/>
          <w:kern w:val="20"/>
          <w:sz w:val="24"/>
        </w:rPr>
        <w:t>;</w:t>
      </w:r>
    </w:p>
    <w:p w14:paraId="6844C5CB" w14:textId="77777777" w:rsidR="00B10679" w:rsidRPr="00365D60" w:rsidRDefault="00B10679" w:rsidP="000B32BB">
      <w:pPr>
        <w:spacing w:after="140" w:line="276" w:lineRule="auto"/>
        <w:jc w:val="both"/>
        <w:rPr>
          <w:rFonts w:ascii="Calibri" w:hAnsi="Calibri" w:cs="Calibri"/>
          <w:b/>
          <w:kern w:val="20"/>
          <w:sz w:val="24"/>
        </w:rPr>
      </w:pPr>
      <w:r w:rsidRPr="00365D60">
        <w:rPr>
          <w:rFonts w:ascii="Calibri" w:hAnsi="Calibri" w:cs="Calibri"/>
          <w:b/>
          <w:kern w:val="20"/>
          <w:sz w:val="24"/>
        </w:rPr>
        <w:t>Coordenador Líder</w:t>
      </w:r>
    </w:p>
    <w:p w14:paraId="3164E9C5" w14:textId="77777777" w:rsidR="00B10679" w:rsidRPr="00365D60" w:rsidRDefault="00B10679" w:rsidP="000B32BB">
      <w:pPr>
        <w:spacing w:after="140" w:line="276" w:lineRule="auto"/>
        <w:jc w:val="both"/>
        <w:rPr>
          <w:rFonts w:ascii="Calibri" w:hAnsi="Calibri" w:cs="Calibri"/>
          <w:b/>
          <w:kern w:val="20"/>
          <w:sz w:val="24"/>
          <w:highlight w:val="cyan"/>
        </w:rPr>
      </w:pPr>
      <w:r w:rsidRPr="00365D60">
        <w:rPr>
          <w:rFonts w:ascii="Calibri" w:hAnsi="Calibri" w:cs="Calibri"/>
          <w:b/>
          <w:kern w:val="20"/>
          <w:sz w:val="24"/>
        </w:rPr>
        <w:t>XP INVESTIMENTOS CORRETORA DE CÂMBIO, TÍTULOS E VALORES MOBILIÁRIOS S.A.</w:t>
      </w:r>
    </w:p>
    <w:p w14:paraId="0768E90F" w14:textId="5131E2FA" w:rsidR="00B10679" w:rsidRPr="00365D60" w:rsidRDefault="00B10679" w:rsidP="000B32BB">
      <w:pPr>
        <w:spacing w:after="140" w:line="276" w:lineRule="auto"/>
        <w:jc w:val="both"/>
        <w:rPr>
          <w:rFonts w:ascii="Calibri" w:hAnsi="Calibri" w:cs="Calibri"/>
          <w:kern w:val="20"/>
          <w:sz w:val="24"/>
          <w:highlight w:val="cyan"/>
        </w:rPr>
      </w:pPr>
      <w:r w:rsidRPr="00365D60">
        <w:rPr>
          <w:rFonts w:ascii="Calibri" w:hAnsi="Calibri" w:cs="Calibri"/>
          <w:kern w:val="20"/>
          <w:sz w:val="24"/>
        </w:rPr>
        <w:t xml:space="preserve">https://institucional.xpi.com.br/investimentos/oferta-publica.aspx (neste website, acessar </w:t>
      </w:r>
      <w:r w:rsidR="00873F4C">
        <w:rPr>
          <w:rFonts w:ascii="Calibri" w:hAnsi="Calibri" w:cs="Calibri"/>
          <w:kern w:val="20"/>
          <w:sz w:val="24"/>
        </w:rPr>
        <w:t>“</w:t>
      </w:r>
      <w:r w:rsidR="00873F4C" w:rsidRPr="00873F4C">
        <w:rPr>
          <w:rFonts w:ascii="Calibri" w:hAnsi="Calibri" w:cs="Calibri"/>
          <w:kern w:val="20"/>
          <w:sz w:val="24"/>
        </w:rPr>
        <w:t xml:space="preserve">Debêntures São Martinho S.A. – 4ª Emissão de Debêntures da São Martinho S.A.”, em seguida clicar </w:t>
      </w:r>
      <w:r w:rsidR="000D662E" w:rsidRPr="00873F4C">
        <w:rPr>
          <w:rFonts w:ascii="Calibri" w:hAnsi="Calibri" w:cs="Calibri"/>
          <w:kern w:val="20"/>
          <w:sz w:val="24"/>
        </w:rPr>
        <w:t xml:space="preserve">em </w:t>
      </w:r>
      <w:r w:rsidR="000D662E" w:rsidRPr="00365D60">
        <w:rPr>
          <w:rFonts w:ascii="Calibri" w:hAnsi="Calibri" w:cs="Calibri"/>
          <w:kern w:val="20"/>
          <w:sz w:val="24"/>
        </w:rPr>
        <w:t>“</w:t>
      </w:r>
      <w:r w:rsidRPr="00365D60">
        <w:rPr>
          <w:rFonts w:ascii="Calibri" w:hAnsi="Calibri" w:cs="Calibri"/>
          <w:kern w:val="20"/>
          <w:sz w:val="24"/>
        </w:rPr>
        <w:t xml:space="preserve">Anúncio de Início”, </w:t>
      </w:r>
      <w:r w:rsidR="00873F4C">
        <w:rPr>
          <w:rFonts w:ascii="Calibri" w:hAnsi="Calibri" w:cs="Calibri"/>
          <w:kern w:val="20"/>
          <w:sz w:val="24"/>
        </w:rPr>
        <w:t>n</w:t>
      </w:r>
      <w:r w:rsidRPr="00365D60">
        <w:rPr>
          <w:rFonts w:ascii="Calibri" w:hAnsi="Calibri" w:cs="Calibri"/>
          <w:kern w:val="20"/>
          <w:sz w:val="24"/>
        </w:rPr>
        <w:t xml:space="preserve">o “Aviso ao Mercado”, </w:t>
      </w:r>
      <w:r w:rsidR="00873F4C">
        <w:rPr>
          <w:rFonts w:ascii="Calibri" w:hAnsi="Calibri" w:cs="Calibri"/>
          <w:kern w:val="20"/>
          <w:sz w:val="24"/>
        </w:rPr>
        <w:t>n</w:t>
      </w:r>
      <w:r w:rsidRPr="00365D60">
        <w:rPr>
          <w:rFonts w:ascii="Calibri" w:hAnsi="Calibri" w:cs="Calibri"/>
          <w:kern w:val="20"/>
          <w:sz w:val="24"/>
        </w:rPr>
        <w:t>o “Anúncio de Encerramento” e/ou eventuais outros anúncios, avisos e comunicados da Oferta).</w:t>
      </w:r>
    </w:p>
    <w:p w14:paraId="5EC1AAA8" w14:textId="685DA140" w:rsidR="00B10679" w:rsidRPr="00365D60" w:rsidRDefault="00B10679" w:rsidP="00B10679">
      <w:pPr>
        <w:spacing w:after="140" w:line="290" w:lineRule="auto"/>
        <w:jc w:val="both"/>
        <w:rPr>
          <w:rFonts w:ascii="Calibri" w:hAnsi="Calibri" w:cs="Calibri"/>
          <w:b/>
          <w:kern w:val="20"/>
          <w:sz w:val="24"/>
        </w:rPr>
      </w:pPr>
      <w:r w:rsidRPr="00365D60">
        <w:rPr>
          <w:rFonts w:ascii="Calibri" w:hAnsi="Calibri" w:cs="Calibri"/>
          <w:b/>
          <w:kern w:val="20"/>
          <w:sz w:val="24"/>
        </w:rPr>
        <w:t>COMISSÃO DE VALORES MOBILIÁRIOS</w:t>
      </w:r>
    </w:p>
    <w:p w14:paraId="53196B47" w14:textId="77777777" w:rsidR="003423E0" w:rsidRDefault="00B10679" w:rsidP="00B10679">
      <w:pPr>
        <w:spacing w:after="140" w:line="290" w:lineRule="auto"/>
        <w:jc w:val="both"/>
        <w:rPr>
          <w:rFonts w:ascii="Calibri" w:hAnsi="Calibri" w:cs="Calibri"/>
          <w:b/>
          <w:kern w:val="20"/>
          <w:sz w:val="24"/>
        </w:rPr>
      </w:pPr>
      <w:r w:rsidRPr="00365D60">
        <w:rPr>
          <w:rFonts w:ascii="Calibri" w:hAnsi="Calibri" w:cs="Calibri"/>
          <w:kern w:val="20"/>
          <w:sz w:val="24"/>
        </w:rPr>
        <w:t>www.cvm.gov.br</w:t>
      </w:r>
      <w:r w:rsidRPr="00365D60">
        <w:rPr>
          <w:rFonts w:ascii="Calibri" w:hAnsi="Calibri" w:cs="Calibri"/>
          <w:bCs/>
          <w:kern w:val="20"/>
          <w:sz w:val="24"/>
        </w:rPr>
        <w:t xml:space="preserve"> (neste website, acessar em “Informações de Regulados” ao lado esquerdo da tela, clicar em “Companhias”, clicar em “Informações Periódicas e Eventuais de Companhias”, clicar em “Informações periódicas e eventuais (ITR, </w:t>
      </w:r>
      <w:proofErr w:type="spellStart"/>
      <w:r w:rsidRPr="00365D60">
        <w:rPr>
          <w:rFonts w:ascii="Calibri" w:hAnsi="Calibri" w:cs="Calibri"/>
          <w:bCs/>
          <w:kern w:val="20"/>
          <w:sz w:val="24"/>
        </w:rPr>
        <w:t>DFs</w:t>
      </w:r>
      <w:proofErr w:type="spellEnd"/>
      <w:r w:rsidRPr="00365D60">
        <w:rPr>
          <w:rFonts w:ascii="Calibri" w:hAnsi="Calibri" w:cs="Calibri"/>
          <w:bCs/>
          <w:kern w:val="20"/>
          <w:sz w:val="24"/>
        </w:rPr>
        <w:t xml:space="preserve">, Fatos Relevantes, Comunicados ao Mercados, entre outros)” buscar por “SÃO MARTINHO S.A.” no campo </w:t>
      </w:r>
      <w:r w:rsidRPr="00365D60">
        <w:rPr>
          <w:rFonts w:ascii="Calibri" w:hAnsi="Calibri" w:cs="Calibri"/>
          <w:bCs/>
          <w:kern w:val="20"/>
          <w:sz w:val="24"/>
        </w:rPr>
        <w:lastRenderedPageBreak/>
        <w:t>disponível. Em seguida, acessar “SÃO MARTINHO S.A.”</w:t>
      </w:r>
      <w:r w:rsidRPr="00365D60">
        <w:rPr>
          <w:rFonts w:ascii="Calibri" w:eastAsia="Tahoma" w:hAnsi="Calibri" w:cs="Calibri"/>
          <w:spacing w:val="6"/>
          <w:kern w:val="20"/>
          <w:sz w:val="24"/>
        </w:rPr>
        <w:t>. Na página seguinte, selecionar o “Período de Entrega” desejado, no campo “Categoria” selecionar “</w:t>
      </w:r>
      <w:r w:rsidRPr="00365D60">
        <w:rPr>
          <w:rFonts w:ascii="Calibri" w:hAnsi="Calibri" w:cs="Calibri"/>
          <w:bCs/>
          <w:kern w:val="20"/>
          <w:sz w:val="24"/>
        </w:rPr>
        <w:t>Documentos de Oferta de Distribuição Pública</w:t>
      </w:r>
      <w:r w:rsidRPr="00365D60">
        <w:rPr>
          <w:rFonts w:ascii="Calibri" w:eastAsia="Tahoma" w:hAnsi="Calibri" w:cs="Calibri"/>
          <w:spacing w:val="6"/>
          <w:kern w:val="20"/>
          <w:sz w:val="24"/>
        </w:rPr>
        <w:t xml:space="preserve">” e clicar em “Consultar”. Na sequência, clicar em “Visualizar o Documento” </w:t>
      </w:r>
      <w:r w:rsidRPr="00365D60">
        <w:rPr>
          <w:rFonts w:ascii="Calibri" w:hAnsi="Calibri" w:cs="Calibri"/>
          <w:bCs/>
          <w:kern w:val="20"/>
          <w:sz w:val="24"/>
        </w:rPr>
        <w:t xml:space="preserve">do </w:t>
      </w:r>
      <w:r w:rsidRPr="00365D60">
        <w:rPr>
          <w:rFonts w:ascii="Calibri" w:hAnsi="Calibri" w:cs="Calibri"/>
          <w:kern w:val="20"/>
          <w:sz w:val="24"/>
        </w:rPr>
        <w:t>“Anúncio de Início”, o “Aviso ao Mercado”, o “Anúncio de Encerramento” e/ou eventuais outros anúncios, avisos e comunicados da Oferta).</w:t>
      </w:r>
    </w:p>
    <w:p w14:paraId="5495379F" w14:textId="4C6829D3" w:rsidR="00B10679" w:rsidRPr="00365D60" w:rsidRDefault="00B10679" w:rsidP="00B10679">
      <w:pPr>
        <w:spacing w:after="140" w:line="290" w:lineRule="auto"/>
        <w:jc w:val="both"/>
        <w:rPr>
          <w:rFonts w:ascii="Calibri" w:hAnsi="Calibri" w:cs="Calibri"/>
          <w:b/>
          <w:kern w:val="20"/>
          <w:sz w:val="24"/>
        </w:rPr>
      </w:pPr>
      <w:r w:rsidRPr="00365D60">
        <w:rPr>
          <w:rFonts w:ascii="Calibri" w:hAnsi="Calibri" w:cs="Calibri"/>
          <w:b/>
          <w:kern w:val="20"/>
          <w:sz w:val="24"/>
        </w:rPr>
        <w:t xml:space="preserve">B3 S.A. – BRASIL, BOLSA, BALCÃO – </w:t>
      </w:r>
      <w:r w:rsidR="00BB0658">
        <w:rPr>
          <w:rFonts w:ascii="Calibri" w:hAnsi="Calibri" w:cs="Calibri"/>
          <w:b/>
          <w:kern w:val="20"/>
          <w:sz w:val="24"/>
        </w:rPr>
        <w:t>BALCÃO B3</w:t>
      </w:r>
    </w:p>
    <w:p w14:paraId="7B83ADEB" w14:textId="31D66962" w:rsidR="00B10679" w:rsidRPr="00365D60" w:rsidRDefault="00B10679" w:rsidP="00B10679">
      <w:pPr>
        <w:spacing w:after="140" w:line="290" w:lineRule="auto"/>
        <w:jc w:val="both"/>
        <w:rPr>
          <w:rFonts w:ascii="Calibri" w:hAnsi="Calibri" w:cs="Calibri"/>
          <w:kern w:val="20"/>
          <w:sz w:val="24"/>
        </w:rPr>
      </w:pPr>
      <w:r w:rsidRPr="00365D60">
        <w:rPr>
          <w:rFonts w:ascii="Calibri" w:hAnsi="Calibri" w:cs="Calibri"/>
          <w:kern w:val="20"/>
          <w:sz w:val="24"/>
        </w:rPr>
        <w:t>http://www.b3.com.br/pt_br/produtos-e-servicos/negociacao/renda-variavel/empresas-listadas.htm (neste website, buscar por “</w:t>
      </w:r>
      <w:r w:rsidRPr="00365D60">
        <w:rPr>
          <w:rFonts w:ascii="Calibri" w:hAnsi="Calibri" w:cs="Calibri"/>
          <w:bCs/>
          <w:kern w:val="20"/>
          <w:sz w:val="24"/>
        </w:rPr>
        <w:t>SÃO MARTINHO S.A.</w:t>
      </w:r>
      <w:r w:rsidRPr="00365D60">
        <w:rPr>
          <w:rFonts w:ascii="Calibri" w:hAnsi="Calibri" w:cs="Calibri"/>
          <w:kern w:val="20"/>
          <w:sz w:val="24"/>
        </w:rPr>
        <w:t>” no campo disponível, em seguida acessar “</w:t>
      </w:r>
      <w:r w:rsidRPr="00365D60">
        <w:rPr>
          <w:rFonts w:ascii="Calibri" w:hAnsi="Calibri" w:cs="Calibri"/>
          <w:bCs/>
          <w:kern w:val="20"/>
          <w:sz w:val="24"/>
        </w:rPr>
        <w:t>SÃO MARTINHO S.A.</w:t>
      </w:r>
      <w:r w:rsidRPr="00365D60">
        <w:rPr>
          <w:rFonts w:ascii="Calibri" w:hAnsi="Calibri" w:cs="Calibri"/>
          <w:kern w:val="20"/>
          <w:sz w:val="24"/>
        </w:rPr>
        <w:t>”, posteriormente, clicar em “Informações Relevantes” e em seguida, selecionar o ano de 202</w:t>
      </w:r>
      <w:r w:rsidR="00DC2881">
        <w:rPr>
          <w:rFonts w:ascii="Calibri" w:hAnsi="Calibri" w:cs="Calibri"/>
          <w:kern w:val="20"/>
          <w:sz w:val="24"/>
        </w:rPr>
        <w:t>2</w:t>
      </w:r>
      <w:r w:rsidRPr="00365D60">
        <w:rPr>
          <w:rFonts w:ascii="Calibri" w:hAnsi="Calibri" w:cs="Calibri"/>
          <w:kern w:val="20"/>
          <w:sz w:val="24"/>
        </w:rPr>
        <w:t>, clicar em “Documentos de Oferta de Distribuição Pública” e acessar o “Anúncio de Início”, o “Aviso ao Mercado”, o “Anúncio de Encerramento” e/ou eventuais outros anúncios, avisos e comunicados da Oferta).</w:t>
      </w:r>
    </w:p>
    <w:p w14:paraId="2F7C8335" w14:textId="03F41952" w:rsidR="00CC7807" w:rsidRPr="00D347EC" w:rsidRDefault="00A67249" w:rsidP="00D347EC">
      <w:pPr>
        <w:pStyle w:val="Level1"/>
        <w:tabs>
          <w:tab w:val="clear" w:pos="680"/>
          <w:tab w:val="num" w:pos="426"/>
        </w:tabs>
        <w:rPr>
          <w:rFonts w:ascii="Calibri" w:hAnsi="Calibri" w:cs="Calibri"/>
          <w:caps/>
          <w:color w:val="203463"/>
          <w:sz w:val="28"/>
          <w:szCs w:val="28"/>
        </w:rPr>
      </w:pPr>
      <w:bookmarkStart w:id="67" w:name="_Ref423287027"/>
      <w:r w:rsidRPr="00D347EC">
        <w:rPr>
          <w:rFonts w:ascii="Calibri" w:hAnsi="Calibri" w:cs="Calibri"/>
          <w:caps/>
          <w:color w:val="203463"/>
          <w:sz w:val="28"/>
          <w:szCs w:val="28"/>
        </w:rPr>
        <w:t>Informações Adicionais</w:t>
      </w:r>
      <w:bookmarkEnd w:id="67"/>
    </w:p>
    <w:p w14:paraId="56C24EFC" w14:textId="3409092B" w:rsidR="00452EA9" w:rsidRPr="00C6089D" w:rsidRDefault="009A020C" w:rsidP="00452EA9">
      <w:pPr>
        <w:pStyle w:val="Level2"/>
        <w:numPr>
          <w:ilvl w:val="0"/>
          <w:numId w:val="0"/>
        </w:numPr>
        <w:rPr>
          <w:rFonts w:ascii="Calibri" w:hAnsi="Calibri" w:cs="Calibri"/>
          <w:sz w:val="24"/>
          <w:szCs w:val="24"/>
        </w:rPr>
      </w:pPr>
      <w:r w:rsidRPr="00C6089D">
        <w:rPr>
          <w:rFonts w:ascii="Calibri" w:hAnsi="Calibri" w:cs="Calibri"/>
          <w:sz w:val="24"/>
          <w:szCs w:val="24"/>
        </w:rPr>
        <w:t>As informações relativas à Emissora, às Debêntures e à Oferta estão detalhadas no Prospecto Definitivo e no Formulário de Referência.</w:t>
      </w:r>
    </w:p>
    <w:p w14:paraId="775D055E" w14:textId="73C0ABE1" w:rsidR="00245F43" w:rsidRPr="00C6089D" w:rsidRDefault="009A020C" w:rsidP="00245F43">
      <w:pPr>
        <w:pStyle w:val="Body"/>
        <w:rPr>
          <w:rFonts w:ascii="Calibri" w:hAnsi="Calibri" w:cs="Calibri"/>
          <w:sz w:val="24"/>
        </w:rPr>
      </w:pPr>
      <w:r w:rsidRPr="00C6089D">
        <w:rPr>
          <w:rFonts w:ascii="Calibri" w:hAnsi="Calibri" w:cs="Calibri"/>
          <w:sz w:val="24"/>
        </w:rPr>
        <w:t>Mais informações sobre a Emissão, a Oferta e as Debêntures poderão ser obtidas junto à Emissora e ao</w:t>
      </w:r>
      <w:r w:rsidR="00B10679" w:rsidRPr="00365D60">
        <w:rPr>
          <w:rFonts w:ascii="Calibri" w:hAnsi="Calibri" w:cs="Calibri"/>
          <w:sz w:val="24"/>
        </w:rPr>
        <w:t xml:space="preserve"> Coordenador Líder </w:t>
      </w:r>
      <w:r w:rsidRPr="00C6089D">
        <w:rPr>
          <w:rFonts w:ascii="Calibri" w:hAnsi="Calibri" w:cs="Calibri"/>
          <w:sz w:val="24"/>
        </w:rPr>
        <w:t>nos endereços e telefones abaixo mencionados.</w:t>
      </w:r>
    </w:p>
    <w:p w14:paraId="67755418" w14:textId="4C9C7A72" w:rsidR="009A020C" w:rsidRPr="00C6089D" w:rsidRDefault="009A020C" w:rsidP="00245F43">
      <w:pPr>
        <w:pStyle w:val="Body"/>
        <w:rPr>
          <w:rFonts w:ascii="Calibri" w:hAnsi="Calibri" w:cs="Calibri"/>
          <w:sz w:val="24"/>
        </w:rPr>
      </w:pPr>
      <w:r w:rsidRPr="00C6089D">
        <w:rPr>
          <w:rFonts w:ascii="Calibri" w:hAnsi="Calibri" w:cs="Calibri"/>
          <w:sz w:val="24"/>
        </w:rPr>
        <w:t xml:space="preserve">A subscrição e integralização das Debêntures apresentam certos riscos e possibilidades de perdas patrimoniais que devem ser cuidadosamente considerados antes da tomada de decisão de investimento. O Prospecto Definitivo e o Formulário de Referência, incorporado por referência ao Prospecto Definitivo, contêm informações adicionais e complementares </w:t>
      </w:r>
      <w:r w:rsidR="00F24326" w:rsidRPr="00C6089D">
        <w:rPr>
          <w:rFonts w:ascii="Calibri" w:hAnsi="Calibri" w:cs="Calibri"/>
          <w:sz w:val="24"/>
        </w:rPr>
        <w:t>a</w:t>
      </w:r>
      <w:r w:rsidRPr="00C6089D">
        <w:rPr>
          <w:rFonts w:ascii="Calibri" w:hAnsi="Calibri" w:cs="Calibri"/>
          <w:sz w:val="24"/>
        </w:rPr>
        <w:t xml:space="preserve"> </w:t>
      </w:r>
      <w:r w:rsidR="00F24326" w:rsidRPr="00C6089D">
        <w:rPr>
          <w:rFonts w:ascii="Calibri" w:hAnsi="Calibri" w:cs="Calibri"/>
          <w:sz w:val="24"/>
        </w:rPr>
        <w:t>este Anúncio de Início</w:t>
      </w:r>
      <w:r w:rsidRPr="00C6089D">
        <w:rPr>
          <w:rFonts w:ascii="Calibri" w:hAnsi="Calibri" w:cs="Calibri"/>
          <w:sz w:val="24"/>
        </w:rPr>
        <w:t xml:space="preserve">, que possibilitam aos investidores uma análise detalhada dos termos e condições da Oferta e dos riscos a ela inerentes. </w:t>
      </w:r>
    </w:p>
    <w:p w14:paraId="46A3CF99" w14:textId="37D2BCC4" w:rsidR="00245F43" w:rsidRPr="00C6089D" w:rsidRDefault="009A020C" w:rsidP="00245F43">
      <w:pPr>
        <w:pStyle w:val="Body"/>
        <w:rPr>
          <w:rFonts w:ascii="Calibri" w:hAnsi="Calibri" w:cs="Calibri"/>
          <w:b/>
          <w:sz w:val="24"/>
        </w:rPr>
      </w:pPr>
      <w:r w:rsidRPr="00C6089D">
        <w:rPr>
          <w:rFonts w:ascii="Calibri" w:hAnsi="Calibri" w:cs="Calibri"/>
          <w:b/>
          <w:sz w:val="24"/>
        </w:rPr>
        <w:t>É recomendada aos investidores a leitura do Prospecto Definitivo e do Formulário de Referência, incorporado por referência ao Prospecto Definitivo, em especial a seção “Fatores de Risco Relacionados à Oferta e às Debêntures”, constante do Prospecto Definitivo, bem como o item “4. Fatores de Risco” constante do Formulário de Referência, incorporado por referência ao Prospecto Definitivo, antes da tomada de qualquer decisão de investimento.</w:t>
      </w:r>
    </w:p>
    <w:p w14:paraId="15600284" w14:textId="0FD0F4F8" w:rsidR="00245F43" w:rsidRPr="00C6089D" w:rsidRDefault="009A020C" w:rsidP="00245F43">
      <w:pPr>
        <w:pStyle w:val="Body"/>
        <w:rPr>
          <w:rFonts w:ascii="Calibri" w:hAnsi="Calibri" w:cs="Calibri"/>
          <w:sz w:val="24"/>
        </w:rPr>
      </w:pPr>
      <w:r w:rsidRPr="00C6089D">
        <w:rPr>
          <w:rFonts w:ascii="Calibri" w:hAnsi="Calibri" w:cs="Calibri"/>
          <w:sz w:val="24"/>
        </w:rPr>
        <w:t xml:space="preserve">Os investidores que desejarem obter o exemplar do Prospecto Definitivo ou informações adicionais sobre a Oferta deverão se dirigir, a partir da data de divulgação </w:t>
      </w:r>
      <w:r w:rsidR="00F24326" w:rsidRPr="00C6089D">
        <w:rPr>
          <w:rFonts w:ascii="Calibri" w:hAnsi="Calibri" w:cs="Calibri"/>
          <w:sz w:val="24"/>
        </w:rPr>
        <w:t xml:space="preserve">deste Anúncio de </w:t>
      </w:r>
      <w:r w:rsidR="00F24326" w:rsidRPr="00C6089D">
        <w:rPr>
          <w:rFonts w:ascii="Calibri" w:hAnsi="Calibri" w:cs="Calibri"/>
          <w:sz w:val="24"/>
        </w:rPr>
        <w:lastRenderedPageBreak/>
        <w:t>Início</w:t>
      </w:r>
      <w:r w:rsidRPr="00C6089D">
        <w:rPr>
          <w:rFonts w:ascii="Calibri" w:hAnsi="Calibri" w:cs="Calibri"/>
          <w:sz w:val="24"/>
        </w:rPr>
        <w:t>, aos seguintes endereços e página da rede mundial de computadores da Emissora, do</w:t>
      </w:r>
      <w:r w:rsidR="00B10679" w:rsidRPr="00365D60">
        <w:rPr>
          <w:rFonts w:ascii="Calibri" w:hAnsi="Calibri" w:cs="Calibri"/>
          <w:sz w:val="24"/>
        </w:rPr>
        <w:t xml:space="preserve"> Coordenador Líder</w:t>
      </w:r>
      <w:r w:rsidRPr="00C6089D">
        <w:rPr>
          <w:rFonts w:ascii="Calibri" w:hAnsi="Calibri" w:cs="Calibri"/>
          <w:sz w:val="24"/>
        </w:rPr>
        <w:t>, da CVM e da B3:</w:t>
      </w:r>
    </w:p>
    <w:p w14:paraId="6192A92B" w14:textId="0561F24F" w:rsidR="00B10679" w:rsidRPr="00365D60" w:rsidRDefault="00B10679" w:rsidP="00B10679">
      <w:pPr>
        <w:pStyle w:val="Body"/>
        <w:rPr>
          <w:rFonts w:ascii="Calibri" w:hAnsi="Calibri" w:cs="Calibri"/>
          <w:b/>
          <w:sz w:val="24"/>
        </w:rPr>
      </w:pPr>
      <w:r w:rsidRPr="00365D60">
        <w:rPr>
          <w:rFonts w:ascii="Calibri" w:hAnsi="Calibri" w:cs="Calibri"/>
          <w:b/>
          <w:sz w:val="24"/>
        </w:rPr>
        <w:t>Emissora</w:t>
      </w:r>
    </w:p>
    <w:p w14:paraId="5270C2AB" w14:textId="099595A5" w:rsidR="00B10679" w:rsidRPr="00365D60" w:rsidRDefault="00B10679" w:rsidP="00945B8F">
      <w:pPr>
        <w:pStyle w:val="Body"/>
        <w:widowControl w:val="0"/>
        <w:jc w:val="left"/>
        <w:rPr>
          <w:rFonts w:ascii="Calibri" w:hAnsi="Calibri" w:cs="Calibri"/>
          <w:sz w:val="24"/>
        </w:rPr>
      </w:pPr>
      <w:r w:rsidRPr="00365D60">
        <w:rPr>
          <w:rFonts w:ascii="Calibri" w:hAnsi="Calibri" w:cs="Calibri"/>
          <w:b/>
          <w:sz w:val="24"/>
        </w:rPr>
        <w:t>SÃO MARTINHO S.A.</w:t>
      </w:r>
      <w:r w:rsidRPr="00365D60">
        <w:rPr>
          <w:rFonts w:ascii="Calibri" w:hAnsi="Calibri" w:cs="Calibri"/>
          <w:sz w:val="24"/>
        </w:rPr>
        <w:br/>
        <w:t xml:space="preserve">Rua Geraldo </w:t>
      </w:r>
      <w:proofErr w:type="spellStart"/>
      <w:r w:rsidRPr="00365D60">
        <w:rPr>
          <w:rFonts w:ascii="Calibri" w:hAnsi="Calibri" w:cs="Calibri"/>
          <w:sz w:val="24"/>
        </w:rPr>
        <w:t>Flausino</w:t>
      </w:r>
      <w:proofErr w:type="spellEnd"/>
      <w:r w:rsidRPr="00365D60">
        <w:rPr>
          <w:rFonts w:ascii="Calibri" w:hAnsi="Calibri" w:cs="Calibri"/>
          <w:sz w:val="24"/>
        </w:rPr>
        <w:t xml:space="preserve"> Gomes, 61</w:t>
      </w:r>
      <w:r w:rsidRPr="00365D60">
        <w:rPr>
          <w:rFonts w:ascii="Calibri" w:hAnsi="Calibri" w:cs="Calibri"/>
          <w:sz w:val="24"/>
        </w:rPr>
        <w:br/>
        <w:t>CEP 04575-060 - São Paulo – SP</w:t>
      </w:r>
      <w:r w:rsidRPr="00365D60">
        <w:rPr>
          <w:rFonts w:ascii="Calibri" w:hAnsi="Calibri" w:cs="Calibri"/>
          <w:sz w:val="24"/>
        </w:rPr>
        <w:br/>
        <w:t>At.: Cristiane Mendes Pigatto</w:t>
      </w:r>
      <w:r w:rsidRPr="00365D60">
        <w:rPr>
          <w:rFonts w:ascii="Calibri" w:hAnsi="Calibri" w:cs="Calibri"/>
          <w:sz w:val="24"/>
        </w:rPr>
        <w:br/>
        <w:t>Telefone: (11) 2105-4100</w:t>
      </w:r>
      <w:r w:rsidRPr="00365D60">
        <w:rPr>
          <w:rFonts w:ascii="Calibri" w:hAnsi="Calibri" w:cs="Calibri"/>
          <w:sz w:val="24"/>
        </w:rPr>
        <w:br/>
        <w:t>E-mail: cristiane.pigatto@saomartinho.com.br</w:t>
      </w:r>
      <w:r w:rsidRPr="00365D60">
        <w:rPr>
          <w:rFonts w:ascii="Calibri" w:hAnsi="Calibri" w:cs="Calibri"/>
          <w:sz w:val="24"/>
        </w:rPr>
        <w:br/>
        <w:t>Website: https://ri.saomartinho.com.br/</w:t>
      </w:r>
      <w:r w:rsidRPr="00365D60">
        <w:rPr>
          <w:rFonts w:ascii="Calibri" w:hAnsi="Calibri" w:cs="Calibri"/>
          <w:sz w:val="24"/>
        </w:rPr>
        <w:br/>
        <w:t xml:space="preserve">Link de acesso ao Prospecto Preliminar: https://ri.saomartinho.com.br/ </w:t>
      </w:r>
      <w:r w:rsidR="00873F4C">
        <w:rPr>
          <w:rFonts w:ascii="Calibri" w:hAnsi="Calibri" w:cs="Calibri"/>
          <w:sz w:val="24"/>
        </w:rPr>
        <w:t>(</w:t>
      </w:r>
      <w:r w:rsidR="00873F4C" w:rsidRPr="00873F4C">
        <w:rPr>
          <w:rFonts w:ascii="Calibri" w:hAnsi="Calibri" w:cs="Calibri"/>
          <w:sz w:val="24"/>
        </w:rPr>
        <w:t xml:space="preserve">neste website, acessar “Informações aos Investidores”, “Documentos Entregues à CVM”, em seguida, </w:t>
      </w:r>
      <w:r w:rsidR="00110045">
        <w:rPr>
          <w:rFonts w:ascii="Calibri" w:hAnsi="Calibri" w:cs="Calibri"/>
          <w:sz w:val="24"/>
        </w:rPr>
        <w:t xml:space="preserve">clica em “Filtrar por ano”, </w:t>
      </w:r>
      <w:r w:rsidR="00873F4C" w:rsidRPr="00873F4C">
        <w:rPr>
          <w:rFonts w:ascii="Calibri" w:hAnsi="Calibri" w:cs="Calibri"/>
          <w:sz w:val="24"/>
        </w:rPr>
        <w:t>selecionar “202</w:t>
      </w:r>
      <w:r w:rsidR="00DC2881">
        <w:rPr>
          <w:rFonts w:ascii="Calibri" w:hAnsi="Calibri" w:cs="Calibri"/>
          <w:sz w:val="24"/>
        </w:rPr>
        <w:t>2</w:t>
      </w:r>
      <w:r w:rsidR="00873F4C" w:rsidRPr="00873F4C">
        <w:rPr>
          <w:rFonts w:ascii="Calibri" w:hAnsi="Calibri" w:cs="Calibri"/>
          <w:sz w:val="24"/>
        </w:rPr>
        <w:t>” e, na página seguint</w:t>
      </w:r>
      <w:r w:rsidR="004D7752">
        <w:rPr>
          <w:rFonts w:ascii="Calibri" w:hAnsi="Calibri" w:cs="Calibri"/>
          <w:sz w:val="24"/>
        </w:rPr>
        <w:t>e</w:t>
      </w:r>
      <w:r w:rsidR="00873F4C" w:rsidRPr="00873F4C">
        <w:rPr>
          <w:rFonts w:ascii="Calibri" w:hAnsi="Calibri" w:cs="Calibri"/>
          <w:sz w:val="24"/>
        </w:rPr>
        <w:t>, acessar o “</w:t>
      </w:r>
      <w:r w:rsidR="004D7752">
        <w:rPr>
          <w:rFonts w:ascii="Calibri" w:hAnsi="Calibri" w:cs="Calibri"/>
          <w:sz w:val="24"/>
        </w:rPr>
        <w:t>Prospecto Preliminar</w:t>
      </w:r>
      <w:r w:rsidR="00873F4C" w:rsidRPr="00873F4C">
        <w:rPr>
          <w:rFonts w:ascii="Calibri" w:hAnsi="Calibri" w:cs="Calibri"/>
          <w:sz w:val="24"/>
        </w:rPr>
        <w:t>”</w:t>
      </w:r>
      <w:r w:rsidR="004D7752">
        <w:rPr>
          <w:rFonts w:ascii="Calibri" w:hAnsi="Calibri" w:cs="Calibri"/>
          <w:sz w:val="24"/>
        </w:rPr>
        <w:t>)</w:t>
      </w:r>
      <w:r w:rsidR="00110045">
        <w:rPr>
          <w:rFonts w:ascii="Calibri" w:hAnsi="Calibri" w:cs="Calibri"/>
          <w:sz w:val="24"/>
        </w:rPr>
        <w:t>.</w:t>
      </w:r>
    </w:p>
    <w:p w14:paraId="4AE8F11D" w14:textId="77777777" w:rsidR="00B10679" w:rsidRPr="00365D60" w:rsidRDefault="00B10679" w:rsidP="00B10679">
      <w:pPr>
        <w:pStyle w:val="Body"/>
        <w:rPr>
          <w:rFonts w:ascii="Calibri" w:hAnsi="Calibri" w:cs="Calibri"/>
          <w:b/>
          <w:sz w:val="24"/>
        </w:rPr>
      </w:pPr>
      <w:r w:rsidRPr="00365D60">
        <w:rPr>
          <w:rFonts w:ascii="Calibri" w:hAnsi="Calibri" w:cs="Calibri"/>
          <w:b/>
          <w:sz w:val="24"/>
        </w:rPr>
        <w:t>Coordenador Líder</w:t>
      </w:r>
    </w:p>
    <w:p w14:paraId="6576BAF4" w14:textId="545995C6" w:rsidR="00B10679" w:rsidRPr="00365D60" w:rsidRDefault="00B10679" w:rsidP="00945B8F">
      <w:pPr>
        <w:pStyle w:val="Body"/>
        <w:jc w:val="left"/>
        <w:rPr>
          <w:rFonts w:ascii="Calibri" w:hAnsi="Calibri" w:cs="Calibri"/>
          <w:sz w:val="24"/>
        </w:rPr>
      </w:pPr>
      <w:r w:rsidRPr="00365D60">
        <w:rPr>
          <w:rFonts w:ascii="Calibri" w:hAnsi="Calibri" w:cs="Calibri"/>
          <w:b/>
          <w:sz w:val="24"/>
        </w:rPr>
        <w:t>XP INVESTIMENTOS CORRETORA DE CÂMBIO, TÍTULOS E VALORES MOBILIÁRIOS S.A.</w:t>
      </w:r>
      <w:r w:rsidRPr="00365D60">
        <w:rPr>
          <w:rFonts w:ascii="Calibri" w:hAnsi="Calibri" w:cs="Calibri"/>
          <w:sz w:val="24"/>
        </w:rPr>
        <w:br/>
        <w:t>Av. Juscelino Kubitscheck 1909 – Torre Sul 30º andar</w:t>
      </w:r>
      <w:r w:rsidRPr="00365D60">
        <w:rPr>
          <w:rFonts w:ascii="Calibri" w:hAnsi="Calibri" w:cs="Calibri"/>
          <w:sz w:val="24"/>
        </w:rPr>
        <w:br/>
        <w:t xml:space="preserve">CEP 04543-907 – São Paulo, SP </w:t>
      </w:r>
      <w:r w:rsidRPr="00365D60">
        <w:rPr>
          <w:rFonts w:ascii="Calibri" w:hAnsi="Calibri" w:cs="Calibri"/>
          <w:sz w:val="24"/>
        </w:rPr>
        <w:br/>
        <w:t>At.: Departamento Jurídico e DCM</w:t>
      </w:r>
      <w:r w:rsidRPr="00365D60">
        <w:rPr>
          <w:rFonts w:ascii="Calibri" w:hAnsi="Calibri" w:cs="Calibri"/>
          <w:sz w:val="24"/>
        </w:rPr>
        <w:br/>
        <w:t>Tel.: +55 (11) 4871-4378</w:t>
      </w:r>
      <w:r w:rsidRPr="00365D60">
        <w:rPr>
          <w:rFonts w:ascii="Calibri" w:hAnsi="Calibri" w:cs="Calibri"/>
          <w:sz w:val="24"/>
        </w:rPr>
        <w:br/>
        <w:t>E-mail: juridicomc@xpi.com.br / dcm@xpi.com.br</w:t>
      </w:r>
      <w:r w:rsidRPr="00365D60">
        <w:rPr>
          <w:rFonts w:ascii="Calibri" w:hAnsi="Calibri" w:cs="Calibri"/>
          <w:sz w:val="24"/>
        </w:rPr>
        <w:br/>
        <w:t>Website: www.xpi.com.br</w:t>
      </w:r>
      <w:r w:rsidRPr="00365D60">
        <w:rPr>
          <w:rFonts w:ascii="Calibri" w:hAnsi="Calibri" w:cs="Calibri"/>
          <w:sz w:val="24"/>
        </w:rPr>
        <w:br/>
        <w:t xml:space="preserve">Link de acesso ao Prospecto Preliminar: https://institucional.xpi.com.br/investimentos/oferta-publica.aspx (neste website, acessar </w:t>
      </w:r>
      <w:r w:rsidR="00873F4C" w:rsidRPr="00873F4C">
        <w:rPr>
          <w:rFonts w:ascii="Calibri" w:hAnsi="Calibri" w:cs="Calibri"/>
          <w:sz w:val="24"/>
        </w:rPr>
        <w:t>“Debêntures São Martinho S.A. – 4ª Emissão de Debêntures da São Martinho S.A.”</w:t>
      </w:r>
      <w:r w:rsidR="00873F4C">
        <w:rPr>
          <w:rFonts w:ascii="Calibri" w:hAnsi="Calibri" w:cs="Calibri"/>
          <w:sz w:val="24"/>
        </w:rPr>
        <w:t xml:space="preserve"> </w:t>
      </w:r>
      <w:r w:rsidRPr="00365D60">
        <w:rPr>
          <w:rFonts w:ascii="Calibri" w:hAnsi="Calibri" w:cs="Calibri"/>
          <w:sz w:val="24"/>
        </w:rPr>
        <w:t>e, em seguida, realizar o download do Prospecto Preliminar).</w:t>
      </w:r>
      <w:r w:rsidR="005816FD" w:rsidRPr="005816FD" w:rsidDel="009E62BA">
        <w:rPr>
          <w:rStyle w:val="Refdenotaderodap"/>
          <w:rFonts w:cs="Calibri"/>
          <w:sz w:val="24"/>
        </w:rPr>
        <w:t xml:space="preserve"> </w:t>
      </w:r>
    </w:p>
    <w:p w14:paraId="16EEFF2E" w14:textId="640EFD65" w:rsidR="00B10679" w:rsidRPr="00365D60" w:rsidRDefault="00B10679" w:rsidP="00C738AA">
      <w:pPr>
        <w:pStyle w:val="Body"/>
        <w:rPr>
          <w:rFonts w:ascii="Calibri" w:hAnsi="Calibri" w:cs="Calibri"/>
          <w:sz w:val="24"/>
        </w:rPr>
      </w:pPr>
      <w:r w:rsidRPr="00365D60">
        <w:rPr>
          <w:rFonts w:ascii="Calibri" w:hAnsi="Calibri" w:cs="Calibri"/>
          <w:b/>
          <w:sz w:val="24"/>
        </w:rPr>
        <w:t>CVM</w:t>
      </w:r>
    </w:p>
    <w:p w14:paraId="69C047B3" w14:textId="3E5E4689" w:rsidR="00B10679" w:rsidRPr="00365D60" w:rsidRDefault="00B10679" w:rsidP="00945B8F">
      <w:pPr>
        <w:pStyle w:val="Body"/>
        <w:jc w:val="left"/>
        <w:rPr>
          <w:rFonts w:ascii="Calibri" w:hAnsi="Calibri" w:cs="Calibri"/>
          <w:b/>
          <w:bCs/>
          <w:sz w:val="24"/>
        </w:rPr>
      </w:pPr>
      <w:r w:rsidRPr="00365D60">
        <w:rPr>
          <w:rFonts w:ascii="Calibri" w:hAnsi="Calibri" w:cs="Calibri"/>
          <w:b/>
          <w:sz w:val="24"/>
        </w:rPr>
        <w:t>COMISSÃO DE VALORES MOBILIÁRIOS – CVM</w:t>
      </w:r>
      <w:r w:rsidRPr="00365D60">
        <w:rPr>
          <w:rFonts w:ascii="Calibri" w:hAnsi="Calibri" w:cs="Calibri"/>
          <w:b/>
          <w:sz w:val="24"/>
        </w:rPr>
        <w:br/>
      </w:r>
      <w:r w:rsidRPr="00365D60">
        <w:rPr>
          <w:rFonts w:ascii="Calibri" w:hAnsi="Calibri" w:cs="Calibri"/>
          <w:sz w:val="24"/>
        </w:rPr>
        <w:t xml:space="preserve">Rua Sete de Setembro, nº 111, 5º andar </w:t>
      </w:r>
      <w:r w:rsidRPr="00365D60">
        <w:rPr>
          <w:rFonts w:ascii="Calibri" w:hAnsi="Calibri" w:cs="Calibri"/>
          <w:sz w:val="24"/>
        </w:rPr>
        <w:br/>
      </w:r>
      <w:r w:rsidRPr="00365D60">
        <w:rPr>
          <w:rFonts w:ascii="Calibri" w:hAnsi="Calibri" w:cs="Calibri"/>
          <w:bCs/>
          <w:sz w:val="24"/>
          <w:lang w:eastAsia="pt-BR"/>
        </w:rPr>
        <w:t xml:space="preserve">CEP </w:t>
      </w:r>
      <w:r w:rsidRPr="00365D60">
        <w:rPr>
          <w:rFonts w:ascii="Calibri" w:hAnsi="Calibri" w:cs="Calibri"/>
          <w:sz w:val="24"/>
          <w:lang w:eastAsia="pt-BR"/>
        </w:rPr>
        <w:t xml:space="preserve">20159-900 – </w:t>
      </w:r>
      <w:r w:rsidRPr="00365D60">
        <w:rPr>
          <w:rFonts w:ascii="Calibri" w:hAnsi="Calibri" w:cs="Calibri"/>
          <w:sz w:val="24"/>
        </w:rPr>
        <w:t>Rio de Janeiro, RJ</w:t>
      </w:r>
      <w:r w:rsidRPr="00365D60">
        <w:rPr>
          <w:rFonts w:ascii="Calibri" w:hAnsi="Calibri" w:cs="Calibri"/>
          <w:sz w:val="24"/>
        </w:rPr>
        <w:br/>
        <w:t>e</w:t>
      </w:r>
      <w:r w:rsidR="00B16C7E">
        <w:rPr>
          <w:rFonts w:ascii="Calibri" w:hAnsi="Calibri" w:cs="Calibri"/>
          <w:sz w:val="24"/>
        </w:rPr>
        <w:t xml:space="preserve"> </w:t>
      </w:r>
      <w:r w:rsidRPr="00365D60">
        <w:rPr>
          <w:rFonts w:ascii="Calibri" w:hAnsi="Calibri" w:cs="Calibri"/>
          <w:sz w:val="24"/>
        </w:rPr>
        <w:br/>
        <w:t xml:space="preserve">Rua Cincinato Braga, nº 340, 2º, 3º e 4º andares </w:t>
      </w:r>
      <w:r w:rsidRPr="00365D60">
        <w:rPr>
          <w:rFonts w:ascii="Calibri" w:hAnsi="Calibri" w:cs="Calibri"/>
          <w:sz w:val="24"/>
        </w:rPr>
        <w:br/>
      </w:r>
      <w:r w:rsidRPr="00365D60">
        <w:rPr>
          <w:rFonts w:ascii="Calibri" w:hAnsi="Calibri" w:cs="Calibri"/>
          <w:sz w:val="24"/>
          <w:lang w:eastAsia="pt-BR"/>
        </w:rPr>
        <w:t xml:space="preserve">CEP 01333-010 – </w:t>
      </w:r>
      <w:r w:rsidRPr="00365D60">
        <w:rPr>
          <w:rFonts w:ascii="Calibri" w:hAnsi="Calibri" w:cs="Calibri"/>
          <w:sz w:val="24"/>
        </w:rPr>
        <w:t xml:space="preserve">São Paulo, SP </w:t>
      </w:r>
      <w:r w:rsidRPr="00365D60">
        <w:rPr>
          <w:rFonts w:ascii="Calibri" w:hAnsi="Calibri" w:cs="Calibri"/>
          <w:sz w:val="24"/>
        </w:rPr>
        <w:br/>
        <w:t>Link de acesso ao Prospecto Preliminar: www.cvm.gov.br</w:t>
      </w:r>
      <w:r w:rsidRPr="00365D60">
        <w:rPr>
          <w:rFonts w:ascii="Calibri" w:hAnsi="Calibri" w:cs="Calibri"/>
          <w:bCs/>
          <w:sz w:val="24"/>
        </w:rPr>
        <w:t xml:space="preserve"> (</w:t>
      </w:r>
      <w:r w:rsidR="00AE514E" w:rsidRPr="00AE514E">
        <w:rPr>
          <w:rFonts w:ascii="Calibri" w:hAnsi="Calibri" w:cs="Calibri"/>
          <w:bCs/>
          <w:sz w:val="24"/>
        </w:rPr>
        <w:t xml:space="preserve">neste website, acessar em </w:t>
      </w:r>
      <w:r w:rsidR="00AE514E" w:rsidRPr="00AE514E">
        <w:rPr>
          <w:rFonts w:ascii="Calibri" w:hAnsi="Calibri" w:cs="Calibri"/>
          <w:bCs/>
          <w:sz w:val="24"/>
        </w:rPr>
        <w:lastRenderedPageBreak/>
        <w:t xml:space="preserve">“Informações de Regulados” ao lado esquerdo da tela, clicar em “Companhias”, clicar em “Informações Periódicas e Eventuais de Companhias”, clicar em “Informações periódicas e eventuais (ITR, </w:t>
      </w:r>
      <w:proofErr w:type="spellStart"/>
      <w:r w:rsidR="00AE514E" w:rsidRPr="00AE514E">
        <w:rPr>
          <w:rFonts w:ascii="Calibri" w:hAnsi="Calibri" w:cs="Calibri"/>
          <w:bCs/>
          <w:sz w:val="24"/>
        </w:rPr>
        <w:t>DFs</w:t>
      </w:r>
      <w:proofErr w:type="spellEnd"/>
      <w:r w:rsidR="00AE514E" w:rsidRPr="00AE514E">
        <w:rPr>
          <w:rFonts w:ascii="Calibri" w:hAnsi="Calibri" w:cs="Calibri"/>
          <w:bCs/>
          <w:sz w:val="24"/>
        </w:rPr>
        <w:t>, Fatos Relevantes, Comunicados ao Mercados, entre outros)” buscar por “SÃO MARTINHO S.A.” no campo disponível. Em seguida, acessar SÃO MARTINHO S.A.”. Na página seguinte, selecionar o “Período de Entrega” desejado, no campo “Categoria” selecionar “Documentos de Oferta de Distribuição Pública” e clicar em “Consultar”. Na sequência, clicar em “Visualizar o Documento” do “Prospecto Preliminar” com a data mais recente</w:t>
      </w:r>
      <w:r w:rsidRPr="00365D60">
        <w:rPr>
          <w:rFonts w:ascii="Calibri" w:hAnsi="Calibri" w:cs="Calibri"/>
          <w:sz w:val="24"/>
        </w:rPr>
        <w:t>).</w:t>
      </w:r>
    </w:p>
    <w:p w14:paraId="108B7C84" w14:textId="77777777" w:rsidR="00B10679" w:rsidRPr="00365D60" w:rsidRDefault="00B10679" w:rsidP="00B10679">
      <w:pPr>
        <w:pStyle w:val="Body"/>
        <w:rPr>
          <w:rFonts w:ascii="Calibri" w:hAnsi="Calibri" w:cs="Calibri"/>
          <w:b/>
          <w:bCs/>
          <w:sz w:val="24"/>
        </w:rPr>
      </w:pPr>
      <w:r w:rsidRPr="00365D60">
        <w:rPr>
          <w:rFonts w:ascii="Calibri" w:hAnsi="Calibri" w:cs="Calibri"/>
          <w:b/>
          <w:bCs/>
          <w:sz w:val="24"/>
        </w:rPr>
        <w:t xml:space="preserve">B3 </w:t>
      </w:r>
    </w:p>
    <w:p w14:paraId="5234894D" w14:textId="57FED1E0" w:rsidR="00B10679" w:rsidRPr="00365D60" w:rsidRDefault="00B10679" w:rsidP="00B10679">
      <w:pPr>
        <w:pStyle w:val="Body"/>
        <w:rPr>
          <w:rFonts w:ascii="Calibri" w:hAnsi="Calibri" w:cs="Calibri"/>
          <w:b/>
          <w:bCs/>
          <w:sz w:val="24"/>
        </w:rPr>
      </w:pPr>
      <w:r w:rsidRPr="00365D60">
        <w:rPr>
          <w:rFonts w:ascii="Calibri" w:hAnsi="Calibri" w:cs="Calibri"/>
          <w:b/>
          <w:bCs/>
          <w:sz w:val="24"/>
        </w:rPr>
        <w:t xml:space="preserve">B3 S.A. – BRASIL, BOLSA, BALCÃO – </w:t>
      </w:r>
      <w:r w:rsidR="00BB0658">
        <w:rPr>
          <w:rFonts w:ascii="Calibri" w:hAnsi="Calibri" w:cs="Calibri"/>
          <w:b/>
          <w:bCs/>
          <w:sz w:val="24"/>
        </w:rPr>
        <w:t>BALCÃO B3</w:t>
      </w:r>
    </w:p>
    <w:p w14:paraId="44843566" w14:textId="4A9A8187" w:rsidR="00B10679" w:rsidRPr="00365D60" w:rsidRDefault="00B10679" w:rsidP="00945B8F">
      <w:pPr>
        <w:pStyle w:val="Body"/>
        <w:jc w:val="left"/>
        <w:rPr>
          <w:rFonts w:ascii="Calibri" w:hAnsi="Calibri" w:cs="Calibri"/>
          <w:sz w:val="24"/>
        </w:rPr>
      </w:pPr>
      <w:r w:rsidRPr="00365D60">
        <w:rPr>
          <w:rFonts w:ascii="Calibri" w:eastAsia="Calibri" w:hAnsi="Calibri" w:cs="Calibri"/>
          <w:sz w:val="24"/>
          <w:lang w:eastAsia="en-US"/>
        </w:rPr>
        <w:t>Praça Antonio Prado, nº 48, 7º andar – Centro</w:t>
      </w:r>
      <w:r w:rsidRPr="00365D60">
        <w:rPr>
          <w:rFonts w:ascii="Calibri" w:eastAsia="Calibri" w:hAnsi="Calibri" w:cs="Calibri"/>
          <w:sz w:val="24"/>
          <w:lang w:eastAsia="en-US"/>
        </w:rPr>
        <w:br/>
        <w:t>CEP 01010-901 – São Paulo, SP</w:t>
      </w:r>
      <w:r w:rsidRPr="00365D60">
        <w:rPr>
          <w:rFonts w:ascii="Calibri" w:eastAsia="Calibri" w:hAnsi="Calibri" w:cs="Calibri"/>
          <w:sz w:val="24"/>
          <w:lang w:eastAsia="en-US"/>
        </w:rPr>
        <w:br/>
      </w:r>
      <w:r w:rsidRPr="00365D60">
        <w:rPr>
          <w:rFonts w:ascii="Calibri" w:hAnsi="Calibri" w:cs="Calibri"/>
          <w:sz w:val="24"/>
        </w:rPr>
        <w:t>Link de acesso ao Prospecto Preliminar: http://www.b3.com.br/pt_br/produtos-e-servicos/negociacao/renda-variavel/empresas-listadas.htm (neste website, buscar por “</w:t>
      </w:r>
      <w:r w:rsidRPr="00365D60">
        <w:rPr>
          <w:rFonts w:ascii="Calibri" w:hAnsi="Calibri" w:cs="Calibri"/>
          <w:bCs/>
          <w:sz w:val="24"/>
        </w:rPr>
        <w:t>SÃO MARTINHO S.A.</w:t>
      </w:r>
      <w:r w:rsidRPr="00365D60">
        <w:rPr>
          <w:rFonts w:ascii="Calibri" w:hAnsi="Calibri" w:cs="Calibri"/>
          <w:sz w:val="24"/>
        </w:rPr>
        <w:t>” no campo disponível, em seguida acessar “</w:t>
      </w:r>
      <w:r w:rsidRPr="00365D60">
        <w:rPr>
          <w:rFonts w:ascii="Calibri" w:hAnsi="Calibri" w:cs="Calibri"/>
          <w:bCs/>
          <w:sz w:val="24"/>
        </w:rPr>
        <w:t>SÃO MARTINHO S.A.</w:t>
      </w:r>
      <w:r w:rsidRPr="00365D60">
        <w:rPr>
          <w:rFonts w:ascii="Calibri" w:hAnsi="Calibri" w:cs="Calibri"/>
          <w:sz w:val="24"/>
        </w:rPr>
        <w:t>”, posteriormente, clicar em “Informações Relevantes” e em seguida, selecionar o ano de 202</w:t>
      </w:r>
      <w:r w:rsidR="00DC2881">
        <w:rPr>
          <w:rFonts w:ascii="Calibri" w:hAnsi="Calibri" w:cs="Calibri"/>
          <w:sz w:val="24"/>
        </w:rPr>
        <w:t>2</w:t>
      </w:r>
      <w:r w:rsidRPr="00365D60">
        <w:rPr>
          <w:rFonts w:ascii="Calibri" w:hAnsi="Calibri" w:cs="Calibri"/>
          <w:sz w:val="24"/>
        </w:rPr>
        <w:t>, clicar em “Documentos de Oferta de Distribuição Pública” e acessar o Prospecto Preliminar com a data mais recente).</w:t>
      </w:r>
    </w:p>
    <w:p w14:paraId="51EE26D3" w14:textId="02AE65EB" w:rsidR="009A020C" w:rsidRPr="00C6089D" w:rsidRDefault="009A020C" w:rsidP="009A020C">
      <w:pPr>
        <w:pStyle w:val="Body"/>
        <w:rPr>
          <w:rFonts w:ascii="Calibri" w:hAnsi="Calibri" w:cs="Calibri"/>
          <w:b/>
          <w:sz w:val="24"/>
        </w:rPr>
      </w:pPr>
      <w:r w:rsidRPr="00C6089D">
        <w:rPr>
          <w:rFonts w:ascii="Calibri" w:hAnsi="Calibri" w:cs="Calibri"/>
          <w:b/>
          <w:sz w:val="24"/>
        </w:rPr>
        <w:t>Tendo em vista a possibilidade de veiculação de matérias na mídia sobre a Emissora e a Oferta, a Emissora e o</w:t>
      </w:r>
      <w:r w:rsidR="00B10679" w:rsidRPr="00365D60">
        <w:rPr>
          <w:rFonts w:ascii="Calibri" w:hAnsi="Calibri" w:cs="Calibri"/>
          <w:b/>
          <w:sz w:val="24"/>
        </w:rPr>
        <w:t xml:space="preserve"> Coordenador Líder </w:t>
      </w:r>
      <w:r w:rsidRPr="00C6089D">
        <w:rPr>
          <w:rFonts w:ascii="Calibri" w:hAnsi="Calibri" w:cs="Calibri"/>
          <w:b/>
          <w:sz w:val="24"/>
        </w:rPr>
        <w:t>alertam os Investidores da Oferta que estes deverão basear suas decisões de investimento única e exclusivamente nas informações constantes dos Prospectos e do Formulário de Referência, incorporado por referência aos Prospectos.</w:t>
      </w:r>
    </w:p>
    <w:p w14:paraId="58DD71DE" w14:textId="37A870BC" w:rsidR="004C64A2" w:rsidRPr="00C6089D" w:rsidRDefault="009A020C" w:rsidP="004C64A2">
      <w:pPr>
        <w:pStyle w:val="Body"/>
        <w:rPr>
          <w:rFonts w:ascii="Calibri" w:hAnsi="Calibri" w:cs="Calibri"/>
          <w:b/>
          <w:sz w:val="24"/>
        </w:rPr>
      </w:pPr>
      <w:r w:rsidRPr="00C6089D">
        <w:rPr>
          <w:rFonts w:ascii="Calibri" w:hAnsi="Calibri" w:cs="Calibri"/>
          <w:b/>
          <w:sz w:val="24"/>
        </w:rPr>
        <w:t xml:space="preserve">LEIA O PROSPECTO DEFINITIVO E O FORMULÁRIO DE REFERÊNCIA, INCORPORADO POR REFERÊNCIA AO PROSPECTO DEFINITIVO, ANTES DE ACEITAR A OFERTA, EM ESPECIAL A SEÇÃO “FATORES DE RISCO RELACIONADOS À OFERTA E ÀS DEBÊNTURES” DO PROSPECTO </w:t>
      </w:r>
      <w:r w:rsidR="00F24326" w:rsidRPr="00C6089D">
        <w:rPr>
          <w:rFonts w:ascii="Calibri" w:hAnsi="Calibri" w:cs="Calibri"/>
          <w:b/>
          <w:sz w:val="24"/>
        </w:rPr>
        <w:t>DEFINITIVO</w:t>
      </w:r>
      <w:r w:rsidRPr="00C6089D">
        <w:rPr>
          <w:rFonts w:ascii="Calibri" w:hAnsi="Calibri" w:cs="Calibri"/>
          <w:b/>
          <w:sz w:val="24"/>
        </w:rPr>
        <w:t>, BEM COMO A SEÇÃO “4. FATORES DE RISCO” DO FORMULÁRIO DE REFERÊNCIA, INCOPORADO POR REFERÊNCIA AO PROSPECTO DEFINITIVO, PARA CIÊNCIA E AVALIAÇÃO DE CERTOS FATORES DE RISCO QUE DEVEM SER CONSIDERADOS COM RELAÇÃO À EMISSORA, À OFERTA E AO INVESTIMENTO NAS DEBÊNTURES.</w:t>
      </w:r>
    </w:p>
    <w:p w14:paraId="39B18D8D" w14:textId="77777777" w:rsidR="006021AD" w:rsidRPr="00C6089D" w:rsidRDefault="006021AD" w:rsidP="006021AD">
      <w:pPr>
        <w:pStyle w:val="Body"/>
        <w:rPr>
          <w:rFonts w:ascii="Calibri" w:hAnsi="Calibri" w:cs="Calibri"/>
          <w:b/>
          <w:sz w:val="24"/>
        </w:rPr>
      </w:pPr>
      <w:r w:rsidRPr="00C6089D">
        <w:rPr>
          <w:rFonts w:ascii="Calibri" w:hAnsi="Calibri" w:cs="Calibri"/>
          <w:b/>
          <w:sz w:val="24"/>
        </w:rPr>
        <w:t xml:space="preserve">O Prospecto Definitivo foi colocado à disposição dos investidores nos locais referidos acima, a partir da data de divulgação deste Anúncio de Início. O Prospecto Definitivo deve ser utilizado como sua fonte principal de consulta para aceitação da Oferta, prevalecendo as informações nele constantes sobre quaisquer outras. </w:t>
      </w:r>
    </w:p>
    <w:p w14:paraId="6B903256" w14:textId="35440F16" w:rsidR="006021AD" w:rsidRPr="00C6089D" w:rsidRDefault="009A020C" w:rsidP="006021AD">
      <w:pPr>
        <w:pStyle w:val="Body"/>
        <w:rPr>
          <w:rFonts w:ascii="Calibri" w:hAnsi="Calibri" w:cs="Calibri"/>
          <w:sz w:val="24"/>
        </w:rPr>
      </w:pPr>
      <w:r w:rsidRPr="00C6089D">
        <w:rPr>
          <w:rFonts w:ascii="Calibri" w:hAnsi="Calibri" w:cs="Calibri"/>
          <w:sz w:val="24"/>
        </w:rPr>
        <w:lastRenderedPageBreak/>
        <w:t>A Oferta foi registrada em conformidade com os procedimentos da Instrução CVM 400, do Código ANBIMA e demais disposições legais e regulamentares aplicáveis.</w:t>
      </w:r>
    </w:p>
    <w:p w14:paraId="4CBC4EB8" w14:textId="55D07527" w:rsidR="004C64A2" w:rsidRPr="00C6089D" w:rsidRDefault="009A020C" w:rsidP="006021AD">
      <w:pPr>
        <w:pStyle w:val="Body"/>
        <w:rPr>
          <w:rFonts w:ascii="Calibri" w:hAnsi="Calibri" w:cs="Calibri"/>
          <w:b/>
          <w:sz w:val="24"/>
        </w:rPr>
      </w:pPr>
      <w:r w:rsidRPr="00C6089D">
        <w:rPr>
          <w:rFonts w:ascii="Calibri" w:hAnsi="Calibri" w:cs="Calibri"/>
          <w:b/>
          <w:caps/>
          <w:sz w:val="24"/>
          <w:u w:val="thick"/>
        </w:rPr>
        <w:t>O registro da presente Oferta não implica, por parte da CVM, garantia de veracidade das informações prestadas ou em julgamento sobre a qualidade da Emissora, bem como sobre as Debêntures a serem distribuídas.</w:t>
      </w:r>
    </w:p>
    <w:p w14:paraId="2759EF8C" w14:textId="392B3482" w:rsidR="009A020C" w:rsidRPr="00C6089D" w:rsidRDefault="009A020C" w:rsidP="00945B8F">
      <w:pPr>
        <w:pStyle w:val="Body"/>
        <w:jc w:val="center"/>
        <w:rPr>
          <w:rFonts w:ascii="Calibri" w:hAnsi="Calibri" w:cs="Calibri"/>
          <w:b/>
          <w:sz w:val="24"/>
        </w:rPr>
      </w:pPr>
    </w:p>
    <w:tbl>
      <w:tblPr>
        <w:tblStyle w:val="Tabelacomgrade"/>
        <w:tblW w:w="8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373"/>
      </w:tblGrid>
      <w:tr w:rsidR="009A020C" w:rsidRPr="00365D60" w14:paraId="3BA0AEA7" w14:textId="77777777" w:rsidTr="007C4AB4">
        <w:trPr>
          <w:trHeight w:val="1273"/>
        </w:trPr>
        <w:tc>
          <w:tcPr>
            <w:tcW w:w="4372" w:type="dxa"/>
            <w:vAlign w:val="center"/>
          </w:tcPr>
          <w:p w14:paraId="40478754" w14:textId="176BA56F" w:rsidR="009A020C" w:rsidRPr="00C6089D" w:rsidRDefault="009A020C" w:rsidP="007C4AB4">
            <w:pPr>
              <w:pStyle w:val="Body"/>
              <w:jc w:val="center"/>
              <w:rPr>
                <w:rFonts w:ascii="Calibri" w:hAnsi="Calibri" w:cs="Calibri"/>
                <w:b/>
                <w:sz w:val="24"/>
              </w:rPr>
            </w:pPr>
            <w:r w:rsidRPr="00945B8F">
              <w:rPr>
                <w:rFonts w:ascii="Calibri" w:hAnsi="Calibri" w:cs="Calibri"/>
                <w:b/>
                <w:noProof/>
                <w:sz w:val="24"/>
                <w:lang w:val="en-US" w:eastAsia="en-US"/>
              </w:rPr>
              <w:drawing>
                <wp:inline distT="0" distB="0" distL="0" distR="0" wp14:anchorId="1E590281" wp14:editId="57C1CD6D">
                  <wp:extent cx="1327867" cy="760506"/>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Ofertas-Publicas-Colorido-0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2928" cy="786314"/>
                          </a:xfrm>
                          <a:prstGeom prst="rect">
                            <a:avLst/>
                          </a:prstGeom>
                        </pic:spPr>
                      </pic:pic>
                    </a:graphicData>
                  </a:graphic>
                </wp:inline>
              </w:drawing>
            </w:r>
          </w:p>
        </w:tc>
        <w:tc>
          <w:tcPr>
            <w:tcW w:w="4373" w:type="dxa"/>
            <w:vAlign w:val="center"/>
          </w:tcPr>
          <w:p w14:paraId="131F8792" w14:textId="17B64262" w:rsidR="009A020C" w:rsidRPr="00C6089D" w:rsidRDefault="009A020C" w:rsidP="007C4AB4">
            <w:pPr>
              <w:pStyle w:val="Body"/>
              <w:jc w:val="center"/>
              <w:rPr>
                <w:rFonts w:ascii="Calibri" w:hAnsi="Calibri" w:cs="Calibri"/>
                <w:b/>
                <w:sz w:val="24"/>
              </w:rPr>
            </w:pPr>
            <w:r w:rsidRPr="00945B8F">
              <w:rPr>
                <w:rFonts w:ascii="Calibri" w:hAnsi="Calibri" w:cs="Calibri"/>
                <w:b/>
                <w:noProof/>
                <w:sz w:val="24"/>
                <w:lang w:val="en-US" w:eastAsia="en-US"/>
              </w:rPr>
              <w:drawing>
                <wp:inline distT="0" distB="0" distL="0" distR="0" wp14:anchorId="40F2C223" wp14:editId="3C0E9600">
                  <wp:extent cx="1359673" cy="77872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08331" cy="806590"/>
                          </a:xfrm>
                          <a:prstGeom prst="rect">
                            <a:avLst/>
                          </a:prstGeom>
                        </pic:spPr>
                      </pic:pic>
                    </a:graphicData>
                  </a:graphic>
                </wp:inline>
              </w:drawing>
            </w:r>
          </w:p>
        </w:tc>
      </w:tr>
    </w:tbl>
    <w:p w14:paraId="216945DD" w14:textId="77777777" w:rsidR="000A285D" w:rsidRPr="00945B8F" w:rsidRDefault="000A285D" w:rsidP="0021582A">
      <w:pPr>
        <w:pStyle w:val="Body"/>
        <w:jc w:val="center"/>
        <w:rPr>
          <w:rFonts w:ascii="Calibri" w:hAnsi="Calibri"/>
          <w:sz w:val="24"/>
        </w:rPr>
      </w:pPr>
    </w:p>
    <w:p w14:paraId="6FF46941" w14:textId="1753A0B8" w:rsidR="00E80B84" w:rsidRPr="00C6089D" w:rsidRDefault="009A020C" w:rsidP="0021582A">
      <w:pPr>
        <w:pStyle w:val="Body"/>
        <w:jc w:val="center"/>
        <w:rPr>
          <w:rFonts w:ascii="Calibri" w:hAnsi="Calibri" w:cs="Calibri"/>
          <w:sz w:val="24"/>
        </w:rPr>
      </w:pPr>
      <w:r w:rsidRPr="00C6089D">
        <w:rPr>
          <w:rFonts w:ascii="Calibri" w:hAnsi="Calibri" w:cs="Calibri"/>
          <w:sz w:val="24"/>
        </w:rPr>
        <w:t xml:space="preserve">São Paulo, </w:t>
      </w:r>
      <w:r w:rsidR="003423E0">
        <w:rPr>
          <w:rFonts w:ascii="Calibri" w:hAnsi="Calibri" w:cs="Calibri"/>
          <w:sz w:val="24"/>
        </w:rPr>
        <w:t>21</w:t>
      </w:r>
      <w:r w:rsidR="00B10679" w:rsidRPr="00365D60">
        <w:rPr>
          <w:rFonts w:ascii="Calibri" w:hAnsi="Calibri" w:cs="Calibri"/>
          <w:sz w:val="24"/>
        </w:rPr>
        <w:t xml:space="preserve"> </w:t>
      </w:r>
      <w:r w:rsidRPr="00C6089D">
        <w:rPr>
          <w:rFonts w:ascii="Calibri" w:hAnsi="Calibri" w:cs="Calibri"/>
          <w:sz w:val="24"/>
        </w:rPr>
        <w:t xml:space="preserve">de </w:t>
      </w:r>
      <w:r w:rsidR="003423E0">
        <w:rPr>
          <w:rFonts w:ascii="Calibri" w:hAnsi="Calibri" w:cs="Calibri"/>
          <w:sz w:val="24"/>
        </w:rPr>
        <w:t>março</w:t>
      </w:r>
      <w:r w:rsidR="003423E0" w:rsidRPr="00C6089D">
        <w:rPr>
          <w:rFonts w:ascii="Calibri" w:hAnsi="Calibri" w:cs="Calibri"/>
          <w:sz w:val="24"/>
        </w:rPr>
        <w:t xml:space="preserve"> </w:t>
      </w:r>
      <w:r w:rsidRPr="00C6089D">
        <w:rPr>
          <w:rFonts w:ascii="Calibri" w:hAnsi="Calibri" w:cs="Calibri"/>
          <w:sz w:val="24"/>
        </w:rPr>
        <w:t>de 20</w:t>
      </w:r>
      <w:r w:rsidR="00B10679" w:rsidRPr="00365D60">
        <w:rPr>
          <w:rFonts w:ascii="Calibri" w:hAnsi="Calibri" w:cs="Calibri"/>
          <w:sz w:val="24"/>
        </w:rPr>
        <w:t>22</w:t>
      </w:r>
      <w:r w:rsidRPr="00C6089D">
        <w:rPr>
          <w:rFonts w:ascii="Calibri" w:hAnsi="Calibri" w:cs="Calibri"/>
          <w:sz w:val="24"/>
        </w:rPr>
        <w:t>.</w:t>
      </w:r>
    </w:p>
    <w:p w14:paraId="0E76C8BE" w14:textId="52E0F9C9" w:rsidR="0028458A" w:rsidRPr="00C6089D" w:rsidRDefault="0028458A" w:rsidP="001618D1">
      <w:pPr>
        <w:pStyle w:val="Body"/>
        <w:jc w:val="center"/>
        <w:rPr>
          <w:rFonts w:ascii="Calibri" w:hAnsi="Calibri" w:cs="Calibri"/>
          <w:b/>
          <w:sz w:val="24"/>
        </w:rPr>
      </w:pPr>
    </w:p>
    <w:tbl>
      <w:tblPr>
        <w:tblW w:w="4940" w:type="pct"/>
        <w:tblLook w:val="04A0" w:firstRow="1" w:lastRow="0" w:firstColumn="1" w:lastColumn="0" w:noHBand="0" w:noVBand="1"/>
      </w:tblPr>
      <w:tblGrid>
        <w:gridCol w:w="3055"/>
        <w:gridCol w:w="3057"/>
        <w:gridCol w:w="3057"/>
      </w:tblGrid>
      <w:tr w:rsidR="009A020C" w:rsidRPr="00365D60" w14:paraId="00FF672D" w14:textId="77777777" w:rsidTr="00D347EC">
        <w:trPr>
          <w:trHeight w:val="1066"/>
        </w:trPr>
        <w:tc>
          <w:tcPr>
            <w:tcW w:w="1666" w:type="pct"/>
            <w:vAlign w:val="center"/>
          </w:tcPr>
          <w:p w14:paraId="178EBF72" w14:textId="33A72176" w:rsidR="009A020C" w:rsidRPr="00C6089D" w:rsidRDefault="009A020C" w:rsidP="009A020C">
            <w:pPr>
              <w:pStyle w:val="Body"/>
              <w:rPr>
                <w:rFonts w:ascii="Calibri" w:eastAsia="Calibri" w:hAnsi="Calibri" w:cs="Calibri"/>
                <w:b/>
                <w:sz w:val="24"/>
              </w:rPr>
            </w:pPr>
          </w:p>
        </w:tc>
        <w:tc>
          <w:tcPr>
            <w:tcW w:w="1667" w:type="pct"/>
            <w:vAlign w:val="center"/>
          </w:tcPr>
          <w:p w14:paraId="5A532E70" w14:textId="69D7DA9F" w:rsidR="009A020C" w:rsidRPr="00C6089D" w:rsidRDefault="00AE514E" w:rsidP="009A020C">
            <w:pPr>
              <w:pStyle w:val="Body"/>
              <w:rPr>
                <w:rFonts w:ascii="Calibri" w:eastAsia="Calibri" w:hAnsi="Calibri" w:cs="Calibri"/>
                <w:b/>
                <w:sz w:val="24"/>
              </w:rPr>
            </w:pPr>
            <w:r>
              <w:rPr>
                <w:noProof/>
                <w:lang w:val="en-US" w:eastAsia="en-US"/>
              </w:rPr>
              <w:drawing>
                <wp:anchor distT="0" distB="0" distL="114300" distR="114300" simplePos="0" relativeHeight="251660288" behindDoc="0" locked="0" layoutInCell="1" allowOverlap="1" wp14:anchorId="2E753D1D" wp14:editId="78457A95">
                  <wp:simplePos x="0" y="0"/>
                  <wp:positionH relativeFrom="margin">
                    <wp:posOffset>636905</wp:posOffset>
                  </wp:positionH>
                  <wp:positionV relativeFrom="paragraph">
                    <wp:posOffset>-63500</wp:posOffset>
                  </wp:positionV>
                  <wp:extent cx="547370" cy="462915"/>
                  <wp:effectExtent l="0" t="0" r="5080" b="0"/>
                  <wp:wrapSquare wrapText="bothSides"/>
                  <wp:docPr id="1" name="Imagem 32" descr="Forma&#10;&#10;Descrição gerada automaticamente com confiança média">
                    <a:extLst xmlns:a="http://schemas.openxmlformats.org/drawingml/2006/main">
                      <a:ext uri="{FF2B5EF4-FFF2-40B4-BE49-F238E27FC236}">
                        <a16:creationId xmlns:a16="http://schemas.microsoft.com/office/drawing/2014/main" id="{838F8B97-4D01-4E84-BFFD-29C18DC88A49}"/>
                      </a:ext>
                    </a:extLst>
                  </wp:docPr>
                  <wp:cNvGraphicFramePr/>
                  <a:graphic xmlns:a="http://schemas.openxmlformats.org/drawingml/2006/main">
                    <a:graphicData uri="http://schemas.openxmlformats.org/drawingml/2006/picture">
                      <pic:pic xmlns:pic="http://schemas.openxmlformats.org/drawingml/2006/picture">
                        <pic:nvPicPr>
                          <pic:cNvPr id="5" name="Imagem 32" descr="Forma&#10;&#10;Descrição gerada automaticamente com confiança média">
                            <a:extLst>
                              <a:ext uri="{FF2B5EF4-FFF2-40B4-BE49-F238E27FC236}">
                                <a16:creationId xmlns:a16="http://schemas.microsoft.com/office/drawing/2014/main" id="{838F8B97-4D01-4E84-BFFD-29C18DC88A49}"/>
                              </a:ext>
                            </a:extLst>
                          </pic:cNvPr>
                          <pic:cNvPicPr/>
                        </pic:nvPicPr>
                        <pic:blipFill rotWithShape="1">
                          <a:blip r:embed="rId24"/>
                          <a:srcRect r="58172"/>
                          <a:stretch/>
                        </pic:blipFill>
                        <pic:spPr bwMode="auto">
                          <a:xfrm>
                            <a:off x="0" y="0"/>
                            <a:ext cx="547370" cy="4629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1667" w:type="pct"/>
            <w:vAlign w:val="center"/>
          </w:tcPr>
          <w:p w14:paraId="4429571A" w14:textId="001AA5EB" w:rsidR="009A020C" w:rsidRPr="00C6089D" w:rsidRDefault="009A020C" w:rsidP="009A020C">
            <w:pPr>
              <w:pStyle w:val="Body"/>
              <w:rPr>
                <w:rFonts w:ascii="Calibri" w:eastAsia="Calibri" w:hAnsi="Calibri" w:cs="Calibri"/>
                <w:b/>
                <w:sz w:val="24"/>
              </w:rPr>
            </w:pPr>
          </w:p>
        </w:tc>
      </w:tr>
      <w:tr w:rsidR="009A020C" w:rsidRPr="00365D60" w14:paraId="6988E2F9" w14:textId="77777777" w:rsidTr="00D347EC">
        <w:trPr>
          <w:trHeight w:val="1066"/>
        </w:trPr>
        <w:tc>
          <w:tcPr>
            <w:tcW w:w="1666" w:type="pct"/>
            <w:vAlign w:val="center"/>
          </w:tcPr>
          <w:p w14:paraId="6125DDF2" w14:textId="40760CB6" w:rsidR="009A020C" w:rsidRPr="00C6089D" w:rsidRDefault="009A020C" w:rsidP="009A020C">
            <w:pPr>
              <w:pStyle w:val="Body"/>
              <w:rPr>
                <w:rFonts w:ascii="Calibri" w:eastAsia="Calibri" w:hAnsi="Calibri" w:cs="Calibri"/>
                <w:b/>
                <w:sz w:val="24"/>
              </w:rPr>
            </w:pPr>
          </w:p>
        </w:tc>
        <w:tc>
          <w:tcPr>
            <w:tcW w:w="1667" w:type="pct"/>
            <w:vAlign w:val="center"/>
          </w:tcPr>
          <w:p w14:paraId="04C07A64" w14:textId="32DE40BF" w:rsidR="009A020C" w:rsidRPr="00C6089D" w:rsidRDefault="00AE514E" w:rsidP="00AE514E">
            <w:pPr>
              <w:pStyle w:val="Body"/>
              <w:jc w:val="center"/>
              <w:rPr>
                <w:rFonts w:ascii="Calibri" w:eastAsia="Calibri" w:hAnsi="Calibri" w:cs="Calibri"/>
                <w:b/>
                <w:sz w:val="24"/>
              </w:rPr>
            </w:pPr>
            <w:r w:rsidRPr="00C6089D">
              <w:rPr>
                <w:rFonts w:ascii="Calibri" w:eastAsia="Calibri" w:hAnsi="Calibri" w:cs="Calibri"/>
                <w:b/>
                <w:sz w:val="24"/>
              </w:rPr>
              <w:t>Coordenador Líder</w:t>
            </w:r>
          </w:p>
        </w:tc>
        <w:tc>
          <w:tcPr>
            <w:tcW w:w="1667" w:type="pct"/>
            <w:vAlign w:val="center"/>
          </w:tcPr>
          <w:p w14:paraId="6723F55D" w14:textId="77777777" w:rsidR="009A020C" w:rsidRPr="00C6089D" w:rsidRDefault="009A020C" w:rsidP="009A020C">
            <w:pPr>
              <w:pStyle w:val="Body"/>
              <w:rPr>
                <w:rFonts w:ascii="Calibri" w:eastAsia="Calibri" w:hAnsi="Calibri" w:cs="Calibri"/>
                <w:b/>
                <w:sz w:val="24"/>
              </w:rPr>
            </w:pPr>
          </w:p>
        </w:tc>
      </w:tr>
    </w:tbl>
    <w:p w14:paraId="08EDF6D4" w14:textId="77777777" w:rsidR="00F73180" w:rsidRPr="00C6089D" w:rsidRDefault="00F73180" w:rsidP="004C64A2">
      <w:pPr>
        <w:pStyle w:val="Body"/>
        <w:jc w:val="center"/>
        <w:rPr>
          <w:rFonts w:ascii="Calibri" w:hAnsi="Calibri" w:cs="Calibri"/>
          <w:sz w:val="24"/>
        </w:rPr>
      </w:pPr>
    </w:p>
    <w:sectPr w:rsidR="00F73180" w:rsidRPr="00C6089D" w:rsidSect="0039057A">
      <w:footerReference w:type="default" r:id="rId25"/>
      <w:headerReference w:type="first" r:id="rId26"/>
      <w:footerReference w:type="first" r:id="rId27"/>
      <w:pgSz w:w="12240" w:h="15840" w:code="119"/>
      <w:pgMar w:top="1701" w:right="1588" w:bottom="1304" w:left="1588" w:header="766"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07F0" w14:textId="77777777" w:rsidR="00DD6541" w:rsidRDefault="00DD6541">
      <w:r>
        <w:separator/>
      </w:r>
    </w:p>
    <w:p w14:paraId="625A4B3E" w14:textId="77777777" w:rsidR="00DD6541" w:rsidRDefault="00DD6541"/>
  </w:endnote>
  <w:endnote w:type="continuationSeparator" w:id="0">
    <w:p w14:paraId="135451DD" w14:textId="77777777" w:rsidR="00DD6541" w:rsidRDefault="00DD6541">
      <w:r>
        <w:continuationSeparator/>
      </w:r>
    </w:p>
    <w:p w14:paraId="24D55252" w14:textId="77777777" w:rsidR="00DD6541" w:rsidRDefault="00DD6541"/>
  </w:endnote>
  <w:endnote w:type="continuationNotice" w:id="1">
    <w:p w14:paraId="40DFC071" w14:textId="77777777" w:rsidR="00DD6541" w:rsidRDefault="00DD6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4D"/>
    <w:family w:val="swiss"/>
    <w:notTrueType/>
    <w:pitch w:val="variable"/>
    <w:sig w:usb0="00000003" w:usb1="00000000" w:usb2="00000000" w:usb3="00000000" w:csb0="00000001" w:csb1="00000000"/>
  </w:font>
  <w:font w:name="Myriad Pro Light">
    <w:panose1 w:val="020B0603030403020204"/>
    <w:charset w:val="00"/>
    <w:family w:val="swiss"/>
    <w:notTrueType/>
    <w:pitch w:val="variable"/>
    <w:sig w:usb0="20000287" w:usb1="00000001"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A7A3" w14:textId="2528BE2B" w:rsidR="006733A7" w:rsidRDefault="006733A7" w:rsidP="00143D5F">
    <w:pPr>
      <w:pStyle w:val="DocExCode"/>
      <w:pBdr>
        <w:top w:val="none" w:sz="0" w:space="0" w:color="auto"/>
      </w:pBdr>
    </w:pPr>
    <w:r>
      <w:rPr>
        <w:noProof/>
        <w:lang w:val="en-US" w:eastAsia="en-US"/>
      </w:rPr>
      <w:drawing>
        <wp:anchor distT="0" distB="0" distL="114300" distR="114300" simplePos="0" relativeHeight="251654144" behindDoc="0" locked="0" layoutInCell="1" allowOverlap="1" wp14:anchorId="2D996211" wp14:editId="73DF4260">
          <wp:simplePos x="1009934" y="8911988"/>
          <wp:positionH relativeFrom="column">
            <wp:align>center</wp:align>
          </wp:positionH>
          <wp:positionV relativeFrom="page">
            <wp:align>top</wp:align>
          </wp:positionV>
          <wp:extent cx="7812000" cy="741600"/>
          <wp:effectExtent l="0" t="0" r="0" b="190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5168" behindDoc="0" locked="0" layoutInCell="1" allowOverlap="1" wp14:anchorId="5C3B5E1B" wp14:editId="7B0BEB12">
          <wp:simplePos x="1009650" y="9170670"/>
          <wp:positionH relativeFrom="column">
            <wp:align>center</wp:align>
          </wp:positionH>
          <wp:positionV relativeFrom="page">
            <wp:align>bottom</wp:align>
          </wp:positionV>
          <wp:extent cx="7812000" cy="38880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45095B" w14:textId="77777777" w:rsidR="006733A7" w:rsidRDefault="006733A7" w:rsidP="00143D5F">
    <w:pPr>
      <w:pStyle w:val="DocExCode"/>
      <w:pBdr>
        <w:top w:val="none" w:sz="0" w:space="0" w:color="auto"/>
      </w:pBdr>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sidR="00324387">
      <w:rPr>
        <w:rStyle w:val="Nmerodepgina"/>
        <w:noProof/>
        <w:kern w:val="17"/>
      </w:rPr>
      <w:t>34</w:t>
    </w:r>
    <w:r>
      <w:rPr>
        <w:rStyle w:val="Nmerodepgina"/>
        <w:kern w:val="17"/>
      </w:rPr>
      <w:fldChar w:fldCharType="end"/>
    </w:r>
  </w:p>
  <w:p w14:paraId="1A84CC8A" w14:textId="77777777" w:rsidR="006733A7" w:rsidRDefault="006733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14FA" w14:textId="32DE65E4" w:rsidR="006733A7" w:rsidRDefault="0039057A" w:rsidP="00232844">
    <w:pPr>
      <w:pStyle w:val="DocExCode"/>
      <w:pBdr>
        <w:top w:val="none" w:sz="0" w:space="0" w:color="auto"/>
      </w:pBdr>
    </w:pPr>
    <w:r>
      <w:rPr>
        <w:noProof/>
        <w:lang w:val="en-US" w:eastAsia="en-US"/>
      </w:rPr>
      <mc:AlternateContent>
        <mc:Choice Requires="wps">
          <w:drawing>
            <wp:inline distT="0" distB="0" distL="0" distR="0" wp14:anchorId="5C1918B1" wp14:editId="4D117C67">
              <wp:extent cx="6350000" cy="76200"/>
              <wp:effectExtent l="0" t="0" r="0" b="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850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125EE9B8" w14:textId="77777777" w:rsidR="00BF3A4E" w:rsidRDefault="00BF3A4E"/>
                      </w:txbxContent>
                    </wps:txbx>
                    <wps:bodyPr rot="0" vert="horz" wrap="square" lIns="0" tIns="0" rIns="0" bIns="0" anchor="t" anchorCtr="0" upright="1">
                      <a:spAutoFit/>
                    </wps:bodyPr>
                  </wps:wsp>
                </a:graphicData>
              </a:graphic>
            </wp:inline>
          </w:drawing>
        </mc:Choice>
        <mc:Fallback>
          <w:pict>
            <v:shapetype w14:anchorId="5C1918B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" filled="f" stroked="f">
              <v:textbox style="mso-fit-shape-to-text:t" inset="0,0,0,0">
                <w:txbxContent>
                  <w:p w14:paraId="125EE9B8" w14:textId="77777777" w:rsidR="00BF3A4E" w:rsidRDefault="00BF3A4E"/>
                </w:txbxContent>
              </v:textbox>
              <w10:anchorlock/>
            </v:shape>
          </w:pict>
        </mc:Fallback>
      </mc:AlternateContent>
    </w:r>
    <w:r w:rsidR="006733A7">
      <w:rPr>
        <w:noProof/>
        <w:lang w:val="en-US" w:eastAsia="en-US"/>
      </w:rPr>
      <w:drawing>
        <wp:anchor distT="0" distB="0" distL="114300" distR="114300" simplePos="0" relativeHeight="251657216" behindDoc="0" locked="0" layoutInCell="1" allowOverlap="1" wp14:anchorId="2F31C4CD" wp14:editId="26DAD6C0">
          <wp:simplePos x="1009934" y="8911988"/>
          <wp:positionH relativeFrom="column">
            <wp:align>center</wp:align>
          </wp:positionH>
          <wp:positionV relativeFrom="page">
            <wp:align>top</wp:align>
          </wp:positionV>
          <wp:extent cx="7812000" cy="741600"/>
          <wp:effectExtent l="0" t="0" r="0" b="1905"/>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3A7">
      <w:rPr>
        <w:noProof/>
        <w:lang w:val="en-US" w:eastAsia="en-US"/>
      </w:rPr>
      <w:drawing>
        <wp:anchor distT="0" distB="0" distL="114300" distR="114300" simplePos="0" relativeHeight="251659264" behindDoc="0" locked="0" layoutInCell="1" allowOverlap="1" wp14:anchorId="762C8197" wp14:editId="24746ED9">
          <wp:simplePos x="1009650" y="9170670"/>
          <wp:positionH relativeFrom="column">
            <wp:align>center</wp:align>
          </wp:positionH>
          <wp:positionV relativeFrom="page">
            <wp:align>bottom</wp:align>
          </wp:positionV>
          <wp:extent cx="7812000" cy="38880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8B9722" w14:textId="77777777" w:rsidR="006733A7" w:rsidRDefault="006733A7" w:rsidP="00232844">
    <w:pPr>
      <w:pStyle w:val="DocExCode"/>
      <w:pBdr>
        <w:top w:val="none" w:sz="0" w:space="0" w:color="auto"/>
      </w:pBdr>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sidR="00324387">
      <w:rPr>
        <w:rStyle w:val="Nmerodepgina"/>
        <w:noProof/>
        <w:kern w:val="17"/>
      </w:rPr>
      <w:t>1</w:t>
    </w:r>
    <w:r>
      <w:rPr>
        <w:rStyle w:val="Nmerodepgina"/>
        <w:kern w:val="17"/>
      </w:rPr>
      <w:fldChar w:fldCharType="end"/>
    </w:r>
  </w:p>
  <w:p w14:paraId="0BC8D0BC" w14:textId="77777777" w:rsidR="006733A7" w:rsidRDefault="006733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A088" w14:textId="77777777" w:rsidR="00DD6541" w:rsidRDefault="00DD6541">
      <w:r>
        <w:separator/>
      </w:r>
    </w:p>
    <w:p w14:paraId="7A5D4A3C" w14:textId="77777777" w:rsidR="00DD6541" w:rsidRDefault="00DD6541"/>
  </w:footnote>
  <w:footnote w:type="continuationSeparator" w:id="0">
    <w:p w14:paraId="5C0FCF3B" w14:textId="77777777" w:rsidR="00DD6541" w:rsidRDefault="00DD6541">
      <w:r>
        <w:continuationSeparator/>
      </w:r>
    </w:p>
    <w:p w14:paraId="658DFDAC" w14:textId="77777777" w:rsidR="00DD6541" w:rsidRDefault="00DD6541"/>
  </w:footnote>
  <w:footnote w:type="continuationNotice" w:id="1">
    <w:p w14:paraId="093CAEC6" w14:textId="77777777" w:rsidR="00DD6541" w:rsidRDefault="00DD65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B0FF" w14:textId="60E822B2" w:rsidR="006733A7" w:rsidRDefault="006733A7">
    <w:pPr>
      <w:pStyle w:val="Cabealho"/>
    </w:pPr>
    <w:r>
      <w:rPr>
        <w:noProof/>
        <w:lang w:val="en-US" w:eastAsia="en-US"/>
      </w:rPr>
      <w:drawing>
        <wp:anchor distT="0" distB="0" distL="114300" distR="114300" simplePos="0" relativeHeight="251656192" behindDoc="0" locked="0" layoutInCell="1" allowOverlap="1" wp14:anchorId="4487FDCD" wp14:editId="46DF704B">
          <wp:simplePos x="0" y="0"/>
          <wp:positionH relativeFrom="column">
            <wp:align>center</wp:align>
          </wp:positionH>
          <wp:positionV relativeFrom="page">
            <wp:align>top</wp:align>
          </wp:positionV>
          <wp:extent cx="7812000" cy="741600"/>
          <wp:effectExtent l="0" t="0" r="0" b="190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multilevel"/>
    <w:tmpl w:val="D3B203FE"/>
    <w:lvl w:ilvl="0">
      <w:start w:val="1"/>
      <w:numFmt w:val="upperLetter"/>
      <w:pStyle w:val="UCAlpha1"/>
      <w:lvlText w:val="%1."/>
      <w:lvlJc w:val="left"/>
      <w:pPr>
        <w:tabs>
          <w:tab w:val="num" w:pos="-1416"/>
        </w:tabs>
        <w:ind w:left="-1416" w:hanging="680"/>
      </w:pPr>
      <w:rPr>
        <w:rFonts w:ascii="Arial" w:hAnsi="Arial" w:hint="default"/>
        <w:b/>
        <w:i w:val="0"/>
        <w:sz w:val="20"/>
      </w:rPr>
    </w:lvl>
    <w:lvl w:ilvl="1" w:tentative="1">
      <w:start w:val="1"/>
      <w:numFmt w:val="lowerLetter"/>
      <w:lvlText w:val="%2."/>
      <w:lvlJc w:val="left"/>
      <w:pPr>
        <w:tabs>
          <w:tab w:val="num" w:pos="-656"/>
        </w:tabs>
        <w:ind w:left="-656" w:hanging="360"/>
      </w:pPr>
    </w:lvl>
    <w:lvl w:ilvl="2" w:tentative="1">
      <w:start w:val="1"/>
      <w:numFmt w:val="lowerRoman"/>
      <w:lvlText w:val="%3."/>
      <w:lvlJc w:val="right"/>
      <w:pPr>
        <w:tabs>
          <w:tab w:val="num" w:pos="64"/>
        </w:tabs>
        <w:ind w:left="64" w:hanging="180"/>
      </w:pPr>
    </w:lvl>
    <w:lvl w:ilvl="3" w:tentative="1">
      <w:start w:val="1"/>
      <w:numFmt w:val="decimal"/>
      <w:lvlText w:val="%4."/>
      <w:lvlJc w:val="left"/>
      <w:pPr>
        <w:tabs>
          <w:tab w:val="num" w:pos="784"/>
        </w:tabs>
        <w:ind w:left="784" w:hanging="360"/>
      </w:pPr>
    </w:lvl>
    <w:lvl w:ilvl="4" w:tentative="1">
      <w:start w:val="1"/>
      <w:numFmt w:val="lowerLetter"/>
      <w:lvlText w:val="%5."/>
      <w:lvlJc w:val="left"/>
      <w:pPr>
        <w:tabs>
          <w:tab w:val="num" w:pos="1504"/>
        </w:tabs>
        <w:ind w:left="1504" w:hanging="360"/>
      </w:pPr>
    </w:lvl>
    <w:lvl w:ilvl="5" w:tentative="1">
      <w:start w:val="1"/>
      <w:numFmt w:val="lowerRoman"/>
      <w:lvlText w:val="%6."/>
      <w:lvlJc w:val="right"/>
      <w:pPr>
        <w:tabs>
          <w:tab w:val="num" w:pos="2224"/>
        </w:tabs>
        <w:ind w:left="2224" w:hanging="180"/>
      </w:pPr>
    </w:lvl>
    <w:lvl w:ilvl="6" w:tentative="1">
      <w:start w:val="1"/>
      <w:numFmt w:val="decimal"/>
      <w:lvlText w:val="%7."/>
      <w:lvlJc w:val="left"/>
      <w:pPr>
        <w:tabs>
          <w:tab w:val="num" w:pos="2944"/>
        </w:tabs>
        <w:ind w:left="2944" w:hanging="360"/>
      </w:pPr>
    </w:lvl>
    <w:lvl w:ilvl="7" w:tentative="1">
      <w:start w:val="1"/>
      <w:numFmt w:val="lowerLetter"/>
      <w:lvlText w:val="%8."/>
      <w:lvlJc w:val="left"/>
      <w:pPr>
        <w:tabs>
          <w:tab w:val="num" w:pos="3664"/>
        </w:tabs>
        <w:ind w:left="3664" w:hanging="360"/>
      </w:pPr>
    </w:lvl>
    <w:lvl w:ilvl="8" w:tentative="1">
      <w:start w:val="1"/>
      <w:numFmt w:val="lowerRoman"/>
      <w:lvlText w:val="%9."/>
      <w:lvlJc w:val="right"/>
      <w:pPr>
        <w:tabs>
          <w:tab w:val="num" w:pos="4384"/>
        </w:tabs>
        <w:ind w:left="4384"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C67AD2E8"/>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9" w15:restartNumberingAfterBreak="0">
    <w:nsid w:val="3B5B6215"/>
    <w:multiLevelType w:val="multilevel"/>
    <w:tmpl w:val="1F54270E"/>
    <w:lvl w:ilvl="0">
      <w:start w:val="1"/>
      <w:numFmt w:val="bullet"/>
      <w:pStyle w:val="Bullet10"/>
      <w:lvlText w:val=""/>
      <w:lvlJc w:val="left"/>
      <w:pPr>
        <w:tabs>
          <w:tab w:val="num" w:pos="1361"/>
        </w:tabs>
        <w:ind w:left="1361" w:hanging="681"/>
      </w:pPr>
      <w:rPr>
        <w:rFonts w:ascii="Symbol" w:hAnsi="Symbol" w:hint="default"/>
        <w:b w:val="0"/>
        <w:i w:val="0"/>
        <w:color w:val="auto"/>
        <w:sz w:val="20"/>
        <w:lang w:val="pt-BR"/>
      </w:rPr>
    </w:lvl>
    <w:lvl w:ilvl="1">
      <w:start w:val="1"/>
      <w:numFmt w:val="bullet"/>
      <w:pStyle w:val="Bullet20"/>
      <w:lvlText w:val=""/>
      <w:lvlJc w:val="left"/>
      <w:pPr>
        <w:tabs>
          <w:tab w:val="num" w:pos="2041"/>
        </w:tabs>
        <w:ind w:left="2041" w:hanging="680"/>
      </w:pPr>
      <w:rPr>
        <w:rFonts w:ascii="Symbol" w:hAnsi="Symbol" w:hint="default"/>
        <w:b w:val="0"/>
        <w:i w:val="0"/>
        <w:sz w:val="20"/>
      </w:rPr>
    </w:lvl>
    <w:lvl w:ilvl="2">
      <w:start w:val="1"/>
      <w:numFmt w:val="bullet"/>
      <w:pStyle w:val="Bullet30"/>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2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40FA0"/>
    <w:multiLevelType w:val="multilevel"/>
    <w:tmpl w:val="37065968"/>
    <w:lvl w:ilvl="0">
      <w:start w:val="1"/>
      <w:numFmt w:val="lowerRoman"/>
      <w:lvlRestart w:val="0"/>
      <w:pStyle w:val="TabRoman"/>
      <w:lvlText w:val="(%1)"/>
      <w:lvlJc w:val="left"/>
      <w:pPr>
        <w:tabs>
          <w:tab w:val="num" w:pos="425"/>
        </w:tabs>
        <w:ind w:left="425" w:hanging="425"/>
      </w:pPr>
      <w:rPr>
        <w:rFonts w:ascii="Arial" w:hAnsi="Arial" w:cs="Arial" w:hint="default"/>
        <w:b w:val="0"/>
        <w:i w:val="0"/>
        <w:caps w:val="0"/>
        <w:strike w:val="0"/>
        <w:dstrike w:val="0"/>
        <w:vanish w:val="0"/>
        <w:color w:val="000000"/>
        <w:sz w:val="20"/>
        <w:szCs w:val="20"/>
        <w:vertAlign w:val="baseline"/>
      </w:rPr>
    </w:lvl>
    <w:lvl w:ilvl="1">
      <w:start w:val="1"/>
      <w:numFmt w:val="lowerLetter"/>
      <w:pStyle w:val="TabAlpha"/>
      <w:lvlText w:val="(%2)"/>
      <w:lvlJc w:val="left"/>
      <w:pPr>
        <w:tabs>
          <w:tab w:val="num" w:pos="850"/>
        </w:tabs>
        <w:ind w:left="850" w:hanging="425"/>
      </w:pPr>
      <w:rPr>
        <w:rFonts w:ascii="Arial" w:hAnsi="Arial" w:cs="Arial" w:hint="default"/>
        <w:b w:val="0"/>
        <w:i w:val="0"/>
        <w:caps w:val="0"/>
        <w:strike w:val="0"/>
        <w:dstrike w:val="0"/>
        <w:vanish w:val="0"/>
        <w:color w:val="000000"/>
        <w:sz w:val="20"/>
        <w:szCs w:val="20"/>
        <w:vertAlign w:val="baseline"/>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ind w:left="864" w:hanging="864"/>
      </w:pPr>
      <w:rPr>
        <w:rFonts w:ascii="Arial" w:eastAsia="Times New Roman" w:hAnsi="Arial" w:cs="Times New Roman"/>
        <w:b w:val="0"/>
        <w:i w:val="0"/>
        <w:caps w:val="0"/>
        <w:strike w:val="0"/>
        <w:dstrike w:val="0"/>
        <w:vanish w:val="0"/>
        <w:color w:val="000000"/>
        <w:sz w:val="20"/>
        <w:szCs w:val="17"/>
        <w:vertAlign w:val="baseline"/>
      </w:rPr>
    </w:lvl>
    <w:lvl w:ilvl="4">
      <w:start w:val="1"/>
      <w:numFmt w:val="lowerLetter"/>
      <w:lvlText w:val="(%5)"/>
      <w:lvlJc w:val="left"/>
      <w:pPr>
        <w:ind w:left="1008" w:hanging="1008"/>
      </w:pPr>
      <w:rPr>
        <w:rFonts w:ascii="Arial" w:eastAsia="Times New Roman" w:hAnsi="Arial" w:cs="Times New Roman"/>
        <w:b w:val="0"/>
        <w:i w:val="0"/>
        <w:caps w:val="0"/>
        <w:strike w:val="0"/>
        <w:dstrike w:val="0"/>
        <w:vanish w:val="0"/>
        <w:color w:val="000000"/>
        <w:sz w:val="20"/>
        <w:vertAlign w:val="baseline"/>
      </w:rPr>
    </w:lvl>
    <w:lvl w:ilvl="5">
      <w:start w:val="1"/>
      <w:numFmt w:val="decimal"/>
      <w:lvlText w:val="%1.%2.%3.%4.%5.%6"/>
      <w:lvlJc w:val="left"/>
      <w:pPr>
        <w:ind w:left="1152" w:hanging="1152"/>
      </w:pPr>
      <w:rPr>
        <w:rFonts w:hint="default"/>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3"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9CB2EDDA"/>
    <w:lvl w:ilvl="0">
      <w:start w:val="1"/>
      <w:numFmt w:val="decimal"/>
      <w:lvlRestart w:val="0"/>
      <w:pStyle w:val="Level1"/>
      <w:lvlText w:val="%1"/>
      <w:lvlJc w:val="left"/>
      <w:pPr>
        <w:tabs>
          <w:tab w:val="num" w:pos="680"/>
        </w:tabs>
        <w:ind w:left="680" w:hanging="680"/>
      </w:pPr>
      <w:rPr>
        <w:rFonts w:ascii="Calibri" w:hAnsi="Calibri" w:cs="Calibri" w:hint="default"/>
        <w:b/>
        <w:i w:val="0"/>
        <w:caps w:val="0"/>
        <w:strike w:val="0"/>
        <w:dstrike w:val="0"/>
        <w:vanish w:val="0"/>
        <w:color w:val="203463"/>
        <w:sz w:val="28"/>
        <w:szCs w:val="28"/>
        <w:vertAlign w:val="baseline"/>
      </w:rPr>
    </w:lvl>
    <w:lvl w:ilvl="1">
      <w:start w:val="1"/>
      <w:numFmt w:val="lowerRoman"/>
      <w:pStyle w:val="Level2"/>
      <w:lvlText w:val="(%2)"/>
      <w:lvlJc w:val="left"/>
      <w:pPr>
        <w:tabs>
          <w:tab w:val="num" w:pos="680"/>
        </w:tabs>
        <w:ind w:left="680" w:hanging="680"/>
      </w:pPr>
      <w:rPr>
        <w:rFonts w:ascii="Calibri" w:eastAsia="Times New Roman" w:hAnsi="Calibri" w:cs="Calibri" w:hint="default"/>
        <w:b w:val="0"/>
        <w:bCs w:val="0"/>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3" w15:restartNumberingAfterBreak="0">
    <w:nsid w:val="777F08FF"/>
    <w:multiLevelType w:val="multilevel"/>
    <w:tmpl w:val="CB96D79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Calibri" w:hAnsi="Calibri" w:cs="Calibri" w:hint="default"/>
        <w:b w:val="0"/>
        <w:i w:val="0"/>
        <w:caps w:val="0"/>
        <w:strike w:val="0"/>
        <w:dstrike w:val="0"/>
        <w:vanish w:val="0"/>
        <w:color w:val="000000"/>
        <w:sz w:val="22"/>
        <w:szCs w:val="22"/>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5"/>
  </w:num>
  <w:num w:numId="2">
    <w:abstractNumId w:val="41"/>
  </w:num>
  <w:num w:numId="3">
    <w:abstractNumId w:val="15"/>
  </w:num>
  <w:num w:numId="4">
    <w:abstractNumId w:val="6"/>
  </w:num>
  <w:num w:numId="5">
    <w:abstractNumId w:val="24"/>
  </w:num>
  <w:num w:numId="6">
    <w:abstractNumId w:val="18"/>
  </w:num>
  <w:num w:numId="7">
    <w:abstractNumId w:val="7"/>
  </w:num>
  <w:num w:numId="8">
    <w:abstractNumId w:val="14"/>
  </w:num>
  <w:num w:numId="9">
    <w:abstractNumId w:val="12"/>
  </w:num>
  <w:num w:numId="10">
    <w:abstractNumId w:val="31"/>
  </w:num>
  <w:num w:numId="11">
    <w:abstractNumId w:val="45"/>
  </w:num>
  <w:num w:numId="12">
    <w:abstractNumId w:val="8"/>
  </w:num>
  <w:num w:numId="13">
    <w:abstractNumId w:val="20"/>
  </w:num>
  <w:num w:numId="14">
    <w:abstractNumId w:val="28"/>
  </w:num>
  <w:num w:numId="15">
    <w:abstractNumId w:val="22"/>
  </w:num>
  <w:num w:numId="16">
    <w:abstractNumId w:val="27"/>
  </w:num>
  <w:num w:numId="17">
    <w:abstractNumId w:val="26"/>
  </w:num>
  <w:num w:numId="18">
    <w:abstractNumId w:val="9"/>
  </w:num>
  <w:num w:numId="19">
    <w:abstractNumId w:val="38"/>
  </w:num>
  <w:num w:numId="20">
    <w:abstractNumId w:val="37"/>
  </w:num>
  <w:num w:numId="21">
    <w:abstractNumId w:val="46"/>
  </w:num>
  <w:num w:numId="22">
    <w:abstractNumId w:val="1"/>
  </w:num>
  <w:num w:numId="23">
    <w:abstractNumId w:val="33"/>
  </w:num>
  <w:num w:numId="24">
    <w:abstractNumId w:val="32"/>
  </w:num>
  <w:num w:numId="25">
    <w:abstractNumId w:val="44"/>
  </w:num>
  <w:num w:numId="26">
    <w:abstractNumId w:val="34"/>
  </w:num>
  <w:num w:numId="27">
    <w:abstractNumId w:val="30"/>
  </w:num>
  <w:num w:numId="28">
    <w:abstractNumId w:val="42"/>
  </w:num>
  <w:num w:numId="29">
    <w:abstractNumId w:val="40"/>
  </w:num>
  <w:num w:numId="30">
    <w:abstractNumId w:val="4"/>
  </w:num>
  <w:num w:numId="31">
    <w:abstractNumId w:val="17"/>
  </w:num>
  <w:num w:numId="32">
    <w:abstractNumId w:val="5"/>
  </w:num>
  <w:num w:numId="33">
    <w:abstractNumId w:val="13"/>
  </w:num>
  <w:num w:numId="34">
    <w:abstractNumId w:val="2"/>
  </w:num>
  <w:num w:numId="35">
    <w:abstractNumId w:val="35"/>
  </w:num>
  <w:num w:numId="36">
    <w:abstractNumId w:val="0"/>
  </w:num>
  <w:num w:numId="37">
    <w:abstractNumId w:val="16"/>
  </w:num>
  <w:num w:numId="38">
    <w:abstractNumId w:val="36"/>
  </w:num>
  <w:num w:numId="39">
    <w:abstractNumId w:val="11"/>
  </w:num>
  <w:num w:numId="40">
    <w:abstractNumId w:val="21"/>
  </w:num>
  <w:num w:numId="41">
    <w:abstractNumId w:val="39"/>
  </w:num>
  <w:num w:numId="42">
    <w:abstractNumId w:val="10"/>
  </w:num>
  <w:num w:numId="43">
    <w:abstractNumId w:val="29"/>
  </w:num>
  <w:num w:numId="44">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3"/>
  </w:num>
  <w:num w:numId="47">
    <w:abstractNumId w:val="3"/>
  </w:num>
  <w:num w:numId="48">
    <w:abstractNumId w:val="37"/>
  </w:num>
  <w:num w:numId="49">
    <w:abstractNumId w:val="37"/>
  </w:num>
  <w:num w:numId="50">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pt-BR" w:vendorID="64" w:dllVersion="4096" w:nlCheck="1" w:checkStyle="0"/>
  <w:activeWritingStyle w:appName="MSWord" w:lang="pt-BR" w:vendorID="1"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MS_BusinessUnitID" w:val="Lefosse"/>
    <w:docVar w:name="TMS_CultureID" w:val="Portuguese-Brazil"/>
    <w:docVar w:name="TMS_OfficeID" w:val="SaoPaulo"/>
  </w:docVars>
  <w:rsids>
    <w:rsidRoot w:val="00E80B84"/>
    <w:rsid w:val="00000802"/>
    <w:rsid w:val="00001DB9"/>
    <w:rsid w:val="00002744"/>
    <w:rsid w:val="00002C31"/>
    <w:rsid w:val="000038F1"/>
    <w:rsid w:val="00003A07"/>
    <w:rsid w:val="00004464"/>
    <w:rsid w:val="00006062"/>
    <w:rsid w:val="000079AF"/>
    <w:rsid w:val="000114CD"/>
    <w:rsid w:val="00011F97"/>
    <w:rsid w:val="00012B66"/>
    <w:rsid w:val="00015A7E"/>
    <w:rsid w:val="00015AC5"/>
    <w:rsid w:val="00015D3B"/>
    <w:rsid w:val="00016545"/>
    <w:rsid w:val="00017F00"/>
    <w:rsid w:val="00021CAC"/>
    <w:rsid w:val="00022235"/>
    <w:rsid w:val="000229EB"/>
    <w:rsid w:val="000235EF"/>
    <w:rsid w:val="0002442A"/>
    <w:rsid w:val="00024979"/>
    <w:rsid w:val="00024DA4"/>
    <w:rsid w:val="000252A5"/>
    <w:rsid w:val="00025A3E"/>
    <w:rsid w:val="00025A5C"/>
    <w:rsid w:val="00026AA3"/>
    <w:rsid w:val="000270F0"/>
    <w:rsid w:val="0003078B"/>
    <w:rsid w:val="000316D1"/>
    <w:rsid w:val="00031B9C"/>
    <w:rsid w:val="00031CE8"/>
    <w:rsid w:val="000328F6"/>
    <w:rsid w:val="000341D8"/>
    <w:rsid w:val="00034AF2"/>
    <w:rsid w:val="000405CE"/>
    <w:rsid w:val="00040783"/>
    <w:rsid w:val="00040F8C"/>
    <w:rsid w:val="00041608"/>
    <w:rsid w:val="000418B4"/>
    <w:rsid w:val="00042BE5"/>
    <w:rsid w:val="0004306C"/>
    <w:rsid w:val="00043E90"/>
    <w:rsid w:val="00044A1A"/>
    <w:rsid w:val="00045B23"/>
    <w:rsid w:val="00045C63"/>
    <w:rsid w:val="00046C61"/>
    <w:rsid w:val="0004759D"/>
    <w:rsid w:val="00047E85"/>
    <w:rsid w:val="0005022E"/>
    <w:rsid w:val="0005061F"/>
    <w:rsid w:val="000507AD"/>
    <w:rsid w:val="00050E42"/>
    <w:rsid w:val="00050ED8"/>
    <w:rsid w:val="000525F7"/>
    <w:rsid w:val="00052E11"/>
    <w:rsid w:val="00053514"/>
    <w:rsid w:val="000535AA"/>
    <w:rsid w:val="00053619"/>
    <w:rsid w:val="000537B3"/>
    <w:rsid w:val="00055FA7"/>
    <w:rsid w:val="000560A9"/>
    <w:rsid w:val="000574A8"/>
    <w:rsid w:val="00057604"/>
    <w:rsid w:val="00060EAD"/>
    <w:rsid w:val="00061E55"/>
    <w:rsid w:val="00061FA1"/>
    <w:rsid w:val="00062E77"/>
    <w:rsid w:val="00062FF2"/>
    <w:rsid w:val="0006489E"/>
    <w:rsid w:val="00064970"/>
    <w:rsid w:val="00064A04"/>
    <w:rsid w:val="00065467"/>
    <w:rsid w:val="00065699"/>
    <w:rsid w:val="00066413"/>
    <w:rsid w:val="00066CE0"/>
    <w:rsid w:val="000671C8"/>
    <w:rsid w:val="000676D8"/>
    <w:rsid w:val="00067F54"/>
    <w:rsid w:val="00070967"/>
    <w:rsid w:val="00070DD3"/>
    <w:rsid w:val="00072AF4"/>
    <w:rsid w:val="00073690"/>
    <w:rsid w:val="000739FA"/>
    <w:rsid w:val="00074212"/>
    <w:rsid w:val="000744E2"/>
    <w:rsid w:val="000749C9"/>
    <w:rsid w:val="0007500B"/>
    <w:rsid w:val="00075699"/>
    <w:rsid w:val="00075D8C"/>
    <w:rsid w:val="000814F1"/>
    <w:rsid w:val="000826F4"/>
    <w:rsid w:val="00084497"/>
    <w:rsid w:val="000847F8"/>
    <w:rsid w:val="000851FB"/>
    <w:rsid w:val="00085AEB"/>
    <w:rsid w:val="000861DA"/>
    <w:rsid w:val="00087DA3"/>
    <w:rsid w:val="00090082"/>
    <w:rsid w:val="00092C85"/>
    <w:rsid w:val="0009362E"/>
    <w:rsid w:val="00094110"/>
    <w:rsid w:val="00094E01"/>
    <w:rsid w:val="0009597B"/>
    <w:rsid w:val="00096188"/>
    <w:rsid w:val="00097071"/>
    <w:rsid w:val="00097880"/>
    <w:rsid w:val="000A010A"/>
    <w:rsid w:val="000A1CCF"/>
    <w:rsid w:val="000A285D"/>
    <w:rsid w:val="000A2994"/>
    <w:rsid w:val="000A2FCA"/>
    <w:rsid w:val="000A3527"/>
    <w:rsid w:val="000A3B9B"/>
    <w:rsid w:val="000A3C40"/>
    <w:rsid w:val="000A408E"/>
    <w:rsid w:val="000A618A"/>
    <w:rsid w:val="000A631A"/>
    <w:rsid w:val="000A644A"/>
    <w:rsid w:val="000A659C"/>
    <w:rsid w:val="000A71E6"/>
    <w:rsid w:val="000A78D1"/>
    <w:rsid w:val="000A7BA7"/>
    <w:rsid w:val="000B04CE"/>
    <w:rsid w:val="000B0DFD"/>
    <w:rsid w:val="000B2A62"/>
    <w:rsid w:val="000B2CB8"/>
    <w:rsid w:val="000B3002"/>
    <w:rsid w:val="000B32BB"/>
    <w:rsid w:val="000B3F94"/>
    <w:rsid w:val="000B425B"/>
    <w:rsid w:val="000B6BF9"/>
    <w:rsid w:val="000B788F"/>
    <w:rsid w:val="000B7E44"/>
    <w:rsid w:val="000C0C97"/>
    <w:rsid w:val="000C16B8"/>
    <w:rsid w:val="000C175F"/>
    <w:rsid w:val="000C1AEA"/>
    <w:rsid w:val="000C2034"/>
    <w:rsid w:val="000C368E"/>
    <w:rsid w:val="000C38AA"/>
    <w:rsid w:val="000C3939"/>
    <w:rsid w:val="000C4C7B"/>
    <w:rsid w:val="000C7024"/>
    <w:rsid w:val="000C7240"/>
    <w:rsid w:val="000D00CE"/>
    <w:rsid w:val="000D0F5A"/>
    <w:rsid w:val="000D1473"/>
    <w:rsid w:val="000D3054"/>
    <w:rsid w:val="000D325A"/>
    <w:rsid w:val="000D33BA"/>
    <w:rsid w:val="000D5311"/>
    <w:rsid w:val="000D56D3"/>
    <w:rsid w:val="000D5761"/>
    <w:rsid w:val="000D662E"/>
    <w:rsid w:val="000D69D3"/>
    <w:rsid w:val="000D7BF6"/>
    <w:rsid w:val="000E01CA"/>
    <w:rsid w:val="000E2BFB"/>
    <w:rsid w:val="000E6686"/>
    <w:rsid w:val="000E6F17"/>
    <w:rsid w:val="000E6F20"/>
    <w:rsid w:val="000E7737"/>
    <w:rsid w:val="000F130F"/>
    <w:rsid w:val="000F1ADB"/>
    <w:rsid w:val="000F1F79"/>
    <w:rsid w:val="000F2441"/>
    <w:rsid w:val="000F2938"/>
    <w:rsid w:val="000F2BD3"/>
    <w:rsid w:val="000F2CAA"/>
    <w:rsid w:val="000F34B4"/>
    <w:rsid w:val="000F72A8"/>
    <w:rsid w:val="000F74D3"/>
    <w:rsid w:val="001001D4"/>
    <w:rsid w:val="00100656"/>
    <w:rsid w:val="0010084C"/>
    <w:rsid w:val="00102BDA"/>
    <w:rsid w:val="00102C7D"/>
    <w:rsid w:val="00103805"/>
    <w:rsid w:val="00103B72"/>
    <w:rsid w:val="00103DB2"/>
    <w:rsid w:val="001050E8"/>
    <w:rsid w:val="00105259"/>
    <w:rsid w:val="00105BE9"/>
    <w:rsid w:val="00105EBE"/>
    <w:rsid w:val="001066C9"/>
    <w:rsid w:val="00106B2C"/>
    <w:rsid w:val="0010753F"/>
    <w:rsid w:val="00110045"/>
    <w:rsid w:val="00111671"/>
    <w:rsid w:val="00113E52"/>
    <w:rsid w:val="00113EF1"/>
    <w:rsid w:val="00113FB8"/>
    <w:rsid w:val="001143E8"/>
    <w:rsid w:val="001144E0"/>
    <w:rsid w:val="00115418"/>
    <w:rsid w:val="00115533"/>
    <w:rsid w:val="00115EB2"/>
    <w:rsid w:val="00116461"/>
    <w:rsid w:val="00120668"/>
    <w:rsid w:val="00121D1B"/>
    <w:rsid w:val="00122502"/>
    <w:rsid w:val="0012278D"/>
    <w:rsid w:val="00122A91"/>
    <w:rsid w:val="00122C5B"/>
    <w:rsid w:val="00122EA7"/>
    <w:rsid w:val="0012332B"/>
    <w:rsid w:val="00123FEE"/>
    <w:rsid w:val="00124844"/>
    <w:rsid w:val="001248DA"/>
    <w:rsid w:val="00124C96"/>
    <w:rsid w:val="00124DF5"/>
    <w:rsid w:val="001250C5"/>
    <w:rsid w:val="00125487"/>
    <w:rsid w:val="00125908"/>
    <w:rsid w:val="00126300"/>
    <w:rsid w:val="00126A06"/>
    <w:rsid w:val="00126BDC"/>
    <w:rsid w:val="00127E69"/>
    <w:rsid w:val="001301FA"/>
    <w:rsid w:val="00131208"/>
    <w:rsid w:val="001316CF"/>
    <w:rsid w:val="00132C63"/>
    <w:rsid w:val="00133276"/>
    <w:rsid w:val="001333C2"/>
    <w:rsid w:val="00134619"/>
    <w:rsid w:val="0013595A"/>
    <w:rsid w:val="00135DBF"/>
    <w:rsid w:val="001371BB"/>
    <w:rsid w:val="00137763"/>
    <w:rsid w:val="00137BCD"/>
    <w:rsid w:val="001415F9"/>
    <w:rsid w:val="001418AD"/>
    <w:rsid w:val="0014232F"/>
    <w:rsid w:val="00142F14"/>
    <w:rsid w:val="00143D5F"/>
    <w:rsid w:val="00143DDF"/>
    <w:rsid w:val="00143EC2"/>
    <w:rsid w:val="00144D3C"/>
    <w:rsid w:val="00145505"/>
    <w:rsid w:val="001460B9"/>
    <w:rsid w:val="00146877"/>
    <w:rsid w:val="00146B4C"/>
    <w:rsid w:val="00147C97"/>
    <w:rsid w:val="001514FD"/>
    <w:rsid w:val="00151906"/>
    <w:rsid w:val="00151B44"/>
    <w:rsid w:val="00152B55"/>
    <w:rsid w:val="00152BE7"/>
    <w:rsid w:val="001530C6"/>
    <w:rsid w:val="0015359C"/>
    <w:rsid w:val="00153965"/>
    <w:rsid w:val="00153C5D"/>
    <w:rsid w:val="00154151"/>
    <w:rsid w:val="00154C63"/>
    <w:rsid w:val="0015549B"/>
    <w:rsid w:val="001573C7"/>
    <w:rsid w:val="001573F6"/>
    <w:rsid w:val="001618D1"/>
    <w:rsid w:val="0016323E"/>
    <w:rsid w:val="0016385D"/>
    <w:rsid w:val="0016427A"/>
    <w:rsid w:val="001652A8"/>
    <w:rsid w:val="00165CB3"/>
    <w:rsid w:val="00167965"/>
    <w:rsid w:val="00167B66"/>
    <w:rsid w:val="0017011D"/>
    <w:rsid w:val="00170B62"/>
    <w:rsid w:val="0017122F"/>
    <w:rsid w:val="001715DB"/>
    <w:rsid w:val="001716FF"/>
    <w:rsid w:val="001721A7"/>
    <w:rsid w:val="0017226E"/>
    <w:rsid w:val="001729D9"/>
    <w:rsid w:val="001733B5"/>
    <w:rsid w:val="00174312"/>
    <w:rsid w:val="001756B8"/>
    <w:rsid w:val="001763F1"/>
    <w:rsid w:val="00176AFA"/>
    <w:rsid w:val="00180465"/>
    <w:rsid w:val="00182031"/>
    <w:rsid w:val="0018485E"/>
    <w:rsid w:val="0018528A"/>
    <w:rsid w:val="00185965"/>
    <w:rsid w:val="00185ABD"/>
    <w:rsid w:val="00185C8B"/>
    <w:rsid w:val="00185E3D"/>
    <w:rsid w:val="001863A3"/>
    <w:rsid w:val="001863C8"/>
    <w:rsid w:val="001869F5"/>
    <w:rsid w:val="00186E47"/>
    <w:rsid w:val="00187FBA"/>
    <w:rsid w:val="001905CB"/>
    <w:rsid w:val="00191880"/>
    <w:rsid w:val="00191905"/>
    <w:rsid w:val="00191F5F"/>
    <w:rsid w:val="00191FB6"/>
    <w:rsid w:val="001926FD"/>
    <w:rsid w:val="00192F62"/>
    <w:rsid w:val="00192FCA"/>
    <w:rsid w:val="00194119"/>
    <w:rsid w:val="001943CF"/>
    <w:rsid w:val="001946BE"/>
    <w:rsid w:val="00194986"/>
    <w:rsid w:val="00194D82"/>
    <w:rsid w:val="001951FA"/>
    <w:rsid w:val="00195EFD"/>
    <w:rsid w:val="001965A1"/>
    <w:rsid w:val="001968D4"/>
    <w:rsid w:val="00197116"/>
    <w:rsid w:val="0019742C"/>
    <w:rsid w:val="001A0811"/>
    <w:rsid w:val="001A1D5E"/>
    <w:rsid w:val="001A2181"/>
    <w:rsid w:val="001A21BE"/>
    <w:rsid w:val="001A253A"/>
    <w:rsid w:val="001A2BB0"/>
    <w:rsid w:val="001A3634"/>
    <w:rsid w:val="001A3670"/>
    <w:rsid w:val="001A3DB3"/>
    <w:rsid w:val="001A4A13"/>
    <w:rsid w:val="001A4AD2"/>
    <w:rsid w:val="001A50CB"/>
    <w:rsid w:val="001A5346"/>
    <w:rsid w:val="001A57C2"/>
    <w:rsid w:val="001A5B5D"/>
    <w:rsid w:val="001A6D89"/>
    <w:rsid w:val="001A73B2"/>
    <w:rsid w:val="001A7B1C"/>
    <w:rsid w:val="001B0B74"/>
    <w:rsid w:val="001B1C1E"/>
    <w:rsid w:val="001B200B"/>
    <w:rsid w:val="001B2402"/>
    <w:rsid w:val="001B2790"/>
    <w:rsid w:val="001B28FF"/>
    <w:rsid w:val="001B2E9D"/>
    <w:rsid w:val="001B3D63"/>
    <w:rsid w:val="001B3EF2"/>
    <w:rsid w:val="001B4FC2"/>
    <w:rsid w:val="001B524C"/>
    <w:rsid w:val="001B5897"/>
    <w:rsid w:val="001B5F9B"/>
    <w:rsid w:val="001B6529"/>
    <w:rsid w:val="001B6C5C"/>
    <w:rsid w:val="001B6E2C"/>
    <w:rsid w:val="001C0B0F"/>
    <w:rsid w:val="001C0B1F"/>
    <w:rsid w:val="001C2012"/>
    <w:rsid w:val="001C3ECE"/>
    <w:rsid w:val="001C44CD"/>
    <w:rsid w:val="001C4F64"/>
    <w:rsid w:val="001C5240"/>
    <w:rsid w:val="001C5580"/>
    <w:rsid w:val="001C5B23"/>
    <w:rsid w:val="001C73E4"/>
    <w:rsid w:val="001C7EDB"/>
    <w:rsid w:val="001D063A"/>
    <w:rsid w:val="001D064B"/>
    <w:rsid w:val="001D0A49"/>
    <w:rsid w:val="001D283F"/>
    <w:rsid w:val="001D2C0F"/>
    <w:rsid w:val="001D2E47"/>
    <w:rsid w:val="001D3268"/>
    <w:rsid w:val="001D47E8"/>
    <w:rsid w:val="001D51E4"/>
    <w:rsid w:val="001D6862"/>
    <w:rsid w:val="001E03A7"/>
    <w:rsid w:val="001E0AE7"/>
    <w:rsid w:val="001E0EB4"/>
    <w:rsid w:val="001E118A"/>
    <w:rsid w:val="001E201F"/>
    <w:rsid w:val="001E2389"/>
    <w:rsid w:val="001E3014"/>
    <w:rsid w:val="001E33FC"/>
    <w:rsid w:val="001E34FB"/>
    <w:rsid w:val="001E3752"/>
    <w:rsid w:val="001E3794"/>
    <w:rsid w:val="001E3967"/>
    <w:rsid w:val="001E53DD"/>
    <w:rsid w:val="001E58FB"/>
    <w:rsid w:val="001E62C2"/>
    <w:rsid w:val="001E6836"/>
    <w:rsid w:val="001E6AE7"/>
    <w:rsid w:val="001E7067"/>
    <w:rsid w:val="001E7279"/>
    <w:rsid w:val="001E7A57"/>
    <w:rsid w:val="001F0004"/>
    <w:rsid w:val="001F0216"/>
    <w:rsid w:val="001F0500"/>
    <w:rsid w:val="001F0BAA"/>
    <w:rsid w:val="001F0E12"/>
    <w:rsid w:val="001F1497"/>
    <w:rsid w:val="001F22D8"/>
    <w:rsid w:val="001F28F8"/>
    <w:rsid w:val="001F2B38"/>
    <w:rsid w:val="001F2D6D"/>
    <w:rsid w:val="001F2F95"/>
    <w:rsid w:val="001F34F6"/>
    <w:rsid w:val="001F34FC"/>
    <w:rsid w:val="001F44C1"/>
    <w:rsid w:val="001F4D9D"/>
    <w:rsid w:val="001F4FB4"/>
    <w:rsid w:val="001F5FA2"/>
    <w:rsid w:val="001F79EF"/>
    <w:rsid w:val="001F7A25"/>
    <w:rsid w:val="00202028"/>
    <w:rsid w:val="00202163"/>
    <w:rsid w:val="00203018"/>
    <w:rsid w:val="00203849"/>
    <w:rsid w:val="002070D2"/>
    <w:rsid w:val="0020784E"/>
    <w:rsid w:val="00207D29"/>
    <w:rsid w:val="0021123F"/>
    <w:rsid w:val="002127E6"/>
    <w:rsid w:val="00212C6B"/>
    <w:rsid w:val="0021370D"/>
    <w:rsid w:val="00213AFC"/>
    <w:rsid w:val="00213E23"/>
    <w:rsid w:val="00213E60"/>
    <w:rsid w:val="00214783"/>
    <w:rsid w:val="0021582A"/>
    <w:rsid w:val="00216180"/>
    <w:rsid w:val="002161D5"/>
    <w:rsid w:val="00216667"/>
    <w:rsid w:val="00216A2A"/>
    <w:rsid w:val="00216AC7"/>
    <w:rsid w:val="00217886"/>
    <w:rsid w:val="0022260A"/>
    <w:rsid w:val="00222A87"/>
    <w:rsid w:val="002239B3"/>
    <w:rsid w:val="0022411E"/>
    <w:rsid w:val="0022457E"/>
    <w:rsid w:val="00224973"/>
    <w:rsid w:val="00225495"/>
    <w:rsid w:val="002254D7"/>
    <w:rsid w:val="002258ED"/>
    <w:rsid w:val="00225ACC"/>
    <w:rsid w:val="0022739A"/>
    <w:rsid w:val="00227649"/>
    <w:rsid w:val="00230B68"/>
    <w:rsid w:val="002316F9"/>
    <w:rsid w:val="00231D70"/>
    <w:rsid w:val="0023257B"/>
    <w:rsid w:val="002325EF"/>
    <w:rsid w:val="00232844"/>
    <w:rsid w:val="00232EEF"/>
    <w:rsid w:val="0023345A"/>
    <w:rsid w:val="00233859"/>
    <w:rsid w:val="00233FCA"/>
    <w:rsid w:val="0023410D"/>
    <w:rsid w:val="00234185"/>
    <w:rsid w:val="002349AF"/>
    <w:rsid w:val="00234FD0"/>
    <w:rsid w:val="002365DE"/>
    <w:rsid w:val="00236BF1"/>
    <w:rsid w:val="00236E96"/>
    <w:rsid w:val="0024052B"/>
    <w:rsid w:val="00240DCC"/>
    <w:rsid w:val="00241E58"/>
    <w:rsid w:val="0024207A"/>
    <w:rsid w:val="002429BB"/>
    <w:rsid w:val="00243220"/>
    <w:rsid w:val="00243DD9"/>
    <w:rsid w:val="00245F43"/>
    <w:rsid w:val="00246319"/>
    <w:rsid w:val="00246596"/>
    <w:rsid w:val="00246A3B"/>
    <w:rsid w:val="00247123"/>
    <w:rsid w:val="00247C2B"/>
    <w:rsid w:val="00247F62"/>
    <w:rsid w:val="002501AC"/>
    <w:rsid w:val="00250444"/>
    <w:rsid w:val="00250540"/>
    <w:rsid w:val="00251A6A"/>
    <w:rsid w:val="00254E46"/>
    <w:rsid w:val="00255623"/>
    <w:rsid w:val="00256A8C"/>
    <w:rsid w:val="00256D69"/>
    <w:rsid w:val="00256E28"/>
    <w:rsid w:val="0025701F"/>
    <w:rsid w:val="00257C08"/>
    <w:rsid w:val="00257C96"/>
    <w:rsid w:val="00260027"/>
    <w:rsid w:val="00260FAE"/>
    <w:rsid w:val="00261803"/>
    <w:rsid w:val="00261DD7"/>
    <w:rsid w:val="002622F5"/>
    <w:rsid w:val="00262D11"/>
    <w:rsid w:val="00264098"/>
    <w:rsid w:val="002640AA"/>
    <w:rsid w:val="002653A4"/>
    <w:rsid w:val="00266FB0"/>
    <w:rsid w:val="002679FB"/>
    <w:rsid w:val="00270629"/>
    <w:rsid w:val="00270642"/>
    <w:rsid w:val="0027120F"/>
    <w:rsid w:val="0027280C"/>
    <w:rsid w:val="00272AAC"/>
    <w:rsid w:val="00273255"/>
    <w:rsid w:val="00273734"/>
    <w:rsid w:val="00274BAB"/>
    <w:rsid w:val="00274BFB"/>
    <w:rsid w:val="002757BA"/>
    <w:rsid w:val="00275BCE"/>
    <w:rsid w:val="00275F4C"/>
    <w:rsid w:val="00276691"/>
    <w:rsid w:val="00276DE6"/>
    <w:rsid w:val="00281330"/>
    <w:rsid w:val="00281386"/>
    <w:rsid w:val="002819A3"/>
    <w:rsid w:val="00281D64"/>
    <w:rsid w:val="002820DC"/>
    <w:rsid w:val="00282513"/>
    <w:rsid w:val="002827FE"/>
    <w:rsid w:val="002828BC"/>
    <w:rsid w:val="00283BCD"/>
    <w:rsid w:val="00284374"/>
    <w:rsid w:val="0028458A"/>
    <w:rsid w:val="002850E0"/>
    <w:rsid w:val="00285E2F"/>
    <w:rsid w:val="0028675A"/>
    <w:rsid w:val="002874FD"/>
    <w:rsid w:val="002877C4"/>
    <w:rsid w:val="00290922"/>
    <w:rsid w:val="00290AB7"/>
    <w:rsid w:val="0029154B"/>
    <w:rsid w:val="00292197"/>
    <w:rsid w:val="002921C0"/>
    <w:rsid w:val="00292482"/>
    <w:rsid w:val="00293426"/>
    <w:rsid w:val="0029382C"/>
    <w:rsid w:val="00294877"/>
    <w:rsid w:val="00295485"/>
    <w:rsid w:val="00295D45"/>
    <w:rsid w:val="00295F02"/>
    <w:rsid w:val="00296248"/>
    <w:rsid w:val="00297272"/>
    <w:rsid w:val="00297A45"/>
    <w:rsid w:val="00297A83"/>
    <w:rsid w:val="002A0460"/>
    <w:rsid w:val="002A07C3"/>
    <w:rsid w:val="002A104D"/>
    <w:rsid w:val="002A11BF"/>
    <w:rsid w:val="002A1863"/>
    <w:rsid w:val="002A3404"/>
    <w:rsid w:val="002A3DFD"/>
    <w:rsid w:val="002A42D1"/>
    <w:rsid w:val="002A4A4B"/>
    <w:rsid w:val="002A725F"/>
    <w:rsid w:val="002B0F28"/>
    <w:rsid w:val="002B1643"/>
    <w:rsid w:val="002B1B8F"/>
    <w:rsid w:val="002B1C0B"/>
    <w:rsid w:val="002B1D81"/>
    <w:rsid w:val="002B256B"/>
    <w:rsid w:val="002B4006"/>
    <w:rsid w:val="002B45B9"/>
    <w:rsid w:val="002B53ED"/>
    <w:rsid w:val="002B6023"/>
    <w:rsid w:val="002B6307"/>
    <w:rsid w:val="002B7B48"/>
    <w:rsid w:val="002C0B88"/>
    <w:rsid w:val="002C10A8"/>
    <w:rsid w:val="002C1AE2"/>
    <w:rsid w:val="002C1F2A"/>
    <w:rsid w:val="002C1FFB"/>
    <w:rsid w:val="002C28B9"/>
    <w:rsid w:val="002C3D79"/>
    <w:rsid w:val="002C406F"/>
    <w:rsid w:val="002C409E"/>
    <w:rsid w:val="002C4896"/>
    <w:rsid w:val="002C5698"/>
    <w:rsid w:val="002C6550"/>
    <w:rsid w:val="002C672F"/>
    <w:rsid w:val="002C7011"/>
    <w:rsid w:val="002C7097"/>
    <w:rsid w:val="002C729F"/>
    <w:rsid w:val="002C7C00"/>
    <w:rsid w:val="002D0070"/>
    <w:rsid w:val="002D04FE"/>
    <w:rsid w:val="002D19A3"/>
    <w:rsid w:val="002D1DAD"/>
    <w:rsid w:val="002D1DF6"/>
    <w:rsid w:val="002D1F7E"/>
    <w:rsid w:val="002D24BF"/>
    <w:rsid w:val="002D2E73"/>
    <w:rsid w:val="002D32F3"/>
    <w:rsid w:val="002D38C3"/>
    <w:rsid w:val="002D3BE7"/>
    <w:rsid w:val="002D4028"/>
    <w:rsid w:val="002D4650"/>
    <w:rsid w:val="002D599B"/>
    <w:rsid w:val="002D6084"/>
    <w:rsid w:val="002D6BA6"/>
    <w:rsid w:val="002D776C"/>
    <w:rsid w:val="002D77CE"/>
    <w:rsid w:val="002D78A4"/>
    <w:rsid w:val="002E01D2"/>
    <w:rsid w:val="002E15E7"/>
    <w:rsid w:val="002E169E"/>
    <w:rsid w:val="002E1DA0"/>
    <w:rsid w:val="002E4291"/>
    <w:rsid w:val="002E4917"/>
    <w:rsid w:val="002E4E7D"/>
    <w:rsid w:val="002E52C6"/>
    <w:rsid w:val="002E580D"/>
    <w:rsid w:val="002E6742"/>
    <w:rsid w:val="002F1311"/>
    <w:rsid w:val="002F1A79"/>
    <w:rsid w:val="002F1D8B"/>
    <w:rsid w:val="002F1DB7"/>
    <w:rsid w:val="002F2279"/>
    <w:rsid w:val="002F321C"/>
    <w:rsid w:val="002F4236"/>
    <w:rsid w:val="002F43E6"/>
    <w:rsid w:val="002F503C"/>
    <w:rsid w:val="002F519E"/>
    <w:rsid w:val="002F63B6"/>
    <w:rsid w:val="002F6C39"/>
    <w:rsid w:val="002F7871"/>
    <w:rsid w:val="003003C1"/>
    <w:rsid w:val="00301D9E"/>
    <w:rsid w:val="00302181"/>
    <w:rsid w:val="00303BE7"/>
    <w:rsid w:val="003043D6"/>
    <w:rsid w:val="00304446"/>
    <w:rsid w:val="00304698"/>
    <w:rsid w:val="00306D0C"/>
    <w:rsid w:val="00306E65"/>
    <w:rsid w:val="00307507"/>
    <w:rsid w:val="00310330"/>
    <w:rsid w:val="0031033D"/>
    <w:rsid w:val="0031059C"/>
    <w:rsid w:val="003119BC"/>
    <w:rsid w:val="00311EE5"/>
    <w:rsid w:val="0031223B"/>
    <w:rsid w:val="00312F53"/>
    <w:rsid w:val="003136B5"/>
    <w:rsid w:val="003138B0"/>
    <w:rsid w:val="00313F91"/>
    <w:rsid w:val="003143E6"/>
    <w:rsid w:val="0031638F"/>
    <w:rsid w:val="00316683"/>
    <w:rsid w:val="00322089"/>
    <w:rsid w:val="00322B5E"/>
    <w:rsid w:val="00322F04"/>
    <w:rsid w:val="00322F8F"/>
    <w:rsid w:val="00323D35"/>
    <w:rsid w:val="00324387"/>
    <w:rsid w:val="00325F6D"/>
    <w:rsid w:val="0032634A"/>
    <w:rsid w:val="00326830"/>
    <w:rsid w:val="00327716"/>
    <w:rsid w:val="00327887"/>
    <w:rsid w:val="00327BFF"/>
    <w:rsid w:val="003300DC"/>
    <w:rsid w:val="00331823"/>
    <w:rsid w:val="00332770"/>
    <w:rsid w:val="00332BED"/>
    <w:rsid w:val="00333FFF"/>
    <w:rsid w:val="00334DAD"/>
    <w:rsid w:val="0033561E"/>
    <w:rsid w:val="00335E7C"/>
    <w:rsid w:val="00336CDA"/>
    <w:rsid w:val="003373F3"/>
    <w:rsid w:val="00337D2E"/>
    <w:rsid w:val="0034025A"/>
    <w:rsid w:val="00340603"/>
    <w:rsid w:val="003421C6"/>
    <w:rsid w:val="003423E0"/>
    <w:rsid w:val="003435BD"/>
    <w:rsid w:val="00343A1B"/>
    <w:rsid w:val="00343ED0"/>
    <w:rsid w:val="003445E8"/>
    <w:rsid w:val="0034507F"/>
    <w:rsid w:val="00345DEA"/>
    <w:rsid w:val="00345E08"/>
    <w:rsid w:val="00346042"/>
    <w:rsid w:val="00346436"/>
    <w:rsid w:val="003465F0"/>
    <w:rsid w:val="00346CCB"/>
    <w:rsid w:val="003475AA"/>
    <w:rsid w:val="00347BD9"/>
    <w:rsid w:val="003501F1"/>
    <w:rsid w:val="003504B6"/>
    <w:rsid w:val="0035230D"/>
    <w:rsid w:val="00352348"/>
    <w:rsid w:val="0035266B"/>
    <w:rsid w:val="00352DDF"/>
    <w:rsid w:val="00353F0A"/>
    <w:rsid w:val="00354C81"/>
    <w:rsid w:val="00354D76"/>
    <w:rsid w:val="00356303"/>
    <w:rsid w:val="00357DCA"/>
    <w:rsid w:val="003606CD"/>
    <w:rsid w:val="00360B10"/>
    <w:rsid w:val="00360FE0"/>
    <w:rsid w:val="003613CB"/>
    <w:rsid w:val="00361EEB"/>
    <w:rsid w:val="00362AA2"/>
    <w:rsid w:val="00362B05"/>
    <w:rsid w:val="003659C8"/>
    <w:rsid w:val="00365D60"/>
    <w:rsid w:val="00366791"/>
    <w:rsid w:val="003713E3"/>
    <w:rsid w:val="00371CD5"/>
    <w:rsid w:val="00371E68"/>
    <w:rsid w:val="003720B5"/>
    <w:rsid w:val="0037246B"/>
    <w:rsid w:val="00372C50"/>
    <w:rsid w:val="003731B7"/>
    <w:rsid w:val="00374552"/>
    <w:rsid w:val="00374FFF"/>
    <w:rsid w:val="00375401"/>
    <w:rsid w:val="00375D8F"/>
    <w:rsid w:val="00376631"/>
    <w:rsid w:val="003770D2"/>
    <w:rsid w:val="003817F1"/>
    <w:rsid w:val="00381BB7"/>
    <w:rsid w:val="00381C7B"/>
    <w:rsid w:val="00381F97"/>
    <w:rsid w:val="00382F9C"/>
    <w:rsid w:val="003830C3"/>
    <w:rsid w:val="00383534"/>
    <w:rsid w:val="0038396E"/>
    <w:rsid w:val="00384A7A"/>
    <w:rsid w:val="003858CC"/>
    <w:rsid w:val="00385F2B"/>
    <w:rsid w:val="00385F77"/>
    <w:rsid w:val="003865B9"/>
    <w:rsid w:val="00386C34"/>
    <w:rsid w:val="00386C9A"/>
    <w:rsid w:val="00386D24"/>
    <w:rsid w:val="00386E2C"/>
    <w:rsid w:val="00386F59"/>
    <w:rsid w:val="00387BD9"/>
    <w:rsid w:val="003901B0"/>
    <w:rsid w:val="0039057A"/>
    <w:rsid w:val="00390693"/>
    <w:rsid w:val="0039093C"/>
    <w:rsid w:val="00390A75"/>
    <w:rsid w:val="00390C1B"/>
    <w:rsid w:val="0039586E"/>
    <w:rsid w:val="003A02C5"/>
    <w:rsid w:val="003A041C"/>
    <w:rsid w:val="003A0A4A"/>
    <w:rsid w:val="003A2223"/>
    <w:rsid w:val="003A2C66"/>
    <w:rsid w:val="003A2EC0"/>
    <w:rsid w:val="003A395A"/>
    <w:rsid w:val="003A539C"/>
    <w:rsid w:val="003A59F3"/>
    <w:rsid w:val="003A6341"/>
    <w:rsid w:val="003A6582"/>
    <w:rsid w:val="003A6EE5"/>
    <w:rsid w:val="003A71C9"/>
    <w:rsid w:val="003A78C0"/>
    <w:rsid w:val="003B098D"/>
    <w:rsid w:val="003B10EF"/>
    <w:rsid w:val="003B16D2"/>
    <w:rsid w:val="003B1EA3"/>
    <w:rsid w:val="003B316D"/>
    <w:rsid w:val="003B351F"/>
    <w:rsid w:val="003B49D3"/>
    <w:rsid w:val="003B6081"/>
    <w:rsid w:val="003C07F3"/>
    <w:rsid w:val="003C235C"/>
    <w:rsid w:val="003C3DD9"/>
    <w:rsid w:val="003C424A"/>
    <w:rsid w:val="003C5624"/>
    <w:rsid w:val="003C57B8"/>
    <w:rsid w:val="003C5A04"/>
    <w:rsid w:val="003C7182"/>
    <w:rsid w:val="003C73D0"/>
    <w:rsid w:val="003D0736"/>
    <w:rsid w:val="003D0802"/>
    <w:rsid w:val="003D09D6"/>
    <w:rsid w:val="003D0B64"/>
    <w:rsid w:val="003D0E9F"/>
    <w:rsid w:val="003D12F3"/>
    <w:rsid w:val="003D13C0"/>
    <w:rsid w:val="003D2073"/>
    <w:rsid w:val="003D2F6F"/>
    <w:rsid w:val="003D3D39"/>
    <w:rsid w:val="003D4DBD"/>
    <w:rsid w:val="003D4DC7"/>
    <w:rsid w:val="003D5CC1"/>
    <w:rsid w:val="003D5F47"/>
    <w:rsid w:val="003D680D"/>
    <w:rsid w:val="003D6A51"/>
    <w:rsid w:val="003E0474"/>
    <w:rsid w:val="003E0D7A"/>
    <w:rsid w:val="003E2149"/>
    <w:rsid w:val="003E35CF"/>
    <w:rsid w:val="003E3CF6"/>
    <w:rsid w:val="003E3D19"/>
    <w:rsid w:val="003E3ED4"/>
    <w:rsid w:val="003E440D"/>
    <w:rsid w:val="003E4BD2"/>
    <w:rsid w:val="003E52B4"/>
    <w:rsid w:val="003E5B30"/>
    <w:rsid w:val="003E60DD"/>
    <w:rsid w:val="003E75A3"/>
    <w:rsid w:val="003E78B7"/>
    <w:rsid w:val="003E7C03"/>
    <w:rsid w:val="003E7E2E"/>
    <w:rsid w:val="003F220B"/>
    <w:rsid w:val="003F2EE7"/>
    <w:rsid w:val="003F3A58"/>
    <w:rsid w:val="003F3BB1"/>
    <w:rsid w:val="003F3E08"/>
    <w:rsid w:val="003F45B5"/>
    <w:rsid w:val="003F4CEA"/>
    <w:rsid w:val="003F5078"/>
    <w:rsid w:val="003F50DD"/>
    <w:rsid w:val="004011BF"/>
    <w:rsid w:val="00402447"/>
    <w:rsid w:val="004024BA"/>
    <w:rsid w:val="004050A6"/>
    <w:rsid w:val="00405378"/>
    <w:rsid w:val="004058A3"/>
    <w:rsid w:val="0040713B"/>
    <w:rsid w:val="0040718D"/>
    <w:rsid w:val="004076FE"/>
    <w:rsid w:val="004106C4"/>
    <w:rsid w:val="004107AF"/>
    <w:rsid w:val="00410875"/>
    <w:rsid w:val="0041093D"/>
    <w:rsid w:val="00410E08"/>
    <w:rsid w:val="00411838"/>
    <w:rsid w:val="00413576"/>
    <w:rsid w:val="0041394F"/>
    <w:rsid w:val="00413BA8"/>
    <w:rsid w:val="00413C9A"/>
    <w:rsid w:val="00415FC9"/>
    <w:rsid w:val="00416996"/>
    <w:rsid w:val="00416F2B"/>
    <w:rsid w:val="00417084"/>
    <w:rsid w:val="004171B9"/>
    <w:rsid w:val="00417CB2"/>
    <w:rsid w:val="00417EB4"/>
    <w:rsid w:val="004200BC"/>
    <w:rsid w:val="004208F8"/>
    <w:rsid w:val="00421155"/>
    <w:rsid w:val="0042316A"/>
    <w:rsid w:val="0042360A"/>
    <w:rsid w:val="00425BC1"/>
    <w:rsid w:val="00425E2B"/>
    <w:rsid w:val="004306BD"/>
    <w:rsid w:val="00430A1D"/>
    <w:rsid w:val="00431F2D"/>
    <w:rsid w:val="00432986"/>
    <w:rsid w:val="00432AC1"/>
    <w:rsid w:val="00432B99"/>
    <w:rsid w:val="00433533"/>
    <w:rsid w:val="00433DC0"/>
    <w:rsid w:val="00434624"/>
    <w:rsid w:val="00434F8E"/>
    <w:rsid w:val="004352BF"/>
    <w:rsid w:val="004363BC"/>
    <w:rsid w:val="00440282"/>
    <w:rsid w:val="00440F76"/>
    <w:rsid w:val="00441885"/>
    <w:rsid w:val="00442446"/>
    <w:rsid w:val="004435BD"/>
    <w:rsid w:val="00445BF8"/>
    <w:rsid w:val="004461FA"/>
    <w:rsid w:val="00446D5F"/>
    <w:rsid w:val="00446DFE"/>
    <w:rsid w:val="00447C32"/>
    <w:rsid w:val="00447D4C"/>
    <w:rsid w:val="00451273"/>
    <w:rsid w:val="00451697"/>
    <w:rsid w:val="00451E1D"/>
    <w:rsid w:val="00452645"/>
    <w:rsid w:val="00452EA9"/>
    <w:rsid w:val="004532A1"/>
    <w:rsid w:val="00456517"/>
    <w:rsid w:val="004575EE"/>
    <w:rsid w:val="004576CD"/>
    <w:rsid w:val="00457D5F"/>
    <w:rsid w:val="0046037F"/>
    <w:rsid w:val="0046070F"/>
    <w:rsid w:val="00460B6D"/>
    <w:rsid w:val="00460E12"/>
    <w:rsid w:val="0046180E"/>
    <w:rsid w:val="004622DC"/>
    <w:rsid w:val="00462D39"/>
    <w:rsid w:val="00463E10"/>
    <w:rsid w:val="0046470D"/>
    <w:rsid w:val="004655C2"/>
    <w:rsid w:val="0046682A"/>
    <w:rsid w:val="00470135"/>
    <w:rsid w:val="00470441"/>
    <w:rsid w:val="004704BF"/>
    <w:rsid w:val="00470663"/>
    <w:rsid w:val="004709F4"/>
    <w:rsid w:val="00470C32"/>
    <w:rsid w:val="00470CF5"/>
    <w:rsid w:val="00470D2A"/>
    <w:rsid w:val="00470DBF"/>
    <w:rsid w:val="00471428"/>
    <w:rsid w:val="00471F04"/>
    <w:rsid w:val="00472499"/>
    <w:rsid w:val="00472CA1"/>
    <w:rsid w:val="00473EB2"/>
    <w:rsid w:val="00474B0C"/>
    <w:rsid w:val="0047507A"/>
    <w:rsid w:val="00475160"/>
    <w:rsid w:val="0047589A"/>
    <w:rsid w:val="00475930"/>
    <w:rsid w:val="00476152"/>
    <w:rsid w:val="004764BB"/>
    <w:rsid w:val="00476B19"/>
    <w:rsid w:val="004774CF"/>
    <w:rsid w:val="004777DB"/>
    <w:rsid w:val="0048021A"/>
    <w:rsid w:val="00480F5C"/>
    <w:rsid w:val="00481010"/>
    <w:rsid w:val="004811C7"/>
    <w:rsid w:val="004815F5"/>
    <w:rsid w:val="00481F32"/>
    <w:rsid w:val="0048224F"/>
    <w:rsid w:val="00482CE3"/>
    <w:rsid w:val="00486525"/>
    <w:rsid w:val="00486C7E"/>
    <w:rsid w:val="004878FB"/>
    <w:rsid w:val="00487ACC"/>
    <w:rsid w:val="00487C2B"/>
    <w:rsid w:val="0049067B"/>
    <w:rsid w:val="00490A83"/>
    <w:rsid w:val="004910C3"/>
    <w:rsid w:val="0049119B"/>
    <w:rsid w:val="00491453"/>
    <w:rsid w:val="00491D64"/>
    <w:rsid w:val="00492111"/>
    <w:rsid w:val="0049212F"/>
    <w:rsid w:val="0049238E"/>
    <w:rsid w:val="004949B9"/>
    <w:rsid w:val="00495429"/>
    <w:rsid w:val="00497B74"/>
    <w:rsid w:val="004A07E3"/>
    <w:rsid w:val="004A306E"/>
    <w:rsid w:val="004A3CA1"/>
    <w:rsid w:val="004A71CF"/>
    <w:rsid w:val="004B12E0"/>
    <w:rsid w:val="004B1732"/>
    <w:rsid w:val="004B348C"/>
    <w:rsid w:val="004B49BA"/>
    <w:rsid w:val="004B6D8F"/>
    <w:rsid w:val="004B726E"/>
    <w:rsid w:val="004C02C1"/>
    <w:rsid w:val="004C07B7"/>
    <w:rsid w:val="004C11E0"/>
    <w:rsid w:val="004C13F9"/>
    <w:rsid w:val="004C33C3"/>
    <w:rsid w:val="004C3F0B"/>
    <w:rsid w:val="004C4620"/>
    <w:rsid w:val="004C478B"/>
    <w:rsid w:val="004C5364"/>
    <w:rsid w:val="004C558E"/>
    <w:rsid w:val="004C55E5"/>
    <w:rsid w:val="004C5855"/>
    <w:rsid w:val="004C633B"/>
    <w:rsid w:val="004C64A2"/>
    <w:rsid w:val="004C6C1E"/>
    <w:rsid w:val="004D007B"/>
    <w:rsid w:val="004D096A"/>
    <w:rsid w:val="004D135B"/>
    <w:rsid w:val="004D1798"/>
    <w:rsid w:val="004D27CE"/>
    <w:rsid w:val="004D3671"/>
    <w:rsid w:val="004D43EC"/>
    <w:rsid w:val="004D4ECA"/>
    <w:rsid w:val="004D571A"/>
    <w:rsid w:val="004D58A1"/>
    <w:rsid w:val="004D5C9D"/>
    <w:rsid w:val="004D5F0C"/>
    <w:rsid w:val="004D62BD"/>
    <w:rsid w:val="004D6CEF"/>
    <w:rsid w:val="004D732D"/>
    <w:rsid w:val="004D7752"/>
    <w:rsid w:val="004D7BBE"/>
    <w:rsid w:val="004E0A41"/>
    <w:rsid w:val="004E15D1"/>
    <w:rsid w:val="004E16FF"/>
    <w:rsid w:val="004E3B7F"/>
    <w:rsid w:val="004E3F73"/>
    <w:rsid w:val="004E41FC"/>
    <w:rsid w:val="004E4431"/>
    <w:rsid w:val="004E4DD1"/>
    <w:rsid w:val="004E4FCB"/>
    <w:rsid w:val="004E538C"/>
    <w:rsid w:val="004E555A"/>
    <w:rsid w:val="004E6F58"/>
    <w:rsid w:val="004E7CDA"/>
    <w:rsid w:val="004E7D6B"/>
    <w:rsid w:val="004F0E77"/>
    <w:rsid w:val="004F1CFA"/>
    <w:rsid w:val="004F2AAE"/>
    <w:rsid w:val="004F3192"/>
    <w:rsid w:val="004F3C89"/>
    <w:rsid w:val="004F5B9D"/>
    <w:rsid w:val="004F6034"/>
    <w:rsid w:val="004F666C"/>
    <w:rsid w:val="004F70AF"/>
    <w:rsid w:val="00500621"/>
    <w:rsid w:val="005015E9"/>
    <w:rsid w:val="005026C2"/>
    <w:rsid w:val="00503B44"/>
    <w:rsid w:val="00503CBB"/>
    <w:rsid w:val="0050468F"/>
    <w:rsid w:val="00504713"/>
    <w:rsid w:val="0050483A"/>
    <w:rsid w:val="00507366"/>
    <w:rsid w:val="005079EF"/>
    <w:rsid w:val="00510772"/>
    <w:rsid w:val="0051158F"/>
    <w:rsid w:val="00511F8C"/>
    <w:rsid w:val="00512D28"/>
    <w:rsid w:val="005133F5"/>
    <w:rsid w:val="0051458A"/>
    <w:rsid w:val="0051530E"/>
    <w:rsid w:val="005171E1"/>
    <w:rsid w:val="00517209"/>
    <w:rsid w:val="0051741D"/>
    <w:rsid w:val="00520FF6"/>
    <w:rsid w:val="00521168"/>
    <w:rsid w:val="00522945"/>
    <w:rsid w:val="00522E98"/>
    <w:rsid w:val="005233A7"/>
    <w:rsid w:val="00523AAF"/>
    <w:rsid w:val="00524A7D"/>
    <w:rsid w:val="0052557B"/>
    <w:rsid w:val="00526C3E"/>
    <w:rsid w:val="005274DE"/>
    <w:rsid w:val="005278B5"/>
    <w:rsid w:val="00527CA0"/>
    <w:rsid w:val="005309AF"/>
    <w:rsid w:val="0053197B"/>
    <w:rsid w:val="00531C7E"/>
    <w:rsid w:val="00532762"/>
    <w:rsid w:val="00532D04"/>
    <w:rsid w:val="0053334C"/>
    <w:rsid w:val="005339CD"/>
    <w:rsid w:val="0053466B"/>
    <w:rsid w:val="00536C0B"/>
    <w:rsid w:val="00536DC2"/>
    <w:rsid w:val="00537195"/>
    <w:rsid w:val="00537250"/>
    <w:rsid w:val="005375DD"/>
    <w:rsid w:val="005378DD"/>
    <w:rsid w:val="00537DB1"/>
    <w:rsid w:val="00540815"/>
    <w:rsid w:val="00541CF0"/>
    <w:rsid w:val="00543720"/>
    <w:rsid w:val="0054455B"/>
    <w:rsid w:val="00544D70"/>
    <w:rsid w:val="00546802"/>
    <w:rsid w:val="005472C8"/>
    <w:rsid w:val="00547852"/>
    <w:rsid w:val="00550518"/>
    <w:rsid w:val="00550A4B"/>
    <w:rsid w:val="00550DC4"/>
    <w:rsid w:val="00550E34"/>
    <w:rsid w:val="0055175A"/>
    <w:rsid w:val="005529DB"/>
    <w:rsid w:val="00553201"/>
    <w:rsid w:val="00553355"/>
    <w:rsid w:val="0055380C"/>
    <w:rsid w:val="00553862"/>
    <w:rsid w:val="005549B9"/>
    <w:rsid w:val="00554C05"/>
    <w:rsid w:val="005562BA"/>
    <w:rsid w:val="00556D05"/>
    <w:rsid w:val="00556E72"/>
    <w:rsid w:val="0055793C"/>
    <w:rsid w:val="00560442"/>
    <w:rsid w:val="00560580"/>
    <w:rsid w:val="00560B2E"/>
    <w:rsid w:val="00561551"/>
    <w:rsid w:val="00561DF0"/>
    <w:rsid w:val="00562D36"/>
    <w:rsid w:val="00562F88"/>
    <w:rsid w:val="0056319D"/>
    <w:rsid w:val="00563743"/>
    <w:rsid w:val="00563BED"/>
    <w:rsid w:val="00563F42"/>
    <w:rsid w:val="005657A1"/>
    <w:rsid w:val="00566D0A"/>
    <w:rsid w:val="0056716D"/>
    <w:rsid w:val="00567B40"/>
    <w:rsid w:val="00570EFB"/>
    <w:rsid w:val="0057159F"/>
    <w:rsid w:val="005718D7"/>
    <w:rsid w:val="00572D28"/>
    <w:rsid w:val="005735FD"/>
    <w:rsid w:val="00574131"/>
    <w:rsid w:val="00575178"/>
    <w:rsid w:val="00575960"/>
    <w:rsid w:val="00575D02"/>
    <w:rsid w:val="00575EDB"/>
    <w:rsid w:val="00576D2A"/>
    <w:rsid w:val="00580EA3"/>
    <w:rsid w:val="005813BE"/>
    <w:rsid w:val="00581584"/>
    <w:rsid w:val="005816FD"/>
    <w:rsid w:val="005819C1"/>
    <w:rsid w:val="005821E9"/>
    <w:rsid w:val="00582358"/>
    <w:rsid w:val="00582E6A"/>
    <w:rsid w:val="00583C94"/>
    <w:rsid w:val="005851B9"/>
    <w:rsid w:val="00585E5C"/>
    <w:rsid w:val="005866B9"/>
    <w:rsid w:val="00586F2E"/>
    <w:rsid w:val="00587946"/>
    <w:rsid w:val="00590003"/>
    <w:rsid w:val="00590264"/>
    <w:rsid w:val="005902A1"/>
    <w:rsid w:val="00590B92"/>
    <w:rsid w:val="00590D96"/>
    <w:rsid w:val="00591500"/>
    <w:rsid w:val="00592012"/>
    <w:rsid w:val="00592211"/>
    <w:rsid w:val="0059258E"/>
    <w:rsid w:val="00594FCF"/>
    <w:rsid w:val="00595261"/>
    <w:rsid w:val="005953FF"/>
    <w:rsid w:val="00595743"/>
    <w:rsid w:val="00597832"/>
    <w:rsid w:val="00597E3F"/>
    <w:rsid w:val="005A193C"/>
    <w:rsid w:val="005A1C9A"/>
    <w:rsid w:val="005A3323"/>
    <w:rsid w:val="005A43BF"/>
    <w:rsid w:val="005A4CCB"/>
    <w:rsid w:val="005A4EB6"/>
    <w:rsid w:val="005A4ECE"/>
    <w:rsid w:val="005A67E3"/>
    <w:rsid w:val="005A6A61"/>
    <w:rsid w:val="005A767F"/>
    <w:rsid w:val="005A79D8"/>
    <w:rsid w:val="005A7E25"/>
    <w:rsid w:val="005B0441"/>
    <w:rsid w:val="005B0602"/>
    <w:rsid w:val="005B136E"/>
    <w:rsid w:val="005B23C0"/>
    <w:rsid w:val="005B2756"/>
    <w:rsid w:val="005B2B7B"/>
    <w:rsid w:val="005B3D48"/>
    <w:rsid w:val="005B4294"/>
    <w:rsid w:val="005B4866"/>
    <w:rsid w:val="005B55A0"/>
    <w:rsid w:val="005B56F5"/>
    <w:rsid w:val="005B67C6"/>
    <w:rsid w:val="005B6837"/>
    <w:rsid w:val="005B7049"/>
    <w:rsid w:val="005B7660"/>
    <w:rsid w:val="005C004B"/>
    <w:rsid w:val="005C00D4"/>
    <w:rsid w:val="005C0117"/>
    <w:rsid w:val="005C1D28"/>
    <w:rsid w:val="005C3932"/>
    <w:rsid w:val="005C4191"/>
    <w:rsid w:val="005C4F3F"/>
    <w:rsid w:val="005C5052"/>
    <w:rsid w:val="005C5083"/>
    <w:rsid w:val="005C5719"/>
    <w:rsid w:val="005C59AC"/>
    <w:rsid w:val="005C6AE4"/>
    <w:rsid w:val="005C6F1F"/>
    <w:rsid w:val="005C7F03"/>
    <w:rsid w:val="005D0926"/>
    <w:rsid w:val="005D0C43"/>
    <w:rsid w:val="005D0DAD"/>
    <w:rsid w:val="005D0E7B"/>
    <w:rsid w:val="005D101E"/>
    <w:rsid w:val="005D135D"/>
    <w:rsid w:val="005D1E3B"/>
    <w:rsid w:val="005D40BA"/>
    <w:rsid w:val="005D4F9D"/>
    <w:rsid w:val="005D5EA9"/>
    <w:rsid w:val="005D6315"/>
    <w:rsid w:val="005D6A31"/>
    <w:rsid w:val="005D7121"/>
    <w:rsid w:val="005D777C"/>
    <w:rsid w:val="005E0338"/>
    <w:rsid w:val="005E04B9"/>
    <w:rsid w:val="005E11B1"/>
    <w:rsid w:val="005E2072"/>
    <w:rsid w:val="005E20FD"/>
    <w:rsid w:val="005E2517"/>
    <w:rsid w:val="005E2BE9"/>
    <w:rsid w:val="005E35BE"/>
    <w:rsid w:val="005E4A41"/>
    <w:rsid w:val="005E563E"/>
    <w:rsid w:val="005E6A8F"/>
    <w:rsid w:val="005E702C"/>
    <w:rsid w:val="005F007A"/>
    <w:rsid w:val="005F0088"/>
    <w:rsid w:val="005F00AB"/>
    <w:rsid w:val="005F1D40"/>
    <w:rsid w:val="005F48DB"/>
    <w:rsid w:val="005F5275"/>
    <w:rsid w:val="005F53D0"/>
    <w:rsid w:val="005F573B"/>
    <w:rsid w:val="005F57E3"/>
    <w:rsid w:val="005F65B7"/>
    <w:rsid w:val="005F7098"/>
    <w:rsid w:val="005F753F"/>
    <w:rsid w:val="005F76FA"/>
    <w:rsid w:val="005F7D3F"/>
    <w:rsid w:val="0060038F"/>
    <w:rsid w:val="00600BE5"/>
    <w:rsid w:val="0060145E"/>
    <w:rsid w:val="0060161B"/>
    <w:rsid w:val="006021AD"/>
    <w:rsid w:val="0060283D"/>
    <w:rsid w:val="006030EA"/>
    <w:rsid w:val="00603D61"/>
    <w:rsid w:val="00603E69"/>
    <w:rsid w:val="00603EE9"/>
    <w:rsid w:val="0060525F"/>
    <w:rsid w:val="006054F6"/>
    <w:rsid w:val="006070E0"/>
    <w:rsid w:val="00607461"/>
    <w:rsid w:val="0061020A"/>
    <w:rsid w:val="00611C70"/>
    <w:rsid w:val="00612935"/>
    <w:rsid w:val="00612A0A"/>
    <w:rsid w:val="00613444"/>
    <w:rsid w:val="00613505"/>
    <w:rsid w:val="00613752"/>
    <w:rsid w:val="00613909"/>
    <w:rsid w:val="00613FB6"/>
    <w:rsid w:val="00614336"/>
    <w:rsid w:val="006147C7"/>
    <w:rsid w:val="00615E9B"/>
    <w:rsid w:val="00615FF8"/>
    <w:rsid w:val="006169EE"/>
    <w:rsid w:val="00616D18"/>
    <w:rsid w:val="006172D0"/>
    <w:rsid w:val="00617A6C"/>
    <w:rsid w:val="00621105"/>
    <w:rsid w:val="006227E9"/>
    <w:rsid w:val="00622907"/>
    <w:rsid w:val="00623297"/>
    <w:rsid w:val="00623ED5"/>
    <w:rsid w:val="006249A0"/>
    <w:rsid w:val="00624F70"/>
    <w:rsid w:val="00625696"/>
    <w:rsid w:val="00626A30"/>
    <w:rsid w:val="00631E22"/>
    <w:rsid w:val="00632BF9"/>
    <w:rsid w:val="0063427D"/>
    <w:rsid w:val="006346F2"/>
    <w:rsid w:val="00637D69"/>
    <w:rsid w:val="00637DFF"/>
    <w:rsid w:val="0064177D"/>
    <w:rsid w:val="00641FCE"/>
    <w:rsid w:val="00642B39"/>
    <w:rsid w:val="006439E9"/>
    <w:rsid w:val="006443B4"/>
    <w:rsid w:val="00644AA8"/>
    <w:rsid w:val="00644D83"/>
    <w:rsid w:val="0064529F"/>
    <w:rsid w:val="00645EB0"/>
    <w:rsid w:val="00647C11"/>
    <w:rsid w:val="00647E52"/>
    <w:rsid w:val="00647F15"/>
    <w:rsid w:val="00647F6A"/>
    <w:rsid w:val="00650101"/>
    <w:rsid w:val="00650485"/>
    <w:rsid w:val="006517FF"/>
    <w:rsid w:val="006519F7"/>
    <w:rsid w:val="00651B5B"/>
    <w:rsid w:val="00651D73"/>
    <w:rsid w:val="00652C32"/>
    <w:rsid w:val="00652C72"/>
    <w:rsid w:val="00652CB0"/>
    <w:rsid w:val="00652D94"/>
    <w:rsid w:val="00652E85"/>
    <w:rsid w:val="006541F1"/>
    <w:rsid w:val="00655552"/>
    <w:rsid w:val="00655B9F"/>
    <w:rsid w:val="00656236"/>
    <w:rsid w:val="00656616"/>
    <w:rsid w:val="006568E7"/>
    <w:rsid w:val="006618D7"/>
    <w:rsid w:val="0066212B"/>
    <w:rsid w:val="006642A3"/>
    <w:rsid w:val="0066436D"/>
    <w:rsid w:val="006644E5"/>
    <w:rsid w:val="00665C5A"/>
    <w:rsid w:val="0066750C"/>
    <w:rsid w:val="00667F7D"/>
    <w:rsid w:val="0067038F"/>
    <w:rsid w:val="006725B4"/>
    <w:rsid w:val="006733A7"/>
    <w:rsid w:val="006733F1"/>
    <w:rsid w:val="006734E7"/>
    <w:rsid w:val="00673531"/>
    <w:rsid w:val="0067456F"/>
    <w:rsid w:val="006746AD"/>
    <w:rsid w:val="00674B5F"/>
    <w:rsid w:val="00677BFB"/>
    <w:rsid w:val="00680F96"/>
    <w:rsid w:val="00681BEA"/>
    <w:rsid w:val="0068216E"/>
    <w:rsid w:val="00682FF9"/>
    <w:rsid w:val="00683C8B"/>
    <w:rsid w:val="00684CCD"/>
    <w:rsid w:val="006854C7"/>
    <w:rsid w:val="00686032"/>
    <w:rsid w:val="00686A70"/>
    <w:rsid w:val="00687D21"/>
    <w:rsid w:val="006904B4"/>
    <w:rsid w:val="00690C81"/>
    <w:rsid w:val="00690FBE"/>
    <w:rsid w:val="006917EF"/>
    <w:rsid w:val="00692300"/>
    <w:rsid w:val="00692746"/>
    <w:rsid w:val="00692753"/>
    <w:rsid w:val="00692B37"/>
    <w:rsid w:val="00692F5C"/>
    <w:rsid w:val="00694DB1"/>
    <w:rsid w:val="00694FED"/>
    <w:rsid w:val="00695992"/>
    <w:rsid w:val="00696B07"/>
    <w:rsid w:val="00696F85"/>
    <w:rsid w:val="00697E64"/>
    <w:rsid w:val="00697E93"/>
    <w:rsid w:val="006A1AE5"/>
    <w:rsid w:val="006A3025"/>
    <w:rsid w:val="006A304C"/>
    <w:rsid w:val="006A3A1B"/>
    <w:rsid w:val="006A3DD5"/>
    <w:rsid w:val="006A4D28"/>
    <w:rsid w:val="006A5273"/>
    <w:rsid w:val="006A553C"/>
    <w:rsid w:val="006A55BE"/>
    <w:rsid w:val="006A6A6B"/>
    <w:rsid w:val="006A71DE"/>
    <w:rsid w:val="006A72E0"/>
    <w:rsid w:val="006A74B5"/>
    <w:rsid w:val="006A773A"/>
    <w:rsid w:val="006A7C9F"/>
    <w:rsid w:val="006B01EC"/>
    <w:rsid w:val="006B16B5"/>
    <w:rsid w:val="006B4F59"/>
    <w:rsid w:val="006B5155"/>
    <w:rsid w:val="006B5F62"/>
    <w:rsid w:val="006B7956"/>
    <w:rsid w:val="006B7D18"/>
    <w:rsid w:val="006B7DB9"/>
    <w:rsid w:val="006C0279"/>
    <w:rsid w:val="006C0486"/>
    <w:rsid w:val="006C12B7"/>
    <w:rsid w:val="006C1C0F"/>
    <w:rsid w:val="006C1F46"/>
    <w:rsid w:val="006C3370"/>
    <w:rsid w:val="006C3BD2"/>
    <w:rsid w:val="006C412F"/>
    <w:rsid w:val="006C42EE"/>
    <w:rsid w:val="006C58D8"/>
    <w:rsid w:val="006C644A"/>
    <w:rsid w:val="006C6692"/>
    <w:rsid w:val="006C72F0"/>
    <w:rsid w:val="006D07E4"/>
    <w:rsid w:val="006D2B76"/>
    <w:rsid w:val="006D300C"/>
    <w:rsid w:val="006D3AEE"/>
    <w:rsid w:val="006D3EF4"/>
    <w:rsid w:val="006D580E"/>
    <w:rsid w:val="006D587B"/>
    <w:rsid w:val="006D5A2E"/>
    <w:rsid w:val="006D5F5D"/>
    <w:rsid w:val="006D6654"/>
    <w:rsid w:val="006D69B4"/>
    <w:rsid w:val="006D6BC2"/>
    <w:rsid w:val="006D6C14"/>
    <w:rsid w:val="006D6D78"/>
    <w:rsid w:val="006D6E9B"/>
    <w:rsid w:val="006D74CE"/>
    <w:rsid w:val="006D75F6"/>
    <w:rsid w:val="006D7CAF"/>
    <w:rsid w:val="006E0736"/>
    <w:rsid w:val="006E08BF"/>
    <w:rsid w:val="006E0943"/>
    <w:rsid w:val="006E1154"/>
    <w:rsid w:val="006E1558"/>
    <w:rsid w:val="006E1B56"/>
    <w:rsid w:val="006E1FFD"/>
    <w:rsid w:val="006E2F6B"/>
    <w:rsid w:val="006E36D5"/>
    <w:rsid w:val="006E3C83"/>
    <w:rsid w:val="006E3D64"/>
    <w:rsid w:val="006E63AD"/>
    <w:rsid w:val="006E6AC6"/>
    <w:rsid w:val="006F08B8"/>
    <w:rsid w:val="006F0F1F"/>
    <w:rsid w:val="006F14FF"/>
    <w:rsid w:val="006F1B8E"/>
    <w:rsid w:val="006F2908"/>
    <w:rsid w:val="006F322D"/>
    <w:rsid w:val="006F4101"/>
    <w:rsid w:val="006F5B6B"/>
    <w:rsid w:val="006F5E44"/>
    <w:rsid w:val="006F5F87"/>
    <w:rsid w:val="006F6134"/>
    <w:rsid w:val="006F6D4C"/>
    <w:rsid w:val="006F74D8"/>
    <w:rsid w:val="006F76DC"/>
    <w:rsid w:val="006F7B7E"/>
    <w:rsid w:val="007001FA"/>
    <w:rsid w:val="00701C98"/>
    <w:rsid w:val="007031EF"/>
    <w:rsid w:val="0070327A"/>
    <w:rsid w:val="00704384"/>
    <w:rsid w:val="007044C3"/>
    <w:rsid w:val="00705CC7"/>
    <w:rsid w:val="00705F2E"/>
    <w:rsid w:val="0070631D"/>
    <w:rsid w:val="00706A76"/>
    <w:rsid w:val="00707313"/>
    <w:rsid w:val="00707C43"/>
    <w:rsid w:val="007106F9"/>
    <w:rsid w:val="0071083E"/>
    <w:rsid w:val="00711442"/>
    <w:rsid w:val="00711504"/>
    <w:rsid w:val="00711B41"/>
    <w:rsid w:val="00711BAF"/>
    <w:rsid w:val="007120A5"/>
    <w:rsid w:val="0071231A"/>
    <w:rsid w:val="00712520"/>
    <w:rsid w:val="007129BF"/>
    <w:rsid w:val="00713431"/>
    <w:rsid w:val="00713DBC"/>
    <w:rsid w:val="007145BD"/>
    <w:rsid w:val="00714CB2"/>
    <w:rsid w:val="0071609D"/>
    <w:rsid w:val="00716465"/>
    <w:rsid w:val="00716481"/>
    <w:rsid w:val="00716B48"/>
    <w:rsid w:val="00716C2C"/>
    <w:rsid w:val="00720C65"/>
    <w:rsid w:val="00722381"/>
    <w:rsid w:val="00722E89"/>
    <w:rsid w:val="00723277"/>
    <w:rsid w:val="00724241"/>
    <w:rsid w:val="007300CF"/>
    <w:rsid w:val="00730A3B"/>
    <w:rsid w:val="00731304"/>
    <w:rsid w:val="00733213"/>
    <w:rsid w:val="00734B70"/>
    <w:rsid w:val="00734FE8"/>
    <w:rsid w:val="0073580E"/>
    <w:rsid w:val="00735D41"/>
    <w:rsid w:val="00735DC8"/>
    <w:rsid w:val="007372E4"/>
    <w:rsid w:val="007375DC"/>
    <w:rsid w:val="00737FBF"/>
    <w:rsid w:val="0074118C"/>
    <w:rsid w:val="00741823"/>
    <w:rsid w:val="00741B63"/>
    <w:rsid w:val="00741DF4"/>
    <w:rsid w:val="0074269F"/>
    <w:rsid w:val="00742B73"/>
    <w:rsid w:val="00743ECD"/>
    <w:rsid w:val="00744BFF"/>
    <w:rsid w:val="00744EFB"/>
    <w:rsid w:val="00745462"/>
    <w:rsid w:val="00745838"/>
    <w:rsid w:val="00746137"/>
    <w:rsid w:val="007464F1"/>
    <w:rsid w:val="0074682B"/>
    <w:rsid w:val="007471F0"/>
    <w:rsid w:val="00750BE5"/>
    <w:rsid w:val="007513D3"/>
    <w:rsid w:val="007513DF"/>
    <w:rsid w:val="007516B8"/>
    <w:rsid w:val="00752433"/>
    <w:rsid w:val="00753FDD"/>
    <w:rsid w:val="00754B90"/>
    <w:rsid w:val="00754F89"/>
    <w:rsid w:val="00755B23"/>
    <w:rsid w:val="0075622C"/>
    <w:rsid w:val="007565BF"/>
    <w:rsid w:val="007568AA"/>
    <w:rsid w:val="00757AB7"/>
    <w:rsid w:val="0076074B"/>
    <w:rsid w:val="00760FA2"/>
    <w:rsid w:val="007624AD"/>
    <w:rsid w:val="007625C7"/>
    <w:rsid w:val="00763125"/>
    <w:rsid w:val="007648CC"/>
    <w:rsid w:val="0076576F"/>
    <w:rsid w:val="00766FA7"/>
    <w:rsid w:val="00770EB4"/>
    <w:rsid w:val="007717B8"/>
    <w:rsid w:val="007731F8"/>
    <w:rsid w:val="0077482D"/>
    <w:rsid w:val="00774D0A"/>
    <w:rsid w:val="00774FBC"/>
    <w:rsid w:val="00775345"/>
    <w:rsid w:val="007755A5"/>
    <w:rsid w:val="00775CE9"/>
    <w:rsid w:val="00775E7D"/>
    <w:rsid w:val="00776678"/>
    <w:rsid w:val="007777F7"/>
    <w:rsid w:val="0078054A"/>
    <w:rsid w:val="00780AB2"/>
    <w:rsid w:val="00780CAB"/>
    <w:rsid w:val="00781C82"/>
    <w:rsid w:val="007823FE"/>
    <w:rsid w:val="0078288F"/>
    <w:rsid w:val="00783516"/>
    <w:rsid w:val="00784A8B"/>
    <w:rsid w:val="007855F8"/>
    <w:rsid w:val="00785A73"/>
    <w:rsid w:val="00786FFA"/>
    <w:rsid w:val="00787D7E"/>
    <w:rsid w:val="00790559"/>
    <w:rsid w:val="00791706"/>
    <w:rsid w:val="00793FEE"/>
    <w:rsid w:val="007941AF"/>
    <w:rsid w:val="0079456C"/>
    <w:rsid w:val="00794CFD"/>
    <w:rsid w:val="00796003"/>
    <w:rsid w:val="00796203"/>
    <w:rsid w:val="00796846"/>
    <w:rsid w:val="007974FD"/>
    <w:rsid w:val="007A0CD9"/>
    <w:rsid w:val="007A1377"/>
    <w:rsid w:val="007A1A96"/>
    <w:rsid w:val="007A2284"/>
    <w:rsid w:val="007A2DD9"/>
    <w:rsid w:val="007A3BBB"/>
    <w:rsid w:val="007A3C7C"/>
    <w:rsid w:val="007A4821"/>
    <w:rsid w:val="007A55B6"/>
    <w:rsid w:val="007A55BE"/>
    <w:rsid w:val="007A56F0"/>
    <w:rsid w:val="007A5DBD"/>
    <w:rsid w:val="007A635D"/>
    <w:rsid w:val="007A66E8"/>
    <w:rsid w:val="007B0237"/>
    <w:rsid w:val="007B0617"/>
    <w:rsid w:val="007B0B4B"/>
    <w:rsid w:val="007B1DB2"/>
    <w:rsid w:val="007B210C"/>
    <w:rsid w:val="007B21B3"/>
    <w:rsid w:val="007B2A9F"/>
    <w:rsid w:val="007B34FA"/>
    <w:rsid w:val="007B3DDB"/>
    <w:rsid w:val="007B44F6"/>
    <w:rsid w:val="007B4998"/>
    <w:rsid w:val="007B56AF"/>
    <w:rsid w:val="007B5EF5"/>
    <w:rsid w:val="007B609F"/>
    <w:rsid w:val="007B71B3"/>
    <w:rsid w:val="007B72CD"/>
    <w:rsid w:val="007C093E"/>
    <w:rsid w:val="007C1171"/>
    <w:rsid w:val="007C146E"/>
    <w:rsid w:val="007C21ED"/>
    <w:rsid w:val="007C2245"/>
    <w:rsid w:val="007C26DE"/>
    <w:rsid w:val="007C2A67"/>
    <w:rsid w:val="007C3E81"/>
    <w:rsid w:val="007C4581"/>
    <w:rsid w:val="007C4AB4"/>
    <w:rsid w:val="007D1541"/>
    <w:rsid w:val="007D18FB"/>
    <w:rsid w:val="007D267D"/>
    <w:rsid w:val="007D4DAF"/>
    <w:rsid w:val="007D5045"/>
    <w:rsid w:val="007D53C4"/>
    <w:rsid w:val="007D5E91"/>
    <w:rsid w:val="007D702E"/>
    <w:rsid w:val="007D718E"/>
    <w:rsid w:val="007D77DD"/>
    <w:rsid w:val="007D79D3"/>
    <w:rsid w:val="007E07E3"/>
    <w:rsid w:val="007E188D"/>
    <w:rsid w:val="007E1C10"/>
    <w:rsid w:val="007E22A2"/>
    <w:rsid w:val="007E2B07"/>
    <w:rsid w:val="007E388D"/>
    <w:rsid w:val="007E3BE7"/>
    <w:rsid w:val="007E4384"/>
    <w:rsid w:val="007E4E83"/>
    <w:rsid w:val="007E4FB9"/>
    <w:rsid w:val="007E5370"/>
    <w:rsid w:val="007E648D"/>
    <w:rsid w:val="007E6B7A"/>
    <w:rsid w:val="007E7F78"/>
    <w:rsid w:val="007F0163"/>
    <w:rsid w:val="007F1BE4"/>
    <w:rsid w:val="007F1D87"/>
    <w:rsid w:val="007F2C87"/>
    <w:rsid w:val="007F531E"/>
    <w:rsid w:val="007F5994"/>
    <w:rsid w:val="008003EA"/>
    <w:rsid w:val="008016CE"/>
    <w:rsid w:val="008019A6"/>
    <w:rsid w:val="008038AA"/>
    <w:rsid w:val="0080454F"/>
    <w:rsid w:val="00804869"/>
    <w:rsid w:val="00804995"/>
    <w:rsid w:val="008055CE"/>
    <w:rsid w:val="00806A5C"/>
    <w:rsid w:val="0080735C"/>
    <w:rsid w:val="008118BB"/>
    <w:rsid w:val="00811CB4"/>
    <w:rsid w:val="00811E36"/>
    <w:rsid w:val="00812192"/>
    <w:rsid w:val="008127C6"/>
    <w:rsid w:val="00812A3E"/>
    <w:rsid w:val="008137DD"/>
    <w:rsid w:val="00813B56"/>
    <w:rsid w:val="008142F1"/>
    <w:rsid w:val="008147A5"/>
    <w:rsid w:val="00814EB0"/>
    <w:rsid w:val="00815FFB"/>
    <w:rsid w:val="008168BE"/>
    <w:rsid w:val="008171DA"/>
    <w:rsid w:val="0082100F"/>
    <w:rsid w:val="0082205B"/>
    <w:rsid w:val="00822D04"/>
    <w:rsid w:val="008243A7"/>
    <w:rsid w:val="00824736"/>
    <w:rsid w:val="008259D2"/>
    <w:rsid w:val="00825C60"/>
    <w:rsid w:val="00825E17"/>
    <w:rsid w:val="00826327"/>
    <w:rsid w:val="00826C8C"/>
    <w:rsid w:val="00826EA2"/>
    <w:rsid w:val="00827762"/>
    <w:rsid w:val="008301A4"/>
    <w:rsid w:val="00830481"/>
    <w:rsid w:val="008324C4"/>
    <w:rsid w:val="00833DA0"/>
    <w:rsid w:val="0083522A"/>
    <w:rsid w:val="008357D8"/>
    <w:rsid w:val="0083619D"/>
    <w:rsid w:val="00836466"/>
    <w:rsid w:val="0083683C"/>
    <w:rsid w:val="008374F9"/>
    <w:rsid w:val="00843197"/>
    <w:rsid w:val="00843527"/>
    <w:rsid w:val="0084366A"/>
    <w:rsid w:val="00844E20"/>
    <w:rsid w:val="008452A4"/>
    <w:rsid w:val="008472DB"/>
    <w:rsid w:val="0084737C"/>
    <w:rsid w:val="00847C71"/>
    <w:rsid w:val="008501C7"/>
    <w:rsid w:val="0085071A"/>
    <w:rsid w:val="00850B26"/>
    <w:rsid w:val="00850BAB"/>
    <w:rsid w:val="00850BE9"/>
    <w:rsid w:val="00851715"/>
    <w:rsid w:val="00851C2C"/>
    <w:rsid w:val="00852828"/>
    <w:rsid w:val="00852E2C"/>
    <w:rsid w:val="00853B55"/>
    <w:rsid w:val="008550F7"/>
    <w:rsid w:val="00855DC9"/>
    <w:rsid w:val="00855F0D"/>
    <w:rsid w:val="008567AC"/>
    <w:rsid w:val="00856F31"/>
    <w:rsid w:val="00857135"/>
    <w:rsid w:val="0085793D"/>
    <w:rsid w:val="00857A5F"/>
    <w:rsid w:val="00857EC9"/>
    <w:rsid w:val="00862255"/>
    <w:rsid w:val="008622D3"/>
    <w:rsid w:val="00862635"/>
    <w:rsid w:val="00862D47"/>
    <w:rsid w:val="0086313B"/>
    <w:rsid w:val="0086363C"/>
    <w:rsid w:val="00863758"/>
    <w:rsid w:val="008638FF"/>
    <w:rsid w:val="00865E84"/>
    <w:rsid w:val="008669F7"/>
    <w:rsid w:val="00867706"/>
    <w:rsid w:val="0087082D"/>
    <w:rsid w:val="00870F6E"/>
    <w:rsid w:val="00872B05"/>
    <w:rsid w:val="00872B80"/>
    <w:rsid w:val="00873C8C"/>
    <w:rsid w:val="00873CE8"/>
    <w:rsid w:val="00873F4C"/>
    <w:rsid w:val="00874E15"/>
    <w:rsid w:val="00875647"/>
    <w:rsid w:val="00875E55"/>
    <w:rsid w:val="0087679C"/>
    <w:rsid w:val="0088039A"/>
    <w:rsid w:val="008803AA"/>
    <w:rsid w:val="00880705"/>
    <w:rsid w:val="00881806"/>
    <w:rsid w:val="0088223B"/>
    <w:rsid w:val="00882365"/>
    <w:rsid w:val="00882500"/>
    <w:rsid w:val="008825F7"/>
    <w:rsid w:val="00882AB6"/>
    <w:rsid w:val="00883A28"/>
    <w:rsid w:val="00883C12"/>
    <w:rsid w:val="00884201"/>
    <w:rsid w:val="0088420E"/>
    <w:rsid w:val="008842D3"/>
    <w:rsid w:val="00884F7C"/>
    <w:rsid w:val="008859EF"/>
    <w:rsid w:val="008859F1"/>
    <w:rsid w:val="00886439"/>
    <w:rsid w:val="008868CD"/>
    <w:rsid w:val="00887033"/>
    <w:rsid w:val="00887298"/>
    <w:rsid w:val="00887E9E"/>
    <w:rsid w:val="00887FCD"/>
    <w:rsid w:val="00891708"/>
    <w:rsid w:val="00891C40"/>
    <w:rsid w:val="00893825"/>
    <w:rsid w:val="008949E7"/>
    <w:rsid w:val="00894CC0"/>
    <w:rsid w:val="0089557A"/>
    <w:rsid w:val="008958E7"/>
    <w:rsid w:val="00896985"/>
    <w:rsid w:val="0089740F"/>
    <w:rsid w:val="008A047D"/>
    <w:rsid w:val="008A2F1E"/>
    <w:rsid w:val="008A3219"/>
    <w:rsid w:val="008A36B0"/>
    <w:rsid w:val="008A40EE"/>
    <w:rsid w:val="008A4713"/>
    <w:rsid w:val="008A493F"/>
    <w:rsid w:val="008A5E5F"/>
    <w:rsid w:val="008A5E67"/>
    <w:rsid w:val="008A659C"/>
    <w:rsid w:val="008A6B36"/>
    <w:rsid w:val="008A6D42"/>
    <w:rsid w:val="008A7B45"/>
    <w:rsid w:val="008A7E87"/>
    <w:rsid w:val="008B03C3"/>
    <w:rsid w:val="008B112F"/>
    <w:rsid w:val="008B1EA0"/>
    <w:rsid w:val="008B20D3"/>
    <w:rsid w:val="008B2307"/>
    <w:rsid w:val="008B25CA"/>
    <w:rsid w:val="008B2902"/>
    <w:rsid w:val="008B2C49"/>
    <w:rsid w:val="008B2D5D"/>
    <w:rsid w:val="008B4576"/>
    <w:rsid w:val="008B57F9"/>
    <w:rsid w:val="008B60C2"/>
    <w:rsid w:val="008B633D"/>
    <w:rsid w:val="008B72CD"/>
    <w:rsid w:val="008C0F6C"/>
    <w:rsid w:val="008C3183"/>
    <w:rsid w:val="008C34E1"/>
    <w:rsid w:val="008C34F1"/>
    <w:rsid w:val="008C3F11"/>
    <w:rsid w:val="008C4351"/>
    <w:rsid w:val="008C57C8"/>
    <w:rsid w:val="008C622F"/>
    <w:rsid w:val="008C62DD"/>
    <w:rsid w:val="008C6350"/>
    <w:rsid w:val="008C7168"/>
    <w:rsid w:val="008C75EB"/>
    <w:rsid w:val="008D0356"/>
    <w:rsid w:val="008D03BF"/>
    <w:rsid w:val="008D09B9"/>
    <w:rsid w:val="008D12A0"/>
    <w:rsid w:val="008D12D8"/>
    <w:rsid w:val="008D1AC5"/>
    <w:rsid w:val="008D1F0C"/>
    <w:rsid w:val="008D3359"/>
    <w:rsid w:val="008D36CE"/>
    <w:rsid w:val="008D36F4"/>
    <w:rsid w:val="008D456A"/>
    <w:rsid w:val="008D4CE9"/>
    <w:rsid w:val="008D4FC5"/>
    <w:rsid w:val="008D5122"/>
    <w:rsid w:val="008D5CBD"/>
    <w:rsid w:val="008D5E40"/>
    <w:rsid w:val="008D6215"/>
    <w:rsid w:val="008D76EF"/>
    <w:rsid w:val="008E0CA7"/>
    <w:rsid w:val="008E1393"/>
    <w:rsid w:val="008E1432"/>
    <w:rsid w:val="008E1BAB"/>
    <w:rsid w:val="008E2771"/>
    <w:rsid w:val="008E2DB2"/>
    <w:rsid w:val="008E3867"/>
    <w:rsid w:val="008E520C"/>
    <w:rsid w:val="008E52DF"/>
    <w:rsid w:val="008E5F78"/>
    <w:rsid w:val="008E6799"/>
    <w:rsid w:val="008E761F"/>
    <w:rsid w:val="008E77C0"/>
    <w:rsid w:val="008E7881"/>
    <w:rsid w:val="008F0218"/>
    <w:rsid w:val="008F090F"/>
    <w:rsid w:val="008F135F"/>
    <w:rsid w:val="008F30DD"/>
    <w:rsid w:val="008F3A05"/>
    <w:rsid w:val="008F4E7D"/>
    <w:rsid w:val="008F59FA"/>
    <w:rsid w:val="008F5D60"/>
    <w:rsid w:val="008F61C3"/>
    <w:rsid w:val="008F6C4E"/>
    <w:rsid w:val="008F768E"/>
    <w:rsid w:val="008F7DE4"/>
    <w:rsid w:val="009000EB"/>
    <w:rsid w:val="0090033C"/>
    <w:rsid w:val="009007A2"/>
    <w:rsid w:val="00900920"/>
    <w:rsid w:val="00901EA7"/>
    <w:rsid w:val="00902090"/>
    <w:rsid w:val="009030D5"/>
    <w:rsid w:val="00906D5C"/>
    <w:rsid w:val="009074DC"/>
    <w:rsid w:val="00911747"/>
    <w:rsid w:val="009121D6"/>
    <w:rsid w:val="00912BEB"/>
    <w:rsid w:val="0091357C"/>
    <w:rsid w:val="00913AA7"/>
    <w:rsid w:val="00913FC7"/>
    <w:rsid w:val="009145A4"/>
    <w:rsid w:val="00914827"/>
    <w:rsid w:val="00914F74"/>
    <w:rsid w:val="00915475"/>
    <w:rsid w:val="009166EB"/>
    <w:rsid w:val="0091743B"/>
    <w:rsid w:val="0091778B"/>
    <w:rsid w:val="00917A63"/>
    <w:rsid w:val="00917DD6"/>
    <w:rsid w:val="00917E22"/>
    <w:rsid w:val="00920201"/>
    <w:rsid w:val="009203C4"/>
    <w:rsid w:val="00920706"/>
    <w:rsid w:val="009210B3"/>
    <w:rsid w:val="0092145C"/>
    <w:rsid w:val="00922C1C"/>
    <w:rsid w:val="00922E81"/>
    <w:rsid w:val="009230E2"/>
    <w:rsid w:val="00923F20"/>
    <w:rsid w:val="009242C0"/>
    <w:rsid w:val="00924C20"/>
    <w:rsid w:val="00924F33"/>
    <w:rsid w:val="00925993"/>
    <w:rsid w:val="009260F3"/>
    <w:rsid w:val="00926205"/>
    <w:rsid w:val="009267A2"/>
    <w:rsid w:val="00927110"/>
    <w:rsid w:val="009278B9"/>
    <w:rsid w:val="00931341"/>
    <w:rsid w:val="009315F9"/>
    <w:rsid w:val="00932458"/>
    <w:rsid w:val="00932DA7"/>
    <w:rsid w:val="00933476"/>
    <w:rsid w:val="00935320"/>
    <w:rsid w:val="0093763A"/>
    <w:rsid w:val="00937E4F"/>
    <w:rsid w:val="00940964"/>
    <w:rsid w:val="009419AA"/>
    <w:rsid w:val="00942142"/>
    <w:rsid w:val="00943536"/>
    <w:rsid w:val="00943860"/>
    <w:rsid w:val="009442A7"/>
    <w:rsid w:val="0094513B"/>
    <w:rsid w:val="00945B8F"/>
    <w:rsid w:val="00946413"/>
    <w:rsid w:val="009464A3"/>
    <w:rsid w:val="00947CBD"/>
    <w:rsid w:val="00947E2E"/>
    <w:rsid w:val="009504F3"/>
    <w:rsid w:val="00951D08"/>
    <w:rsid w:val="00952C1F"/>
    <w:rsid w:val="00952C38"/>
    <w:rsid w:val="00953B99"/>
    <w:rsid w:val="00955EA1"/>
    <w:rsid w:val="009560A2"/>
    <w:rsid w:val="0095784A"/>
    <w:rsid w:val="00960334"/>
    <w:rsid w:val="00960EA5"/>
    <w:rsid w:val="00961147"/>
    <w:rsid w:val="009611C3"/>
    <w:rsid w:val="009614C7"/>
    <w:rsid w:val="009617EC"/>
    <w:rsid w:val="00961C21"/>
    <w:rsid w:val="00961D2F"/>
    <w:rsid w:val="009627CE"/>
    <w:rsid w:val="009648CD"/>
    <w:rsid w:val="0096555F"/>
    <w:rsid w:val="00967063"/>
    <w:rsid w:val="009672AC"/>
    <w:rsid w:val="00967A6A"/>
    <w:rsid w:val="00967F89"/>
    <w:rsid w:val="0097042D"/>
    <w:rsid w:val="0097219B"/>
    <w:rsid w:val="00972E4E"/>
    <w:rsid w:val="00972EBE"/>
    <w:rsid w:val="00973C1D"/>
    <w:rsid w:val="009752E9"/>
    <w:rsid w:val="00975499"/>
    <w:rsid w:val="00976601"/>
    <w:rsid w:val="00976DB2"/>
    <w:rsid w:val="00981802"/>
    <w:rsid w:val="00981DC3"/>
    <w:rsid w:val="00982120"/>
    <w:rsid w:val="009832CB"/>
    <w:rsid w:val="009837E7"/>
    <w:rsid w:val="009853BC"/>
    <w:rsid w:val="0098712E"/>
    <w:rsid w:val="00987696"/>
    <w:rsid w:val="009877CD"/>
    <w:rsid w:val="009905CC"/>
    <w:rsid w:val="00990C02"/>
    <w:rsid w:val="00991191"/>
    <w:rsid w:val="009920A9"/>
    <w:rsid w:val="00992CDB"/>
    <w:rsid w:val="00992DB1"/>
    <w:rsid w:val="00993AD1"/>
    <w:rsid w:val="00994027"/>
    <w:rsid w:val="00995225"/>
    <w:rsid w:val="009952B1"/>
    <w:rsid w:val="009955CC"/>
    <w:rsid w:val="009957A7"/>
    <w:rsid w:val="00995FBE"/>
    <w:rsid w:val="009969D0"/>
    <w:rsid w:val="00996A9C"/>
    <w:rsid w:val="009974FB"/>
    <w:rsid w:val="009A020C"/>
    <w:rsid w:val="009A0539"/>
    <w:rsid w:val="009A07F9"/>
    <w:rsid w:val="009A1AA6"/>
    <w:rsid w:val="009A2383"/>
    <w:rsid w:val="009A250D"/>
    <w:rsid w:val="009A360F"/>
    <w:rsid w:val="009A3BDD"/>
    <w:rsid w:val="009A4647"/>
    <w:rsid w:val="009A4CEF"/>
    <w:rsid w:val="009A4E2B"/>
    <w:rsid w:val="009A5C1D"/>
    <w:rsid w:val="009A684E"/>
    <w:rsid w:val="009A6859"/>
    <w:rsid w:val="009A6D3C"/>
    <w:rsid w:val="009A792E"/>
    <w:rsid w:val="009A7CF9"/>
    <w:rsid w:val="009B1646"/>
    <w:rsid w:val="009B2769"/>
    <w:rsid w:val="009B3257"/>
    <w:rsid w:val="009B3CB5"/>
    <w:rsid w:val="009B5205"/>
    <w:rsid w:val="009B5EA3"/>
    <w:rsid w:val="009B6770"/>
    <w:rsid w:val="009C06FE"/>
    <w:rsid w:val="009C0B76"/>
    <w:rsid w:val="009C0CEF"/>
    <w:rsid w:val="009C1693"/>
    <w:rsid w:val="009C2F1B"/>
    <w:rsid w:val="009C3990"/>
    <w:rsid w:val="009C3E17"/>
    <w:rsid w:val="009C4350"/>
    <w:rsid w:val="009C440D"/>
    <w:rsid w:val="009C4C7D"/>
    <w:rsid w:val="009C66BE"/>
    <w:rsid w:val="009C6EEA"/>
    <w:rsid w:val="009C7E78"/>
    <w:rsid w:val="009D03EB"/>
    <w:rsid w:val="009D0947"/>
    <w:rsid w:val="009D0C1D"/>
    <w:rsid w:val="009D14D7"/>
    <w:rsid w:val="009D1EB9"/>
    <w:rsid w:val="009D1FF3"/>
    <w:rsid w:val="009D2DC1"/>
    <w:rsid w:val="009D3554"/>
    <w:rsid w:val="009D387E"/>
    <w:rsid w:val="009D3DCB"/>
    <w:rsid w:val="009D42F8"/>
    <w:rsid w:val="009D448E"/>
    <w:rsid w:val="009D516B"/>
    <w:rsid w:val="009D62B7"/>
    <w:rsid w:val="009D63E5"/>
    <w:rsid w:val="009D7C97"/>
    <w:rsid w:val="009E055D"/>
    <w:rsid w:val="009E0A3B"/>
    <w:rsid w:val="009E0D19"/>
    <w:rsid w:val="009E2ADD"/>
    <w:rsid w:val="009E2E14"/>
    <w:rsid w:val="009E332C"/>
    <w:rsid w:val="009E3D20"/>
    <w:rsid w:val="009E46DA"/>
    <w:rsid w:val="009E48D5"/>
    <w:rsid w:val="009E6168"/>
    <w:rsid w:val="009E68ED"/>
    <w:rsid w:val="009E7D9E"/>
    <w:rsid w:val="009E7F9A"/>
    <w:rsid w:val="009F01F5"/>
    <w:rsid w:val="009F09E0"/>
    <w:rsid w:val="009F1646"/>
    <w:rsid w:val="009F20C2"/>
    <w:rsid w:val="009F25B5"/>
    <w:rsid w:val="009F287A"/>
    <w:rsid w:val="009F30BC"/>
    <w:rsid w:val="009F3D47"/>
    <w:rsid w:val="009F3FD8"/>
    <w:rsid w:val="009F4D84"/>
    <w:rsid w:val="009F4E47"/>
    <w:rsid w:val="009F4FD4"/>
    <w:rsid w:val="009F52C8"/>
    <w:rsid w:val="009F52D5"/>
    <w:rsid w:val="009F706F"/>
    <w:rsid w:val="00A00699"/>
    <w:rsid w:val="00A01266"/>
    <w:rsid w:val="00A016FD"/>
    <w:rsid w:val="00A03784"/>
    <w:rsid w:val="00A03961"/>
    <w:rsid w:val="00A03A99"/>
    <w:rsid w:val="00A049B6"/>
    <w:rsid w:val="00A050AA"/>
    <w:rsid w:val="00A0750E"/>
    <w:rsid w:val="00A116CE"/>
    <w:rsid w:val="00A12094"/>
    <w:rsid w:val="00A121B3"/>
    <w:rsid w:val="00A12BA2"/>
    <w:rsid w:val="00A141AE"/>
    <w:rsid w:val="00A16802"/>
    <w:rsid w:val="00A16852"/>
    <w:rsid w:val="00A16D1B"/>
    <w:rsid w:val="00A17B02"/>
    <w:rsid w:val="00A17CB4"/>
    <w:rsid w:val="00A208A0"/>
    <w:rsid w:val="00A20D53"/>
    <w:rsid w:val="00A21CBF"/>
    <w:rsid w:val="00A21DFF"/>
    <w:rsid w:val="00A22AE9"/>
    <w:rsid w:val="00A22B83"/>
    <w:rsid w:val="00A23777"/>
    <w:rsid w:val="00A23A7D"/>
    <w:rsid w:val="00A23C16"/>
    <w:rsid w:val="00A23C5E"/>
    <w:rsid w:val="00A23C87"/>
    <w:rsid w:val="00A253AD"/>
    <w:rsid w:val="00A2682D"/>
    <w:rsid w:val="00A272EB"/>
    <w:rsid w:val="00A27FA2"/>
    <w:rsid w:val="00A313DC"/>
    <w:rsid w:val="00A31446"/>
    <w:rsid w:val="00A3360F"/>
    <w:rsid w:val="00A33DDD"/>
    <w:rsid w:val="00A33F04"/>
    <w:rsid w:val="00A34EFB"/>
    <w:rsid w:val="00A3535E"/>
    <w:rsid w:val="00A35472"/>
    <w:rsid w:val="00A35F1F"/>
    <w:rsid w:val="00A420A8"/>
    <w:rsid w:val="00A4259B"/>
    <w:rsid w:val="00A4259F"/>
    <w:rsid w:val="00A42C1C"/>
    <w:rsid w:val="00A43837"/>
    <w:rsid w:val="00A43DD3"/>
    <w:rsid w:val="00A444B9"/>
    <w:rsid w:val="00A445F4"/>
    <w:rsid w:val="00A44722"/>
    <w:rsid w:val="00A44B49"/>
    <w:rsid w:val="00A4520E"/>
    <w:rsid w:val="00A45E39"/>
    <w:rsid w:val="00A45FA5"/>
    <w:rsid w:val="00A46A22"/>
    <w:rsid w:val="00A46E71"/>
    <w:rsid w:val="00A50E6A"/>
    <w:rsid w:val="00A5198C"/>
    <w:rsid w:val="00A51B7B"/>
    <w:rsid w:val="00A51E41"/>
    <w:rsid w:val="00A52840"/>
    <w:rsid w:val="00A528DD"/>
    <w:rsid w:val="00A529FB"/>
    <w:rsid w:val="00A539A9"/>
    <w:rsid w:val="00A54EA8"/>
    <w:rsid w:val="00A5585C"/>
    <w:rsid w:val="00A55965"/>
    <w:rsid w:val="00A56DBE"/>
    <w:rsid w:val="00A600EC"/>
    <w:rsid w:val="00A6053F"/>
    <w:rsid w:val="00A60D51"/>
    <w:rsid w:val="00A60E4F"/>
    <w:rsid w:val="00A60F39"/>
    <w:rsid w:val="00A6185F"/>
    <w:rsid w:val="00A627AA"/>
    <w:rsid w:val="00A6300A"/>
    <w:rsid w:val="00A63D19"/>
    <w:rsid w:val="00A65515"/>
    <w:rsid w:val="00A65C05"/>
    <w:rsid w:val="00A66362"/>
    <w:rsid w:val="00A66F94"/>
    <w:rsid w:val="00A67093"/>
    <w:rsid w:val="00A67249"/>
    <w:rsid w:val="00A70948"/>
    <w:rsid w:val="00A70E75"/>
    <w:rsid w:val="00A71201"/>
    <w:rsid w:val="00A7147E"/>
    <w:rsid w:val="00A717E8"/>
    <w:rsid w:val="00A719F3"/>
    <w:rsid w:val="00A71B12"/>
    <w:rsid w:val="00A71B2B"/>
    <w:rsid w:val="00A72A21"/>
    <w:rsid w:val="00A73203"/>
    <w:rsid w:val="00A7345C"/>
    <w:rsid w:val="00A740F3"/>
    <w:rsid w:val="00A74590"/>
    <w:rsid w:val="00A76600"/>
    <w:rsid w:val="00A7670C"/>
    <w:rsid w:val="00A76EA9"/>
    <w:rsid w:val="00A779A1"/>
    <w:rsid w:val="00A77C96"/>
    <w:rsid w:val="00A80824"/>
    <w:rsid w:val="00A81C12"/>
    <w:rsid w:val="00A82741"/>
    <w:rsid w:val="00A828DD"/>
    <w:rsid w:val="00A82967"/>
    <w:rsid w:val="00A83CBC"/>
    <w:rsid w:val="00A83CEA"/>
    <w:rsid w:val="00A83F95"/>
    <w:rsid w:val="00A84217"/>
    <w:rsid w:val="00A842E1"/>
    <w:rsid w:val="00A85442"/>
    <w:rsid w:val="00A86541"/>
    <w:rsid w:val="00A87009"/>
    <w:rsid w:val="00A875B4"/>
    <w:rsid w:val="00A87637"/>
    <w:rsid w:val="00A87FE7"/>
    <w:rsid w:val="00A9099D"/>
    <w:rsid w:val="00A90AC8"/>
    <w:rsid w:val="00A90F42"/>
    <w:rsid w:val="00A90FA8"/>
    <w:rsid w:val="00A93968"/>
    <w:rsid w:val="00A94012"/>
    <w:rsid w:val="00A94018"/>
    <w:rsid w:val="00A942D6"/>
    <w:rsid w:val="00A948B2"/>
    <w:rsid w:val="00A949CC"/>
    <w:rsid w:val="00A9506F"/>
    <w:rsid w:val="00A95DDB"/>
    <w:rsid w:val="00A96F9F"/>
    <w:rsid w:val="00A97407"/>
    <w:rsid w:val="00A97B8B"/>
    <w:rsid w:val="00AA05F1"/>
    <w:rsid w:val="00AA163F"/>
    <w:rsid w:val="00AA180D"/>
    <w:rsid w:val="00AA1FBE"/>
    <w:rsid w:val="00AA2106"/>
    <w:rsid w:val="00AA2886"/>
    <w:rsid w:val="00AA29B9"/>
    <w:rsid w:val="00AA3E1E"/>
    <w:rsid w:val="00AA4583"/>
    <w:rsid w:val="00AA4631"/>
    <w:rsid w:val="00AA4E1F"/>
    <w:rsid w:val="00AA5059"/>
    <w:rsid w:val="00AA5114"/>
    <w:rsid w:val="00AA555E"/>
    <w:rsid w:val="00AA57B8"/>
    <w:rsid w:val="00AA5E13"/>
    <w:rsid w:val="00AA7547"/>
    <w:rsid w:val="00AA7AA3"/>
    <w:rsid w:val="00AB04BF"/>
    <w:rsid w:val="00AB066A"/>
    <w:rsid w:val="00AB0823"/>
    <w:rsid w:val="00AB24D5"/>
    <w:rsid w:val="00AB2839"/>
    <w:rsid w:val="00AB314F"/>
    <w:rsid w:val="00AB3C4A"/>
    <w:rsid w:val="00AB5030"/>
    <w:rsid w:val="00AB55EC"/>
    <w:rsid w:val="00AB5A6E"/>
    <w:rsid w:val="00AB5DE8"/>
    <w:rsid w:val="00AB649A"/>
    <w:rsid w:val="00AB66BE"/>
    <w:rsid w:val="00AB751A"/>
    <w:rsid w:val="00AB758D"/>
    <w:rsid w:val="00AB7A29"/>
    <w:rsid w:val="00AC1526"/>
    <w:rsid w:val="00AC21DB"/>
    <w:rsid w:val="00AC3248"/>
    <w:rsid w:val="00AC37F8"/>
    <w:rsid w:val="00AC4214"/>
    <w:rsid w:val="00AC50BE"/>
    <w:rsid w:val="00AC5AED"/>
    <w:rsid w:val="00AC5B2C"/>
    <w:rsid w:val="00AC6FBB"/>
    <w:rsid w:val="00AC71CF"/>
    <w:rsid w:val="00AC7401"/>
    <w:rsid w:val="00AD07B7"/>
    <w:rsid w:val="00AD1431"/>
    <w:rsid w:val="00AD1613"/>
    <w:rsid w:val="00AD2350"/>
    <w:rsid w:val="00AD260A"/>
    <w:rsid w:val="00AD2775"/>
    <w:rsid w:val="00AD4262"/>
    <w:rsid w:val="00AD5D80"/>
    <w:rsid w:val="00AD6F7E"/>
    <w:rsid w:val="00AD78DB"/>
    <w:rsid w:val="00AE06D5"/>
    <w:rsid w:val="00AE1351"/>
    <w:rsid w:val="00AE20DF"/>
    <w:rsid w:val="00AE2901"/>
    <w:rsid w:val="00AE3020"/>
    <w:rsid w:val="00AE336B"/>
    <w:rsid w:val="00AE3BCB"/>
    <w:rsid w:val="00AE3F09"/>
    <w:rsid w:val="00AE487F"/>
    <w:rsid w:val="00AE4EA8"/>
    <w:rsid w:val="00AE514E"/>
    <w:rsid w:val="00AE5E3B"/>
    <w:rsid w:val="00AE67A3"/>
    <w:rsid w:val="00AE6908"/>
    <w:rsid w:val="00AE6CFA"/>
    <w:rsid w:val="00AE6FB5"/>
    <w:rsid w:val="00AE71A3"/>
    <w:rsid w:val="00AF0372"/>
    <w:rsid w:val="00AF140A"/>
    <w:rsid w:val="00AF18FE"/>
    <w:rsid w:val="00AF2879"/>
    <w:rsid w:val="00AF33DE"/>
    <w:rsid w:val="00AF3F0A"/>
    <w:rsid w:val="00AF4DD9"/>
    <w:rsid w:val="00AF57A9"/>
    <w:rsid w:val="00AF616F"/>
    <w:rsid w:val="00AF618F"/>
    <w:rsid w:val="00AF62C2"/>
    <w:rsid w:val="00AF669C"/>
    <w:rsid w:val="00AF6782"/>
    <w:rsid w:val="00AF75C4"/>
    <w:rsid w:val="00AF780C"/>
    <w:rsid w:val="00AF7858"/>
    <w:rsid w:val="00AF7A90"/>
    <w:rsid w:val="00B00EDD"/>
    <w:rsid w:val="00B0143E"/>
    <w:rsid w:val="00B01694"/>
    <w:rsid w:val="00B01CB1"/>
    <w:rsid w:val="00B02546"/>
    <w:rsid w:val="00B03354"/>
    <w:rsid w:val="00B04541"/>
    <w:rsid w:val="00B045C9"/>
    <w:rsid w:val="00B04643"/>
    <w:rsid w:val="00B048BD"/>
    <w:rsid w:val="00B05BEA"/>
    <w:rsid w:val="00B05F33"/>
    <w:rsid w:val="00B06009"/>
    <w:rsid w:val="00B06369"/>
    <w:rsid w:val="00B064E6"/>
    <w:rsid w:val="00B066ED"/>
    <w:rsid w:val="00B06CD1"/>
    <w:rsid w:val="00B07F4D"/>
    <w:rsid w:val="00B104F8"/>
    <w:rsid w:val="00B10679"/>
    <w:rsid w:val="00B106FB"/>
    <w:rsid w:val="00B11BBE"/>
    <w:rsid w:val="00B1252F"/>
    <w:rsid w:val="00B13333"/>
    <w:rsid w:val="00B147DE"/>
    <w:rsid w:val="00B163D1"/>
    <w:rsid w:val="00B16C7E"/>
    <w:rsid w:val="00B1732D"/>
    <w:rsid w:val="00B174C6"/>
    <w:rsid w:val="00B17EEC"/>
    <w:rsid w:val="00B203CC"/>
    <w:rsid w:val="00B213DF"/>
    <w:rsid w:val="00B21D17"/>
    <w:rsid w:val="00B23FC6"/>
    <w:rsid w:val="00B24ABE"/>
    <w:rsid w:val="00B26E80"/>
    <w:rsid w:val="00B273D9"/>
    <w:rsid w:val="00B27FD0"/>
    <w:rsid w:val="00B30534"/>
    <w:rsid w:val="00B30B67"/>
    <w:rsid w:val="00B32036"/>
    <w:rsid w:val="00B3340F"/>
    <w:rsid w:val="00B33569"/>
    <w:rsid w:val="00B33848"/>
    <w:rsid w:val="00B33AF5"/>
    <w:rsid w:val="00B33B60"/>
    <w:rsid w:val="00B33C93"/>
    <w:rsid w:val="00B34278"/>
    <w:rsid w:val="00B351FE"/>
    <w:rsid w:val="00B35802"/>
    <w:rsid w:val="00B35E5A"/>
    <w:rsid w:val="00B3642B"/>
    <w:rsid w:val="00B36C45"/>
    <w:rsid w:val="00B36DE0"/>
    <w:rsid w:val="00B37684"/>
    <w:rsid w:val="00B377EA"/>
    <w:rsid w:val="00B37B44"/>
    <w:rsid w:val="00B417C1"/>
    <w:rsid w:val="00B4212D"/>
    <w:rsid w:val="00B43E33"/>
    <w:rsid w:val="00B45086"/>
    <w:rsid w:val="00B459B1"/>
    <w:rsid w:val="00B46753"/>
    <w:rsid w:val="00B46A1F"/>
    <w:rsid w:val="00B46DC7"/>
    <w:rsid w:val="00B46E2A"/>
    <w:rsid w:val="00B47328"/>
    <w:rsid w:val="00B473A8"/>
    <w:rsid w:val="00B478C6"/>
    <w:rsid w:val="00B47975"/>
    <w:rsid w:val="00B47B17"/>
    <w:rsid w:val="00B501B8"/>
    <w:rsid w:val="00B5067C"/>
    <w:rsid w:val="00B50E0D"/>
    <w:rsid w:val="00B51030"/>
    <w:rsid w:val="00B51CDF"/>
    <w:rsid w:val="00B530AC"/>
    <w:rsid w:val="00B544A3"/>
    <w:rsid w:val="00B55760"/>
    <w:rsid w:val="00B566C6"/>
    <w:rsid w:val="00B568E4"/>
    <w:rsid w:val="00B57822"/>
    <w:rsid w:val="00B60049"/>
    <w:rsid w:val="00B60D13"/>
    <w:rsid w:val="00B60E7C"/>
    <w:rsid w:val="00B611D1"/>
    <w:rsid w:val="00B61A36"/>
    <w:rsid w:val="00B61BD1"/>
    <w:rsid w:val="00B6324D"/>
    <w:rsid w:val="00B632A5"/>
    <w:rsid w:val="00B636C5"/>
    <w:rsid w:val="00B63704"/>
    <w:rsid w:val="00B647E6"/>
    <w:rsid w:val="00B64C03"/>
    <w:rsid w:val="00B64C21"/>
    <w:rsid w:val="00B65497"/>
    <w:rsid w:val="00B66100"/>
    <w:rsid w:val="00B66A15"/>
    <w:rsid w:val="00B675DC"/>
    <w:rsid w:val="00B67F4C"/>
    <w:rsid w:val="00B700FB"/>
    <w:rsid w:val="00B70791"/>
    <w:rsid w:val="00B70FB5"/>
    <w:rsid w:val="00B74F09"/>
    <w:rsid w:val="00B75A48"/>
    <w:rsid w:val="00B7647D"/>
    <w:rsid w:val="00B76E73"/>
    <w:rsid w:val="00B77604"/>
    <w:rsid w:val="00B826D3"/>
    <w:rsid w:val="00B82FF2"/>
    <w:rsid w:val="00B833AF"/>
    <w:rsid w:val="00B83ECE"/>
    <w:rsid w:val="00B8422C"/>
    <w:rsid w:val="00B84C8D"/>
    <w:rsid w:val="00B85DF1"/>
    <w:rsid w:val="00B860DC"/>
    <w:rsid w:val="00B860F1"/>
    <w:rsid w:val="00B861BC"/>
    <w:rsid w:val="00B868A8"/>
    <w:rsid w:val="00B86A95"/>
    <w:rsid w:val="00B87441"/>
    <w:rsid w:val="00B87C40"/>
    <w:rsid w:val="00B87EA1"/>
    <w:rsid w:val="00B902B1"/>
    <w:rsid w:val="00B90F06"/>
    <w:rsid w:val="00B91ABF"/>
    <w:rsid w:val="00B91C2E"/>
    <w:rsid w:val="00B91DDF"/>
    <w:rsid w:val="00B92014"/>
    <w:rsid w:val="00B92019"/>
    <w:rsid w:val="00B92621"/>
    <w:rsid w:val="00B94B1E"/>
    <w:rsid w:val="00B95181"/>
    <w:rsid w:val="00B95E49"/>
    <w:rsid w:val="00B96CD3"/>
    <w:rsid w:val="00B97A62"/>
    <w:rsid w:val="00BA01B9"/>
    <w:rsid w:val="00BA09A7"/>
    <w:rsid w:val="00BA2A59"/>
    <w:rsid w:val="00BA2CFB"/>
    <w:rsid w:val="00BA2F3C"/>
    <w:rsid w:val="00BA3183"/>
    <w:rsid w:val="00BA44F0"/>
    <w:rsid w:val="00BA4662"/>
    <w:rsid w:val="00BA472C"/>
    <w:rsid w:val="00BA4F0F"/>
    <w:rsid w:val="00BA594A"/>
    <w:rsid w:val="00BA5ED5"/>
    <w:rsid w:val="00BA633C"/>
    <w:rsid w:val="00BA75AB"/>
    <w:rsid w:val="00BA7ADD"/>
    <w:rsid w:val="00BB0658"/>
    <w:rsid w:val="00BB0B1C"/>
    <w:rsid w:val="00BB2089"/>
    <w:rsid w:val="00BB2994"/>
    <w:rsid w:val="00BB2DC8"/>
    <w:rsid w:val="00BB3EE4"/>
    <w:rsid w:val="00BB41A1"/>
    <w:rsid w:val="00BB4206"/>
    <w:rsid w:val="00BB4A8D"/>
    <w:rsid w:val="00BB5225"/>
    <w:rsid w:val="00BB53C5"/>
    <w:rsid w:val="00BB593E"/>
    <w:rsid w:val="00BB5E25"/>
    <w:rsid w:val="00BB6FB0"/>
    <w:rsid w:val="00BB7337"/>
    <w:rsid w:val="00BB772F"/>
    <w:rsid w:val="00BB7E0F"/>
    <w:rsid w:val="00BC00B3"/>
    <w:rsid w:val="00BC1095"/>
    <w:rsid w:val="00BC16A4"/>
    <w:rsid w:val="00BC212A"/>
    <w:rsid w:val="00BC3362"/>
    <w:rsid w:val="00BC3452"/>
    <w:rsid w:val="00BC4C4C"/>
    <w:rsid w:val="00BC50F6"/>
    <w:rsid w:val="00BC627F"/>
    <w:rsid w:val="00BC6428"/>
    <w:rsid w:val="00BC771F"/>
    <w:rsid w:val="00BD037F"/>
    <w:rsid w:val="00BD15BA"/>
    <w:rsid w:val="00BD5343"/>
    <w:rsid w:val="00BD590F"/>
    <w:rsid w:val="00BD6595"/>
    <w:rsid w:val="00BD6EDF"/>
    <w:rsid w:val="00BD712B"/>
    <w:rsid w:val="00BD7138"/>
    <w:rsid w:val="00BD7146"/>
    <w:rsid w:val="00BD760F"/>
    <w:rsid w:val="00BD7997"/>
    <w:rsid w:val="00BD7D25"/>
    <w:rsid w:val="00BE003F"/>
    <w:rsid w:val="00BE0E90"/>
    <w:rsid w:val="00BE0EEB"/>
    <w:rsid w:val="00BE170A"/>
    <w:rsid w:val="00BE17D2"/>
    <w:rsid w:val="00BE19AA"/>
    <w:rsid w:val="00BE31A1"/>
    <w:rsid w:val="00BE3BA6"/>
    <w:rsid w:val="00BE3E14"/>
    <w:rsid w:val="00BE572B"/>
    <w:rsid w:val="00BE59BD"/>
    <w:rsid w:val="00BE59EE"/>
    <w:rsid w:val="00BE7318"/>
    <w:rsid w:val="00BE7828"/>
    <w:rsid w:val="00BE7D37"/>
    <w:rsid w:val="00BF1E8E"/>
    <w:rsid w:val="00BF20EE"/>
    <w:rsid w:val="00BF2284"/>
    <w:rsid w:val="00BF25BE"/>
    <w:rsid w:val="00BF2ED7"/>
    <w:rsid w:val="00BF3A4E"/>
    <w:rsid w:val="00BF52F4"/>
    <w:rsid w:val="00BF54F9"/>
    <w:rsid w:val="00BF5EB3"/>
    <w:rsid w:val="00BF6739"/>
    <w:rsid w:val="00BF76EA"/>
    <w:rsid w:val="00C0013A"/>
    <w:rsid w:val="00C00FB2"/>
    <w:rsid w:val="00C017A8"/>
    <w:rsid w:val="00C029A4"/>
    <w:rsid w:val="00C04DC1"/>
    <w:rsid w:val="00C07827"/>
    <w:rsid w:val="00C07F55"/>
    <w:rsid w:val="00C10208"/>
    <w:rsid w:val="00C10588"/>
    <w:rsid w:val="00C1089F"/>
    <w:rsid w:val="00C10BB6"/>
    <w:rsid w:val="00C1164A"/>
    <w:rsid w:val="00C117B1"/>
    <w:rsid w:val="00C11F4D"/>
    <w:rsid w:val="00C11F95"/>
    <w:rsid w:val="00C136E8"/>
    <w:rsid w:val="00C1391C"/>
    <w:rsid w:val="00C13B13"/>
    <w:rsid w:val="00C146AA"/>
    <w:rsid w:val="00C1585B"/>
    <w:rsid w:val="00C158EC"/>
    <w:rsid w:val="00C164D1"/>
    <w:rsid w:val="00C16F05"/>
    <w:rsid w:val="00C17BA8"/>
    <w:rsid w:val="00C21280"/>
    <w:rsid w:val="00C2191C"/>
    <w:rsid w:val="00C22411"/>
    <w:rsid w:val="00C23F20"/>
    <w:rsid w:val="00C24250"/>
    <w:rsid w:val="00C24756"/>
    <w:rsid w:val="00C2537C"/>
    <w:rsid w:val="00C25A78"/>
    <w:rsid w:val="00C264EC"/>
    <w:rsid w:val="00C26C69"/>
    <w:rsid w:val="00C27663"/>
    <w:rsid w:val="00C31E57"/>
    <w:rsid w:val="00C32B72"/>
    <w:rsid w:val="00C33623"/>
    <w:rsid w:val="00C337AE"/>
    <w:rsid w:val="00C337D3"/>
    <w:rsid w:val="00C33916"/>
    <w:rsid w:val="00C33CD6"/>
    <w:rsid w:val="00C340F5"/>
    <w:rsid w:val="00C35A34"/>
    <w:rsid w:val="00C35C9B"/>
    <w:rsid w:val="00C361BE"/>
    <w:rsid w:val="00C37DBF"/>
    <w:rsid w:val="00C40258"/>
    <w:rsid w:val="00C432A4"/>
    <w:rsid w:val="00C43781"/>
    <w:rsid w:val="00C43CDD"/>
    <w:rsid w:val="00C45FAA"/>
    <w:rsid w:val="00C46579"/>
    <w:rsid w:val="00C47981"/>
    <w:rsid w:val="00C5038C"/>
    <w:rsid w:val="00C50867"/>
    <w:rsid w:val="00C50E2A"/>
    <w:rsid w:val="00C51796"/>
    <w:rsid w:val="00C5200C"/>
    <w:rsid w:val="00C528A4"/>
    <w:rsid w:val="00C52E80"/>
    <w:rsid w:val="00C536E4"/>
    <w:rsid w:val="00C53D08"/>
    <w:rsid w:val="00C5439F"/>
    <w:rsid w:val="00C563FB"/>
    <w:rsid w:val="00C56617"/>
    <w:rsid w:val="00C56635"/>
    <w:rsid w:val="00C56B0D"/>
    <w:rsid w:val="00C5771F"/>
    <w:rsid w:val="00C579E9"/>
    <w:rsid w:val="00C57A1C"/>
    <w:rsid w:val="00C6089D"/>
    <w:rsid w:val="00C61813"/>
    <w:rsid w:val="00C619A6"/>
    <w:rsid w:val="00C6235A"/>
    <w:rsid w:val="00C62430"/>
    <w:rsid w:val="00C62A1B"/>
    <w:rsid w:val="00C63D10"/>
    <w:rsid w:val="00C64886"/>
    <w:rsid w:val="00C64DA1"/>
    <w:rsid w:val="00C659C9"/>
    <w:rsid w:val="00C664B6"/>
    <w:rsid w:val="00C66859"/>
    <w:rsid w:val="00C6694E"/>
    <w:rsid w:val="00C66B62"/>
    <w:rsid w:val="00C671F8"/>
    <w:rsid w:val="00C67995"/>
    <w:rsid w:val="00C7065A"/>
    <w:rsid w:val="00C70BAF"/>
    <w:rsid w:val="00C70EEA"/>
    <w:rsid w:val="00C71154"/>
    <w:rsid w:val="00C72417"/>
    <w:rsid w:val="00C73180"/>
    <w:rsid w:val="00C738AA"/>
    <w:rsid w:val="00C739E1"/>
    <w:rsid w:val="00C74E92"/>
    <w:rsid w:val="00C77A29"/>
    <w:rsid w:val="00C8038B"/>
    <w:rsid w:val="00C80441"/>
    <w:rsid w:val="00C8053A"/>
    <w:rsid w:val="00C81357"/>
    <w:rsid w:val="00C81A43"/>
    <w:rsid w:val="00C81D25"/>
    <w:rsid w:val="00C82DF7"/>
    <w:rsid w:val="00C82EB5"/>
    <w:rsid w:val="00C8302F"/>
    <w:rsid w:val="00C83F37"/>
    <w:rsid w:val="00C84EE2"/>
    <w:rsid w:val="00C854B2"/>
    <w:rsid w:val="00C869F9"/>
    <w:rsid w:val="00C869FC"/>
    <w:rsid w:val="00C86F23"/>
    <w:rsid w:val="00C86F8B"/>
    <w:rsid w:val="00C9029F"/>
    <w:rsid w:val="00C91203"/>
    <w:rsid w:val="00C93A90"/>
    <w:rsid w:val="00C9467F"/>
    <w:rsid w:val="00C94731"/>
    <w:rsid w:val="00C94E82"/>
    <w:rsid w:val="00C95D51"/>
    <w:rsid w:val="00C95FFB"/>
    <w:rsid w:val="00C9637E"/>
    <w:rsid w:val="00C9687F"/>
    <w:rsid w:val="00C96FDF"/>
    <w:rsid w:val="00C97539"/>
    <w:rsid w:val="00CA0038"/>
    <w:rsid w:val="00CA0066"/>
    <w:rsid w:val="00CA037B"/>
    <w:rsid w:val="00CA0E7C"/>
    <w:rsid w:val="00CA0F30"/>
    <w:rsid w:val="00CA2543"/>
    <w:rsid w:val="00CA2EAC"/>
    <w:rsid w:val="00CA34C9"/>
    <w:rsid w:val="00CA3BF8"/>
    <w:rsid w:val="00CA3FCC"/>
    <w:rsid w:val="00CA462F"/>
    <w:rsid w:val="00CA480C"/>
    <w:rsid w:val="00CA4AD0"/>
    <w:rsid w:val="00CA54E2"/>
    <w:rsid w:val="00CA5C11"/>
    <w:rsid w:val="00CA63AD"/>
    <w:rsid w:val="00CA64F4"/>
    <w:rsid w:val="00CA74D5"/>
    <w:rsid w:val="00CA7623"/>
    <w:rsid w:val="00CA7CE2"/>
    <w:rsid w:val="00CA7F25"/>
    <w:rsid w:val="00CB0A83"/>
    <w:rsid w:val="00CB0B3E"/>
    <w:rsid w:val="00CB0E44"/>
    <w:rsid w:val="00CB1447"/>
    <w:rsid w:val="00CB1587"/>
    <w:rsid w:val="00CB1C5A"/>
    <w:rsid w:val="00CB1D80"/>
    <w:rsid w:val="00CB2542"/>
    <w:rsid w:val="00CB4603"/>
    <w:rsid w:val="00CB4A08"/>
    <w:rsid w:val="00CB5777"/>
    <w:rsid w:val="00CB5F16"/>
    <w:rsid w:val="00CB6A0F"/>
    <w:rsid w:val="00CB6EC5"/>
    <w:rsid w:val="00CB760E"/>
    <w:rsid w:val="00CB7C7E"/>
    <w:rsid w:val="00CC150D"/>
    <w:rsid w:val="00CC3297"/>
    <w:rsid w:val="00CC491F"/>
    <w:rsid w:val="00CC4F12"/>
    <w:rsid w:val="00CC7807"/>
    <w:rsid w:val="00CD245A"/>
    <w:rsid w:val="00CD32A1"/>
    <w:rsid w:val="00CD354F"/>
    <w:rsid w:val="00CD667C"/>
    <w:rsid w:val="00CD71B5"/>
    <w:rsid w:val="00CD77D1"/>
    <w:rsid w:val="00CE05DA"/>
    <w:rsid w:val="00CE13A1"/>
    <w:rsid w:val="00CE1554"/>
    <w:rsid w:val="00CE1C3F"/>
    <w:rsid w:val="00CE22CC"/>
    <w:rsid w:val="00CE2BCA"/>
    <w:rsid w:val="00CE2CB4"/>
    <w:rsid w:val="00CE310F"/>
    <w:rsid w:val="00CE3114"/>
    <w:rsid w:val="00CE3523"/>
    <w:rsid w:val="00CE360C"/>
    <w:rsid w:val="00CE3A7F"/>
    <w:rsid w:val="00CE4282"/>
    <w:rsid w:val="00CE46EA"/>
    <w:rsid w:val="00CE474D"/>
    <w:rsid w:val="00CE49FD"/>
    <w:rsid w:val="00CE4E59"/>
    <w:rsid w:val="00CE4E8F"/>
    <w:rsid w:val="00CE5B01"/>
    <w:rsid w:val="00CE5E74"/>
    <w:rsid w:val="00CE6813"/>
    <w:rsid w:val="00CE7CC9"/>
    <w:rsid w:val="00CF0595"/>
    <w:rsid w:val="00CF232E"/>
    <w:rsid w:val="00CF260E"/>
    <w:rsid w:val="00CF3C6F"/>
    <w:rsid w:val="00CF6174"/>
    <w:rsid w:val="00CF70F3"/>
    <w:rsid w:val="00CF711C"/>
    <w:rsid w:val="00CF752D"/>
    <w:rsid w:val="00CF777B"/>
    <w:rsid w:val="00CF7DFE"/>
    <w:rsid w:val="00D010DC"/>
    <w:rsid w:val="00D01687"/>
    <w:rsid w:val="00D01BB1"/>
    <w:rsid w:val="00D01FA6"/>
    <w:rsid w:val="00D027A8"/>
    <w:rsid w:val="00D047CE"/>
    <w:rsid w:val="00D0484E"/>
    <w:rsid w:val="00D0527F"/>
    <w:rsid w:val="00D05B25"/>
    <w:rsid w:val="00D05BA7"/>
    <w:rsid w:val="00D070A0"/>
    <w:rsid w:val="00D07717"/>
    <w:rsid w:val="00D07B9D"/>
    <w:rsid w:val="00D1064E"/>
    <w:rsid w:val="00D10C65"/>
    <w:rsid w:val="00D11EC7"/>
    <w:rsid w:val="00D11ED1"/>
    <w:rsid w:val="00D12E07"/>
    <w:rsid w:val="00D1436D"/>
    <w:rsid w:val="00D14CAD"/>
    <w:rsid w:val="00D14D98"/>
    <w:rsid w:val="00D15F6B"/>
    <w:rsid w:val="00D202C7"/>
    <w:rsid w:val="00D21564"/>
    <w:rsid w:val="00D242A1"/>
    <w:rsid w:val="00D24535"/>
    <w:rsid w:val="00D24784"/>
    <w:rsid w:val="00D24E83"/>
    <w:rsid w:val="00D25168"/>
    <w:rsid w:val="00D26588"/>
    <w:rsid w:val="00D26948"/>
    <w:rsid w:val="00D26F59"/>
    <w:rsid w:val="00D27682"/>
    <w:rsid w:val="00D30004"/>
    <w:rsid w:val="00D301EE"/>
    <w:rsid w:val="00D3152A"/>
    <w:rsid w:val="00D320D4"/>
    <w:rsid w:val="00D322FE"/>
    <w:rsid w:val="00D327A8"/>
    <w:rsid w:val="00D32AEA"/>
    <w:rsid w:val="00D33218"/>
    <w:rsid w:val="00D347EC"/>
    <w:rsid w:val="00D34C30"/>
    <w:rsid w:val="00D3508E"/>
    <w:rsid w:val="00D36C8B"/>
    <w:rsid w:val="00D373D2"/>
    <w:rsid w:val="00D409FD"/>
    <w:rsid w:val="00D40E38"/>
    <w:rsid w:val="00D41686"/>
    <w:rsid w:val="00D42652"/>
    <w:rsid w:val="00D429AA"/>
    <w:rsid w:val="00D4307B"/>
    <w:rsid w:val="00D4308E"/>
    <w:rsid w:val="00D44926"/>
    <w:rsid w:val="00D4496E"/>
    <w:rsid w:val="00D44BF6"/>
    <w:rsid w:val="00D44C03"/>
    <w:rsid w:val="00D460B2"/>
    <w:rsid w:val="00D46690"/>
    <w:rsid w:val="00D4696A"/>
    <w:rsid w:val="00D46A58"/>
    <w:rsid w:val="00D46B3F"/>
    <w:rsid w:val="00D5070E"/>
    <w:rsid w:val="00D512BE"/>
    <w:rsid w:val="00D5189C"/>
    <w:rsid w:val="00D527A0"/>
    <w:rsid w:val="00D52C9D"/>
    <w:rsid w:val="00D52CB6"/>
    <w:rsid w:val="00D54248"/>
    <w:rsid w:val="00D547D2"/>
    <w:rsid w:val="00D54A7E"/>
    <w:rsid w:val="00D551B7"/>
    <w:rsid w:val="00D555C0"/>
    <w:rsid w:val="00D55EE0"/>
    <w:rsid w:val="00D57BB5"/>
    <w:rsid w:val="00D608E4"/>
    <w:rsid w:val="00D60C45"/>
    <w:rsid w:val="00D61572"/>
    <w:rsid w:val="00D61773"/>
    <w:rsid w:val="00D619A9"/>
    <w:rsid w:val="00D61D3F"/>
    <w:rsid w:val="00D62906"/>
    <w:rsid w:val="00D63615"/>
    <w:rsid w:val="00D639A0"/>
    <w:rsid w:val="00D652DD"/>
    <w:rsid w:val="00D66924"/>
    <w:rsid w:val="00D71934"/>
    <w:rsid w:val="00D71DF6"/>
    <w:rsid w:val="00D71E5A"/>
    <w:rsid w:val="00D72AC3"/>
    <w:rsid w:val="00D733CF"/>
    <w:rsid w:val="00D75948"/>
    <w:rsid w:val="00D75C65"/>
    <w:rsid w:val="00D76263"/>
    <w:rsid w:val="00D76A5B"/>
    <w:rsid w:val="00D76A92"/>
    <w:rsid w:val="00D779DE"/>
    <w:rsid w:val="00D812D6"/>
    <w:rsid w:val="00D81771"/>
    <w:rsid w:val="00D8183E"/>
    <w:rsid w:val="00D824E3"/>
    <w:rsid w:val="00D8289E"/>
    <w:rsid w:val="00D84386"/>
    <w:rsid w:val="00D843CA"/>
    <w:rsid w:val="00D848AB"/>
    <w:rsid w:val="00D853A5"/>
    <w:rsid w:val="00D85653"/>
    <w:rsid w:val="00D86300"/>
    <w:rsid w:val="00D87608"/>
    <w:rsid w:val="00D90437"/>
    <w:rsid w:val="00D92B3F"/>
    <w:rsid w:val="00D93292"/>
    <w:rsid w:val="00D937B8"/>
    <w:rsid w:val="00D942E3"/>
    <w:rsid w:val="00D95595"/>
    <w:rsid w:val="00D956ED"/>
    <w:rsid w:val="00D9582F"/>
    <w:rsid w:val="00D9628C"/>
    <w:rsid w:val="00D969FD"/>
    <w:rsid w:val="00D97FFA"/>
    <w:rsid w:val="00DA09B9"/>
    <w:rsid w:val="00DA16A4"/>
    <w:rsid w:val="00DA1A09"/>
    <w:rsid w:val="00DA1B84"/>
    <w:rsid w:val="00DA3028"/>
    <w:rsid w:val="00DA4EC0"/>
    <w:rsid w:val="00DA5A3A"/>
    <w:rsid w:val="00DA5EC5"/>
    <w:rsid w:val="00DA6DC0"/>
    <w:rsid w:val="00DB1718"/>
    <w:rsid w:val="00DB19E6"/>
    <w:rsid w:val="00DB2405"/>
    <w:rsid w:val="00DB2637"/>
    <w:rsid w:val="00DB2A8D"/>
    <w:rsid w:val="00DB2FC5"/>
    <w:rsid w:val="00DB3FE2"/>
    <w:rsid w:val="00DB412D"/>
    <w:rsid w:val="00DB4A1D"/>
    <w:rsid w:val="00DB4D44"/>
    <w:rsid w:val="00DB59D4"/>
    <w:rsid w:val="00DB74C5"/>
    <w:rsid w:val="00DB7CB3"/>
    <w:rsid w:val="00DB7D15"/>
    <w:rsid w:val="00DC066B"/>
    <w:rsid w:val="00DC1649"/>
    <w:rsid w:val="00DC18FB"/>
    <w:rsid w:val="00DC2242"/>
    <w:rsid w:val="00DC2881"/>
    <w:rsid w:val="00DC29A7"/>
    <w:rsid w:val="00DC310C"/>
    <w:rsid w:val="00DC3839"/>
    <w:rsid w:val="00DC3E91"/>
    <w:rsid w:val="00DC5282"/>
    <w:rsid w:val="00DC590E"/>
    <w:rsid w:val="00DC5962"/>
    <w:rsid w:val="00DC5DD2"/>
    <w:rsid w:val="00DC5EB9"/>
    <w:rsid w:val="00DC7C6A"/>
    <w:rsid w:val="00DC7DD4"/>
    <w:rsid w:val="00DC7FD4"/>
    <w:rsid w:val="00DD01E8"/>
    <w:rsid w:val="00DD0ADD"/>
    <w:rsid w:val="00DD1666"/>
    <w:rsid w:val="00DD17BD"/>
    <w:rsid w:val="00DD1E44"/>
    <w:rsid w:val="00DD2428"/>
    <w:rsid w:val="00DD2E12"/>
    <w:rsid w:val="00DD31A9"/>
    <w:rsid w:val="00DD37E6"/>
    <w:rsid w:val="00DD4199"/>
    <w:rsid w:val="00DD41FB"/>
    <w:rsid w:val="00DD4698"/>
    <w:rsid w:val="00DD4A30"/>
    <w:rsid w:val="00DD548D"/>
    <w:rsid w:val="00DD5F98"/>
    <w:rsid w:val="00DD6541"/>
    <w:rsid w:val="00DD6CBC"/>
    <w:rsid w:val="00DD7E13"/>
    <w:rsid w:val="00DE02A3"/>
    <w:rsid w:val="00DE0AA3"/>
    <w:rsid w:val="00DE1CC9"/>
    <w:rsid w:val="00DE292F"/>
    <w:rsid w:val="00DE412D"/>
    <w:rsid w:val="00DE61E0"/>
    <w:rsid w:val="00DE6C5F"/>
    <w:rsid w:val="00DE6F02"/>
    <w:rsid w:val="00DE7B3F"/>
    <w:rsid w:val="00DF0389"/>
    <w:rsid w:val="00DF0943"/>
    <w:rsid w:val="00DF0A02"/>
    <w:rsid w:val="00DF0A0F"/>
    <w:rsid w:val="00DF1A3E"/>
    <w:rsid w:val="00DF208A"/>
    <w:rsid w:val="00DF2952"/>
    <w:rsid w:val="00DF3547"/>
    <w:rsid w:val="00DF52B8"/>
    <w:rsid w:val="00DF76A3"/>
    <w:rsid w:val="00DF7AD6"/>
    <w:rsid w:val="00E0040A"/>
    <w:rsid w:val="00E00493"/>
    <w:rsid w:val="00E00E55"/>
    <w:rsid w:val="00E015C2"/>
    <w:rsid w:val="00E01623"/>
    <w:rsid w:val="00E020DA"/>
    <w:rsid w:val="00E021C0"/>
    <w:rsid w:val="00E0260A"/>
    <w:rsid w:val="00E0377F"/>
    <w:rsid w:val="00E038AA"/>
    <w:rsid w:val="00E03CE9"/>
    <w:rsid w:val="00E0442B"/>
    <w:rsid w:val="00E05009"/>
    <w:rsid w:val="00E051BC"/>
    <w:rsid w:val="00E05266"/>
    <w:rsid w:val="00E06F35"/>
    <w:rsid w:val="00E07705"/>
    <w:rsid w:val="00E118C5"/>
    <w:rsid w:val="00E1218E"/>
    <w:rsid w:val="00E121EA"/>
    <w:rsid w:val="00E1224F"/>
    <w:rsid w:val="00E1350A"/>
    <w:rsid w:val="00E148A5"/>
    <w:rsid w:val="00E150A4"/>
    <w:rsid w:val="00E1536F"/>
    <w:rsid w:val="00E15CCB"/>
    <w:rsid w:val="00E1612D"/>
    <w:rsid w:val="00E16505"/>
    <w:rsid w:val="00E16E6B"/>
    <w:rsid w:val="00E20C71"/>
    <w:rsid w:val="00E20F19"/>
    <w:rsid w:val="00E212F7"/>
    <w:rsid w:val="00E213B9"/>
    <w:rsid w:val="00E221AD"/>
    <w:rsid w:val="00E248BF"/>
    <w:rsid w:val="00E249ED"/>
    <w:rsid w:val="00E260C6"/>
    <w:rsid w:val="00E2685D"/>
    <w:rsid w:val="00E2765F"/>
    <w:rsid w:val="00E279BB"/>
    <w:rsid w:val="00E30849"/>
    <w:rsid w:val="00E31836"/>
    <w:rsid w:val="00E326A3"/>
    <w:rsid w:val="00E33635"/>
    <w:rsid w:val="00E34455"/>
    <w:rsid w:val="00E36AC6"/>
    <w:rsid w:val="00E37870"/>
    <w:rsid w:val="00E40648"/>
    <w:rsid w:val="00E41145"/>
    <w:rsid w:val="00E4171E"/>
    <w:rsid w:val="00E41987"/>
    <w:rsid w:val="00E41E1C"/>
    <w:rsid w:val="00E42776"/>
    <w:rsid w:val="00E43893"/>
    <w:rsid w:val="00E43DAC"/>
    <w:rsid w:val="00E4442F"/>
    <w:rsid w:val="00E4613D"/>
    <w:rsid w:val="00E461AD"/>
    <w:rsid w:val="00E476B1"/>
    <w:rsid w:val="00E47DF5"/>
    <w:rsid w:val="00E50366"/>
    <w:rsid w:val="00E50A45"/>
    <w:rsid w:val="00E5155C"/>
    <w:rsid w:val="00E518A0"/>
    <w:rsid w:val="00E51E1D"/>
    <w:rsid w:val="00E53876"/>
    <w:rsid w:val="00E542FB"/>
    <w:rsid w:val="00E55DB0"/>
    <w:rsid w:val="00E55EE6"/>
    <w:rsid w:val="00E57AC3"/>
    <w:rsid w:val="00E60E46"/>
    <w:rsid w:val="00E61383"/>
    <w:rsid w:val="00E62B77"/>
    <w:rsid w:val="00E630C7"/>
    <w:rsid w:val="00E6324E"/>
    <w:rsid w:val="00E632A6"/>
    <w:rsid w:val="00E641BA"/>
    <w:rsid w:val="00E65C36"/>
    <w:rsid w:val="00E66F46"/>
    <w:rsid w:val="00E671A5"/>
    <w:rsid w:val="00E6799E"/>
    <w:rsid w:val="00E67F8A"/>
    <w:rsid w:val="00E7065F"/>
    <w:rsid w:val="00E70697"/>
    <w:rsid w:val="00E70D90"/>
    <w:rsid w:val="00E710C3"/>
    <w:rsid w:val="00E72AF0"/>
    <w:rsid w:val="00E73243"/>
    <w:rsid w:val="00E734AF"/>
    <w:rsid w:val="00E7463B"/>
    <w:rsid w:val="00E7463D"/>
    <w:rsid w:val="00E74BD3"/>
    <w:rsid w:val="00E74D37"/>
    <w:rsid w:val="00E7509D"/>
    <w:rsid w:val="00E755F1"/>
    <w:rsid w:val="00E7584A"/>
    <w:rsid w:val="00E75E9F"/>
    <w:rsid w:val="00E76B45"/>
    <w:rsid w:val="00E7714C"/>
    <w:rsid w:val="00E8083A"/>
    <w:rsid w:val="00E809FC"/>
    <w:rsid w:val="00E80B84"/>
    <w:rsid w:val="00E810AB"/>
    <w:rsid w:val="00E81835"/>
    <w:rsid w:val="00E81A97"/>
    <w:rsid w:val="00E81AFC"/>
    <w:rsid w:val="00E82277"/>
    <w:rsid w:val="00E83781"/>
    <w:rsid w:val="00E840E0"/>
    <w:rsid w:val="00E86128"/>
    <w:rsid w:val="00E86C93"/>
    <w:rsid w:val="00E870F2"/>
    <w:rsid w:val="00E900C2"/>
    <w:rsid w:val="00E903DA"/>
    <w:rsid w:val="00E90553"/>
    <w:rsid w:val="00E90938"/>
    <w:rsid w:val="00E90E22"/>
    <w:rsid w:val="00E90E6C"/>
    <w:rsid w:val="00E91497"/>
    <w:rsid w:val="00E91A05"/>
    <w:rsid w:val="00E91BCD"/>
    <w:rsid w:val="00E91BEF"/>
    <w:rsid w:val="00E93D9D"/>
    <w:rsid w:val="00E944FE"/>
    <w:rsid w:val="00E9577B"/>
    <w:rsid w:val="00E95A39"/>
    <w:rsid w:val="00E96748"/>
    <w:rsid w:val="00E96F21"/>
    <w:rsid w:val="00E97F3C"/>
    <w:rsid w:val="00EA0098"/>
    <w:rsid w:val="00EA1326"/>
    <w:rsid w:val="00EA147E"/>
    <w:rsid w:val="00EA1F1F"/>
    <w:rsid w:val="00EA206B"/>
    <w:rsid w:val="00EA2110"/>
    <w:rsid w:val="00EA384F"/>
    <w:rsid w:val="00EA3EB6"/>
    <w:rsid w:val="00EA45BD"/>
    <w:rsid w:val="00EA5215"/>
    <w:rsid w:val="00EA54B2"/>
    <w:rsid w:val="00EA6985"/>
    <w:rsid w:val="00EA7117"/>
    <w:rsid w:val="00EB075B"/>
    <w:rsid w:val="00EB0D7E"/>
    <w:rsid w:val="00EB114E"/>
    <w:rsid w:val="00EB1962"/>
    <w:rsid w:val="00EB1F39"/>
    <w:rsid w:val="00EB25DA"/>
    <w:rsid w:val="00EB2DA8"/>
    <w:rsid w:val="00EB2EBF"/>
    <w:rsid w:val="00EB5EFD"/>
    <w:rsid w:val="00EB7CC8"/>
    <w:rsid w:val="00EC0513"/>
    <w:rsid w:val="00EC1A53"/>
    <w:rsid w:val="00EC1F06"/>
    <w:rsid w:val="00EC2FDA"/>
    <w:rsid w:val="00EC37BC"/>
    <w:rsid w:val="00EC3DA0"/>
    <w:rsid w:val="00EC48D5"/>
    <w:rsid w:val="00EC54DE"/>
    <w:rsid w:val="00EC5B2B"/>
    <w:rsid w:val="00EC5B58"/>
    <w:rsid w:val="00EC5DAB"/>
    <w:rsid w:val="00EC6393"/>
    <w:rsid w:val="00EC6D13"/>
    <w:rsid w:val="00EC7075"/>
    <w:rsid w:val="00EC721D"/>
    <w:rsid w:val="00ED0311"/>
    <w:rsid w:val="00ED045D"/>
    <w:rsid w:val="00ED15B5"/>
    <w:rsid w:val="00ED22CB"/>
    <w:rsid w:val="00ED312D"/>
    <w:rsid w:val="00ED3851"/>
    <w:rsid w:val="00ED3FBB"/>
    <w:rsid w:val="00ED45CA"/>
    <w:rsid w:val="00ED57B1"/>
    <w:rsid w:val="00ED6099"/>
    <w:rsid w:val="00ED78E6"/>
    <w:rsid w:val="00EE0B40"/>
    <w:rsid w:val="00EE0DD3"/>
    <w:rsid w:val="00EE2389"/>
    <w:rsid w:val="00EE3B3D"/>
    <w:rsid w:val="00EE4457"/>
    <w:rsid w:val="00EE4AC4"/>
    <w:rsid w:val="00EE5C3D"/>
    <w:rsid w:val="00EE60AA"/>
    <w:rsid w:val="00EE6A7F"/>
    <w:rsid w:val="00EE76BA"/>
    <w:rsid w:val="00EE7CC4"/>
    <w:rsid w:val="00EF0AFB"/>
    <w:rsid w:val="00EF0E5B"/>
    <w:rsid w:val="00EF0E80"/>
    <w:rsid w:val="00EF2E3E"/>
    <w:rsid w:val="00EF5437"/>
    <w:rsid w:val="00EF6AC6"/>
    <w:rsid w:val="00EF7178"/>
    <w:rsid w:val="00EF7594"/>
    <w:rsid w:val="00F00E33"/>
    <w:rsid w:val="00F00E83"/>
    <w:rsid w:val="00F02A78"/>
    <w:rsid w:val="00F0359E"/>
    <w:rsid w:val="00F0384E"/>
    <w:rsid w:val="00F03DB6"/>
    <w:rsid w:val="00F03ECA"/>
    <w:rsid w:val="00F04959"/>
    <w:rsid w:val="00F0512B"/>
    <w:rsid w:val="00F06B62"/>
    <w:rsid w:val="00F072F6"/>
    <w:rsid w:val="00F10068"/>
    <w:rsid w:val="00F10840"/>
    <w:rsid w:val="00F11A3F"/>
    <w:rsid w:val="00F12C61"/>
    <w:rsid w:val="00F12F78"/>
    <w:rsid w:val="00F13B38"/>
    <w:rsid w:val="00F14002"/>
    <w:rsid w:val="00F146D6"/>
    <w:rsid w:val="00F16814"/>
    <w:rsid w:val="00F17B69"/>
    <w:rsid w:val="00F23249"/>
    <w:rsid w:val="00F23B7C"/>
    <w:rsid w:val="00F23C01"/>
    <w:rsid w:val="00F23C50"/>
    <w:rsid w:val="00F24001"/>
    <w:rsid w:val="00F24326"/>
    <w:rsid w:val="00F243DF"/>
    <w:rsid w:val="00F24A78"/>
    <w:rsid w:val="00F253AD"/>
    <w:rsid w:val="00F2618A"/>
    <w:rsid w:val="00F269BE"/>
    <w:rsid w:val="00F3197F"/>
    <w:rsid w:val="00F31993"/>
    <w:rsid w:val="00F320B8"/>
    <w:rsid w:val="00F326CC"/>
    <w:rsid w:val="00F328CE"/>
    <w:rsid w:val="00F32BA2"/>
    <w:rsid w:val="00F32DC3"/>
    <w:rsid w:val="00F33C91"/>
    <w:rsid w:val="00F34126"/>
    <w:rsid w:val="00F348AF"/>
    <w:rsid w:val="00F351D7"/>
    <w:rsid w:val="00F35374"/>
    <w:rsid w:val="00F35470"/>
    <w:rsid w:val="00F35770"/>
    <w:rsid w:val="00F36747"/>
    <w:rsid w:val="00F36CB9"/>
    <w:rsid w:val="00F36F99"/>
    <w:rsid w:val="00F40344"/>
    <w:rsid w:val="00F40AD3"/>
    <w:rsid w:val="00F41205"/>
    <w:rsid w:val="00F4152E"/>
    <w:rsid w:val="00F44BC1"/>
    <w:rsid w:val="00F456B3"/>
    <w:rsid w:val="00F459E0"/>
    <w:rsid w:val="00F45AC3"/>
    <w:rsid w:val="00F4695C"/>
    <w:rsid w:val="00F504A9"/>
    <w:rsid w:val="00F50CE2"/>
    <w:rsid w:val="00F51207"/>
    <w:rsid w:val="00F52033"/>
    <w:rsid w:val="00F532E8"/>
    <w:rsid w:val="00F534B3"/>
    <w:rsid w:val="00F536CB"/>
    <w:rsid w:val="00F54DBF"/>
    <w:rsid w:val="00F561AA"/>
    <w:rsid w:val="00F5695A"/>
    <w:rsid w:val="00F569B6"/>
    <w:rsid w:val="00F5700B"/>
    <w:rsid w:val="00F60144"/>
    <w:rsid w:val="00F6018C"/>
    <w:rsid w:val="00F60953"/>
    <w:rsid w:val="00F60A78"/>
    <w:rsid w:val="00F611E7"/>
    <w:rsid w:val="00F61A2E"/>
    <w:rsid w:val="00F620EC"/>
    <w:rsid w:val="00F62926"/>
    <w:rsid w:val="00F63405"/>
    <w:rsid w:val="00F64A6D"/>
    <w:rsid w:val="00F65AF8"/>
    <w:rsid w:val="00F663F2"/>
    <w:rsid w:val="00F67348"/>
    <w:rsid w:val="00F70C9A"/>
    <w:rsid w:val="00F71A96"/>
    <w:rsid w:val="00F724FF"/>
    <w:rsid w:val="00F73180"/>
    <w:rsid w:val="00F733E7"/>
    <w:rsid w:val="00F738D2"/>
    <w:rsid w:val="00F73926"/>
    <w:rsid w:val="00F73BBE"/>
    <w:rsid w:val="00F75917"/>
    <w:rsid w:val="00F76209"/>
    <w:rsid w:val="00F77AD3"/>
    <w:rsid w:val="00F77E90"/>
    <w:rsid w:val="00F77EF2"/>
    <w:rsid w:val="00F80F81"/>
    <w:rsid w:val="00F815EE"/>
    <w:rsid w:val="00F818EC"/>
    <w:rsid w:val="00F81E19"/>
    <w:rsid w:val="00F823A7"/>
    <w:rsid w:val="00F830FF"/>
    <w:rsid w:val="00F85626"/>
    <w:rsid w:val="00F85D6D"/>
    <w:rsid w:val="00F85DFB"/>
    <w:rsid w:val="00F879D5"/>
    <w:rsid w:val="00F905E3"/>
    <w:rsid w:val="00F90687"/>
    <w:rsid w:val="00F90AAB"/>
    <w:rsid w:val="00F918BA"/>
    <w:rsid w:val="00F92D08"/>
    <w:rsid w:val="00F92DEA"/>
    <w:rsid w:val="00F9462B"/>
    <w:rsid w:val="00F9518B"/>
    <w:rsid w:val="00F964B9"/>
    <w:rsid w:val="00F96C02"/>
    <w:rsid w:val="00F96D1B"/>
    <w:rsid w:val="00F96FDD"/>
    <w:rsid w:val="00FA0E74"/>
    <w:rsid w:val="00FA1017"/>
    <w:rsid w:val="00FA11F2"/>
    <w:rsid w:val="00FA205A"/>
    <w:rsid w:val="00FA2612"/>
    <w:rsid w:val="00FA3443"/>
    <w:rsid w:val="00FA44D7"/>
    <w:rsid w:val="00FA4718"/>
    <w:rsid w:val="00FA6535"/>
    <w:rsid w:val="00FA7196"/>
    <w:rsid w:val="00FB095B"/>
    <w:rsid w:val="00FB2286"/>
    <w:rsid w:val="00FB293E"/>
    <w:rsid w:val="00FB2CA4"/>
    <w:rsid w:val="00FB4C26"/>
    <w:rsid w:val="00FB55DF"/>
    <w:rsid w:val="00FB6063"/>
    <w:rsid w:val="00FB6E17"/>
    <w:rsid w:val="00FB7E0F"/>
    <w:rsid w:val="00FC0DB2"/>
    <w:rsid w:val="00FC11A8"/>
    <w:rsid w:val="00FC11FB"/>
    <w:rsid w:val="00FC1BE7"/>
    <w:rsid w:val="00FC1C06"/>
    <w:rsid w:val="00FC2D79"/>
    <w:rsid w:val="00FC4994"/>
    <w:rsid w:val="00FC4995"/>
    <w:rsid w:val="00FC5306"/>
    <w:rsid w:val="00FC5F8A"/>
    <w:rsid w:val="00FC65CA"/>
    <w:rsid w:val="00FC6B8C"/>
    <w:rsid w:val="00FC75FE"/>
    <w:rsid w:val="00FC7BCA"/>
    <w:rsid w:val="00FD0469"/>
    <w:rsid w:val="00FD0665"/>
    <w:rsid w:val="00FD1BF5"/>
    <w:rsid w:val="00FD1D56"/>
    <w:rsid w:val="00FD249B"/>
    <w:rsid w:val="00FD2D53"/>
    <w:rsid w:val="00FD3AA2"/>
    <w:rsid w:val="00FD4883"/>
    <w:rsid w:val="00FD5BAF"/>
    <w:rsid w:val="00FD66AF"/>
    <w:rsid w:val="00FD73BF"/>
    <w:rsid w:val="00FD7922"/>
    <w:rsid w:val="00FE0044"/>
    <w:rsid w:val="00FE1451"/>
    <w:rsid w:val="00FE1BDF"/>
    <w:rsid w:val="00FE2564"/>
    <w:rsid w:val="00FE271D"/>
    <w:rsid w:val="00FE2758"/>
    <w:rsid w:val="00FE2C5C"/>
    <w:rsid w:val="00FE30D7"/>
    <w:rsid w:val="00FE388E"/>
    <w:rsid w:val="00FE3C94"/>
    <w:rsid w:val="00FE4733"/>
    <w:rsid w:val="00FE483A"/>
    <w:rsid w:val="00FE493B"/>
    <w:rsid w:val="00FE4C9C"/>
    <w:rsid w:val="00FE61AB"/>
    <w:rsid w:val="00FE6508"/>
    <w:rsid w:val="00FF0CCC"/>
    <w:rsid w:val="00FF0E1E"/>
    <w:rsid w:val="00FF1036"/>
    <w:rsid w:val="00FF19C4"/>
    <w:rsid w:val="00FF19DE"/>
    <w:rsid w:val="00FF1FF1"/>
    <w:rsid w:val="00FF2A1E"/>
    <w:rsid w:val="00FF2F49"/>
    <w:rsid w:val="00FF2F51"/>
    <w:rsid w:val="00FF3683"/>
    <w:rsid w:val="00FF4A31"/>
    <w:rsid w:val="00FF55C4"/>
    <w:rsid w:val="00FF6CB0"/>
    <w:rsid w:val="00FF6DC6"/>
    <w:rsid w:val="00FF75EC"/>
    <w:rsid w:val="00FF765B"/>
    <w:rsid w:val="00FF774E"/>
    <w:rsid w:val="00FF7B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B47BD1"/>
  <w15:docId w15:val="{E372EE65-6CBF-4C9B-90E0-08721B3C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basedOn w:val="Normal"/>
    <w:next w:val="Normal"/>
    <w:link w:val="Ttulo2Char"/>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basedOn w:val="Normal"/>
    <w:link w:val="BodyChar"/>
    <w:qFormat/>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qFormat/>
    <w:rsid w:val="00E57AC3"/>
    <w:pPr>
      <w:keepNext/>
      <w:numPr>
        <w:numId w:val="20"/>
      </w:numPr>
      <w:spacing w:before="280" w:after="140" w:line="290" w:lineRule="auto"/>
      <w:jc w:val="both"/>
      <w:outlineLvl w:val="0"/>
    </w:pPr>
    <w:rPr>
      <w:b/>
      <w:bCs/>
      <w:kern w:val="20"/>
      <w:sz w:val="22"/>
      <w:szCs w:val="32"/>
    </w:rPr>
  </w:style>
  <w:style w:type="paragraph" w:customStyle="1" w:styleId="Level2">
    <w:name w:val="Level 2"/>
    <w:basedOn w:val="Normal"/>
    <w:link w:val="Level2Char"/>
    <w:qFormat/>
    <w:rsid w:val="00097071"/>
    <w:pPr>
      <w:numPr>
        <w:ilvl w:val="1"/>
        <w:numId w:val="20"/>
      </w:numPr>
      <w:spacing w:after="140" w:line="290" w:lineRule="auto"/>
      <w:jc w:val="both"/>
      <w:outlineLvl w:val="1"/>
    </w:pPr>
    <w:rPr>
      <w:kern w:val="20"/>
      <w:szCs w:val="28"/>
    </w:rPr>
  </w:style>
  <w:style w:type="paragraph" w:customStyle="1" w:styleId="Level3">
    <w:name w:val="Level 3"/>
    <w:basedOn w:val="Normal"/>
    <w:link w:val="Level3Char"/>
    <w:qFormat/>
    <w:rsid w:val="00E57AC3"/>
    <w:pPr>
      <w:numPr>
        <w:ilvl w:val="2"/>
        <w:numId w:val="20"/>
      </w:numPr>
      <w:spacing w:after="140" w:line="290" w:lineRule="auto"/>
      <w:jc w:val="both"/>
      <w:outlineLvl w:val="2"/>
    </w:pPr>
    <w:rPr>
      <w:kern w:val="20"/>
      <w:szCs w:val="28"/>
    </w:rPr>
  </w:style>
  <w:style w:type="paragraph" w:customStyle="1" w:styleId="Level4">
    <w:name w:val="Level 4"/>
    <w:basedOn w:val="Normal"/>
    <w:qFormat/>
    <w:rsid w:val="00E57AC3"/>
    <w:pPr>
      <w:numPr>
        <w:ilvl w:val="3"/>
        <w:numId w:val="20"/>
      </w:numPr>
      <w:spacing w:after="140" w:line="290" w:lineRule="auto"/>
      <w:jc w:val="both"/>
      <w:outlineLvl w:val="3"/>
    </w:pPr>
  </w:style>
  <w:style w:type="paragraph" w:customStyle="1" w:styleId="Level5">
    <w:name w:val="Level 5"/>
    <w:basedOn w:val="Normal"/>
    <w:qFormat/>
    <w:rsid w:val="00E57AC3"/>
    <w:pPr>
      <w:numPr>
        <w:ilvl w:val="4"/>
        <w:numId w:val="20"/>
      </w:numPr>
      <w:spacing w:after="140" w:line="290" w:lineRule="auto"/>
      <w:jc w:val="both"/>
    </w:pPr>
  </w:style>
  <w:style w:type="paragraph" w:customStyle="1" w:styleId="Level6">
    <w:name w:val="Level 6"/>
    <w:basedOn w:val="Normal"/>
    <w:qFormat/>
    <w:rsid w:val="00E57AC3"/>
    <w:pPr>
      <w:numPr>
        <w:ilvl w:val="5"/>
        <w:numId w:val="20"/>
      </w:numPr>
      <w:spacing w:after="140" w:line="290" w:lineRule="auto"/>
      <w:jc w:val="both"/>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tabs>
        <w:tab w:val="clear" w:pos="1361"/>
      </w:tabs>
      <w:spacing w:after="140" w:line="290" w:lineRule="auto"/>
      <w:ind w:left="720" w:hanging="360"/>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kern w:val="20"/>
    </w:rPr>
  </w:style>
  <w:style w:type="paragraph" w:customStyle="1" w:styleId="bullet2">
    <w:name w:val="bullet 2"/>
    <w:basedOn w:val="Normal"/>
    <w:rsid w:val="00097071"/>
    <w:pPr>
      <w:numPr>
        <w:numId w:val="8"/>
      </w:numPr>
      <w:spacing w:after="140" w:line="290" w:lineRule="auto"/>
      <w:jc w:val="both"/>
    </w:pPr>
    <w:rPr>
      <w:kern w:val="20"/>
    </w:rPr>
  </w:style>
  <w:style w:type="paragraph" w:customStyle="1" w:styleId="bullet3">
    <w:name w:val="bullet 3"/>
    <w:basedOn w:val="Normal"/>
    <w:rsid w:val="00097071"/>
    <w:pPr>
      <w:numPr>
        <w:numId w:val="9"/>
      </w:numPr>
      <w:spacing w:after="140" w:line="290" w:lineRule="auto"/>
      <w:jc w:val="both"/>
    </w:pPr>
    <w:rPr>
      <w:kern w:val="20"/>
    </w:rPr>
  </w:style>
  <w:style w:type="paragraph" w:customStyle="1" w:styleId="bullet4">
    <w:name w:val="bullet 4"/>
    <w:basedOn w:val="Normal"/>
    <w:rsid w:val="00097071"/>
    <w:pPr>
      <w:numPr>
        <w:numId w:val="10"/>
      </w:numPr>
      <w:spacing w:after="140" w:line="290" w:lineRule="auto"/>
      <w:jc w:val="both"/>
    </w:pPr>
    <w:rPr>
      <w:kern w:val="20"/>
    </w:rPr>
  </w:style>
  <w:style w:type="paragraph" w:customStyle="1" w:styleId="bullet5">
    <w:name w:val="bullet 5"/>
    <w:basedOn w:val="Normal"/>
    <w:rsid w:val="00097071"/>
    <w:pPr>
      <w:numPr>
        <w:numId w:val="11"/>
      </w:numPr>
      <w:spacing w:after="140" w:line="290" w:lineRule="auto"/>
      <w:jc w:val="both"/>
    </w:pPr>
    <w:rPr>
      <w:kern w:val="20"/>
    </w:rPr>
  </w:style>
  <w:style w:type="paragraph" w:customStyle="1" w:styleId="bullet6">
    <w:name w:val="bullet 6"/>
    <w:basedOn w:val="Normal"/>
    <w:rsid w:val="00097071"/>
    <w:pPr>
      <w:numPr>
        <w:numId w:val="12"/>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pPr>
    <w:rPr>
      <w:kern w:val="20"/>
      <w:szCs w:val="20"/>
    </w:rPr>
  </w:style>
  <w:style w:type="paragraph" w:customStyle="1" w:styleId="roman2">
    <w:name w:val="roman 2"/>
    <w:basedOn w:val="Normal"/>
    <w:rsid w:val="00097071"/>
    <w:pPr>
      <w:numPr>
        <w:numId w:val="25"/>
      </w:numPr>
      <w:spacing w:after="140" w:line="290" w:lineRule="auto"/>
      <w:jc w:val="both"/>
    </w:pPr>
    <w:rPr>
      <w:kern w:val="20"/>
      <w:szCs w:val="20"/>
    </w:rPr>
  </w:style>
  <w:style w:type="paragraph" w:customStyle="1" w:styleId="roman3">
    <w:name w:val="roman 3"/>
    <w:basedOn w:val="Normal"/>
    <w:rsid w:val="00097071"/>
    <w:pPr>
      <w:numPr>
        <w:numId w:val="26"/>
      </w:numPr>
      <w:spacing w:after="140" w:line="290" w:lineRule="auto"/>
      <w:jc w:val="both"/>
    </w:pPr>
    <w:rPr>
      <w:kern w:val="20"/>
      <w:szCs w:val="20"/>
    </w:rPr>
  </w:style>
  <w:style w:type="paragraph" w:customStyle="1" w:styleId="roman4">
    <w:name w:val="roman 4"/>
    <w:basedOn w:val="Normal"/>
    <w:rsid w:val="00097071"/>
    <w:pPr>
      <w:numPr>
        <w:numId w:val="27"/>
      </w:numPr>
      <w:spacing w:after="140" w:line="290" w:lineRule="auto"/>
      <w:jc w:val="both"/>
    </w:pPr>
    <w:rPr>
      <w:kern w:val="20"/>
      <w:szCs w:val="20"/>
    </w:rPr>
  </w:style>
  <w:style w:type="paragraph" w:customStyle="1" w:styleId="roman5">
    <w:name w:val="roman 5"/>
    <w:basedOn w:val="Normal"/>
    <w:rsid w:val="00097071"/>
    <w:pPr>
      <w:numPr>
        <w:numId w:val="28"/>
      </w:numPr>
      <w:spacing w:after="140" w:line="290" w:lineRule="auto"/>
      <w:jc w:val="both"/>
    </w:pPr>
    <w:rPr>
      <w:kern w:val="20"/>
      <w:szCs w:val="20"/>
    </w:rPr>
  </w:style>
  <w:style w:type="paragraph" w:customStyle="1" w:styleId="roman6">
    <w:name w:val="roman 6"/>
    <w:basedOn w:val="Normal"/>
    <w:rsid w:val="00097071"/>
    <w:pPr>
      <w:numPr>
        <w:numId w:val="29"/>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30"/>
      </w:numPr>
      <w:spacing w:after="140" w:line="290" w:lineRule="auto"/>
      <w:jc w:val="both"/>
    </w:pPr>
    <w:rPr>
      <w:kern w:val="20"/>
    </w:rPr>
  </w:style>
  <w:style w:type="paragraph" w:customStyle="1" w:styleId="Schedule2">
    <w:name w:val="Schedule 2"/>
    <w:basedOn w:val="Normal"/>
    <w:rsid w:val="00097071"/>
    <w:pPr>
      <w:numPr>
        <w:ilvl w:val="1"/>
        <w:numId w:val="30"/>
      </w:numPr>
      <w:spacing w:after="140" w:line="290" w:lineRule="auto"/>
      <w:jc w:val="both"/>
    </w:pPr>
    <w:rPr>
      <w:kern w:val="20"/>
    </w:rPr>
  </w:style>
  <w:style w:type="paragraph" w:customStyle="1" w:styleId="Schedule3">
    <w:name w:val="Schedule 3"/>
    <w:basedOn w:val="Normal"/>
    <w:rsid w:val="00097071"/>
    <w:pPr>
      <w:numPr>
        <w:ilvl w:val="2"/>
        <w:numId w:val="30"/>
      </w:numPr>
      <w:spacing w:after="140" w:line="290" w:lineRule="auto"/>
      <w:jc w:val="both"/>
    </w:pPr>
    <w:rPr>
      <w:kern w:val="20"/>
    </w:rPr>
  </w:style>
  <w:style w:type="paragraph" w:customStyle="1" w:styleId="Schedule4">
    <w:name w:val="Schedule 4"/>
    <w:basedOn w:val="Normal"/>
    <w:rsid w:val="00097071"/>
    <w:pPr>
      <w:numPr>
        <w:ilvl w:val="3"/>
        <w:numId w:val="30"/>
      </w:numPr>
      <w:spacing w:after="140" w:line="290" w:lineRule="auto"/>
      <w:jc w:val="both"/>
    </w:pPr>
    <w:rPr>
      <w:kern w:val="20"/>
    </w:rPr>
  </w:style>
  <w:style w:type="paragraph" w:customStyle="1" w:styleId="Schedule5">
    <w:name w:val="Schedule 5"/>
    <w:basedOn w:val="Normal"/>
    <w:rsid w:val="00097071"/>
    <w:pPr>
      <w:numPr>
        <w:ilvl w:val="4"/>
        <w:numId w:val="30"/>
      </w:numPr>
      <w:spacing w:after="140" w:line="290" w:lineRule="auto"/>
      <w:jc w:val="both"/>
    </w:pPr>
    <w:rPr>
      <w:kern w:val="20"/>
    </w:rPr>
  </w:style>
  <w:style w:type="paragraph" w:customStyle="1" w:styleId="Schedule6">
    <w:name w:val="Schedule 6"/>
    <w:basedOn w:val="Normal"/>
    <w:rsid w:val="00097071"/>
    <w:pPr>
      <w:numPr>
        <w:ilvl w:val="5"/>
        <w:numId w:val="30"/>
      </w:numPr>
      <w:spacing w:after="140" w:line="290" w:lineRule="auto"/>
      <w:jc w:val="both"/>
    </w:pPr>
    <w:rPr>
      <w:kern w:val="20"/>
    </w:rPr>
  </w:style>
  <w:style w:type="paragraph" w:customStyle="1" w:styleId="TCLevel1">
    <w:name w:val="T+C Level 1"/>
    <w:basedOn w:val="Normal"/>
    <w:next w:val="TCLevel2"/>
    <w:rsid w:val="00097071"/>
    <w:pPr>
      <w:keepNext/>
      <w:numPr>
        <w:numId w:val="31"/>
      </w:numPr>
      <w:spacing w:before="140" w:line="290" w:lineRule="auto"/>
      <w:jc w:val="both"/>
      <w:outlineLvl w:val="0"/>
    </w:pPr>
    <w:rPr>
      <w:b/>
      <w:kern w:val="20"/>
    </w:rPr>
  </w:style>
  <w:style w:type="paragraph" w:customStyle="1" w:styleId="TCLevel2">
    <w:name w:val="T+C Level 2"/>
    <w:basedOn w:val="Normal"/>
    <w:rsid w:val="00097071"/>
    <w:pPr>
      <w:numPr>
        <w:ilvl w:val="1"/>
        <w:numId w:val="31"/>
      </w:numPr>
      <w:spacing w:after="140" w:line="290" w:lineRule="auto"/>
      <w:jc w:val="both"/>
      <w:outlineLvl w:val="1"/>
    </w:pPr>
    <w:rPr>
      <w:kern w:val="20"/>
    </w:rPr>
  </w:style>
  <w:style w:type="paragraph" w:customStyle="1" w:styleId="TCLevel3">
    <w:name w:val="T+C Level 3"/>
    <w:basedOn w:val="Normal"/>
    <w:rsid w:val="00097071"/>
    <w:pPr>
      <w:numPr>
        <w:ilvl w:val="2"/>
        <w:numId w:val="31"/>
      </w:numPr>
      <w:spacing w:after="140" w:line="290" w:lineRule="auto"/>
      <w:jc w:val="both"/>
      <w:outlineLvl w:val="2"/>
    </w:pPr>
    <w:rPr>
      <w:kern w:val="20"/>
    </w:rPr>
  </w:style>
  <w:style w:type="paragraph" w:customStyle="1" w:styleId="TCLevel4">
    <w:name w:val="T+C Level 4"/>
    <w:basedOn w:val="Normal"/>
    <w:rsid w:val="00097071"/>
    <w:pPr>
      <w:numPr>
        <w:ilvl w:val="3"/>
        <w:numId w:val="31"/>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aliases w:val="Nota de rodapé"/>
    <w:basedOn w:val="Normal"/>
    <w:next w:val="FootnoteTextcont"/>
    <w:link w:val="TextodenotaderodapChar"/>
    <w:rsid w:val="00097071"/>
    <w:pPr>
      <w:keepLines/>
      <w:tabs>
        <w:tab w:val="left" w:pos="227"/>
      </w:tabs>
      <w:ind w:left="227" w:hanging="227"/>
      <w:jc w:val="both"/>
    </w:pPr>
    <w:rPr>
      <w:sz w:val="16"/>
      <w:szCs w:val="20"/>
    </w:rPr>
  </w:style>
  <w:style w:type="paragraph" w:styleId="Cabealho">
    <w:name w:val="header"/>
    <w:aliases w:val="Guideline,Heade,hd,Header@,Project Name"/>
    <w:basedOn w:val="Normal"/>
    <w:link w:val="CabealhoChar"/>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2"/>
      </w:numPr>
      <w:spacing w:before="60" w:after="60" w:line="290" w:lineRule="auto"/>
      <w:outlineLvl w:val="0"/>
    </w:pPr>
    <w:rPr>
      <w:kern w:val="20"/>
    </w:rPr>
  </w:style>
  <w:style w:type="paragraph" w:customStyle="1" w:styleId="Table2">
    <w:name w:val="Table 2"/>
    <w:basedOn w:val="Normal"/>
    <w:rsid w:val="00097071"/>
    <w:pPr>
      <w:numPr>
        <w:ilvl w:val="1"/>
        <w:numId w:val="32"/>
      </w:numPr>
      <w:spacing w:before="60" w:after="60" w:line="290" w:lineRule="auto"/>
      <w:outlineLvl w:val="1"/>
    </w:pPr>
    <w:rPr>
      <w:kern w:val="20"/>
    </w:rPr>
  </w:style>
  <w:style w:type="paragraph" w:customStyle="1" w:styleId="Table3">
    <w:name w:val="Table 3"/>
    <w:basedOn w:val="Normal"/>
    <w:rsid w:val="00097071"/>
    <w:pPr>
      <w:numPr>
        <w:ilvl w:val="2"/>
        <w:numId w:val="32"/>
      </w:numPr>
      <w:spacing w:before="60" w:after="60" w:line="290" w:lineRule="auto"/>
      <w:outlineLvl w:val="2"/>
    </w:pPr>
    <w:rPr>
      <w:kern w:val="20"/>
    </w:rPr>
  </w:style>
  <w:style w:type="paragraph" w:customStyle="1" w:styleId="Table4">
    <w:name w:val="Table 4"/>
    <w:basedOn w:val="Normal"/>
    <w:rsid w:val="00097071"/>
    <w:pPr>
      <w:numPr>
        <w:ilvl w:val="3"/>
        <w:numId w:val="32"/>
      </w:numPr>
      <w:spacing w:before="60" w:after="60" w:line="290" w:lineRule="auto"/>
      <w:outlineLvl w:val="3"/>
    </w:pPr>
    <w:rPr>
      <w:kern w:val="20"/>
    </w:rPr>
  </w:style>
  <w:style w:type="paragraph" w:customStyle="1" w:styleId="Table5">
    <w:name w:val="Table 5"/>
    <w:basedOn w:val="Normal"/>
    <w:rsid w:val="00097071"/>
    <w:pPr>
      <w:numPr>
        <w:ilvl w:val="4"/>
        <w:numId w:val="32"/>
      </w:numPr>
      <w:spacing w:before="60" w:after="60" w:line="290" w:lineRule="auto"/>
      <w:outlineLvl w:val="4"/>
    </w:pPr>
    <w:rPr>
      <w:kern w:val="20"/>
    </w:rPr>
  </w:style>
  <w:style w:type="paragraph" w:customStyle="1" w:styleId="Table6">
    <w:name w:val="Table 6"/>
    <w:basedOn w:val="Normal"/>
    <w:rsid w:val="00097071"/>
    <w:pPr>
      <w:numPr>
        <w:ilvl w:val="5"/>
        <w:numId w:val="32"/>
      </w:numPr>
      <w:spacing w:before="60" w:after="60" w:line="290" w:lineRule="auto"/>
      <w:outlineLvl w:val="5"/>
    </w:pPr>
    <w:rPr>
      <w:kern w:val="20"/>
    </w:rPr>
  </w:style>
  <w:style w:type="paragraph" w:customStyle="1" w:styleId="Tablealpha">
    <w:name w:val="Table alpha"/>
    <w:basedOn w:val="CellBody"/>
    <w:rsid w:val="00097071"/>
    <w:pPr>
      <w:numPr>
        <w:numId w:val="33"/>
      </w:numPr>
    </w:pPr>
  </w:style>
  <w:style w:type="paragraph" w:customStyle="1" w:styleId="Tablebullet">
    <w:name w:val="Table bullet"/>
    <w:basedOn w:val="Normal"/>
    <w:rsid w:val="00097071"/>
    <w:pPr>
      <w:numPr>
        <w:numId w:val="34"/>
      </w:numPr>
      <w:tabs>
        <w:tab w:val="clear" w:pos="680"/>
        <w:tab w:val="num" w:pos="360"/>
      </w:tabs>
      <w:spacing w:before="60" w:after="60" w:line="290" w:lineRule="auto"/>
      <w:ind w:left="0" w:firstLine="0"/>
    </w:pPr>
    <w:rPr>
      <w:kern w:val="20"/>
    </w:rPr>
  </w:style>
  <w:style w:type="paragraph" w:customStyle="1" w:styleId="Tableroman">
    <w:name w:val="Table roman"/>
    <w:basedOn w:val="CellBody"/>
    <w:rsid w:val="00097071"/>
    <w:pPr>
      <w:numPr>
        <w:numId w:val="35"/>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E57AC3"/>
    <w:pPr>
      <w:numPr>
        <w:numId w:val="36"/>
      </w:numPr>
      <w:tabs>
        <w:tab w:val="clear" w:pos="-1416"/>
        <w:tab w:val="num" w:pos="680"/>
      </w:tabs>
      <w:spacing w:after="140" w:line="290" w:lineRule="auto"/>
      <w:ind w:left="680"/>
      <w:jc w:val="both"/>
    </w:pPr>
    <w:rPr>
      <w:kern w:val="20"/>
    </w:rPr>
  </w:style>
  <w:style w:type="paragraph" w:customStyle="1" w:styleId="UCAlpha2">
    <w:name w:val="UCAlpha 2"/>
    <w:basedOn w:val="Normal"/>
    <w:rsid w:val="00097071"/>
    <w:pPr>
      <w:numPr>
        <w:numId w:val="37"/>
      </w:numPr>
      <w:spacing w:after="140" w:line="290" w:lineRule="auto"/>
      <w:jc w:val="both"/>
    </w:pPr>
    <w:rPr>
      <w:kern w:val="20"/>
    </w:rPr>
  </w:style>
  <w:style w:type="paragraph" w:customStyle="1" w:styleId="UCAlpha3">
    <w:name w:val="UCAlpha 3"/>
    <w:basedOn w:val="Normal"/>
    <w:rsid w:val="00097071"/>
    <w:pPr>
      <w:numPr>
        <w:numId w:val="38"/>
      </w:numPr>
      <w:spacing w:after="140" w:line="290" w:lineRule="auto"/>
      <w:jc w:val="both"/>
    </w:pPr>
    <w:rPr>
      <w:kern w:val="20"/>
    </w:rPr>
  </w:style>
  <w:style w:type="paragraph" w:customStyle="1" w:styleId="UCAlpha4">
    <w:name w:val="UCAlpha 4"/>
    <w:basedOn w:val="Normal"/>
    <w:rsid w:val="00097071"/>
    <w:pPr>
      <w:numPr>
        <w:numId w:val="39"/>
      </w:numPr>
      <w:spacing w:after="140" w:line="290" w:lineRule="auto"/>
      <w:jc w:val="both"/>
    </w:pPr>
    <w:rPr>
      <w:kern w:val="20"/>
    </w:rPr>
  </w:style>
  <w:style w:type="paragraph" w:customStyle="1" w:styleId="UCAlpha5">
    <w:name w:val="UCAlpha 5"/>
    <w:basedOn w:val="Normal"/>
    <w:rsid w:val="00097071"/>
    <w:pPr>
      <w:numPr>
        <w:numId w:val="40"/>
      </w:numPr>
      <w:spacing w:after="140" w:line="290" w:lineRule="auto"/>
      <w:jc w:val="both"/>
    </w:pPr>
    <w:rPr>
      <w:kern w:val="20"/>
    </w:rPr>
  </w:style>
  <w:style w:type="paragraph" w:customStyle="1" w:styleId="UCAlpha6">
    <w:name w:val="UCAlpha 6"/>
    <w:basedOn w:val="Normal"/>
    <w:rsid w:val="00097071"/>
    <w:pPr>
      <w:numPr>
        <w:numId w:val="41"/>
      </w:numPr>
      <w:spacing w:after="140" w:line="290" w:lineRule="auto"/>
      <w:jc w:val="both"/>
    </w:pPr>
    <w:rPr>
      <w:kern w:val="20"/>
    </w:rPr>
  </w:style>
  <w:style w:type="paragraph" w:customStyle="1" w:styleId="UCRoman1">
    <w:name w:val="UCRoman 1"/>
    <w:basedOn w:val="Normal"/>
    <w:rsid w:val="00097071"/>
    <w:pPr>
      <w:numPr>
        <w:numId w:val="42"/>
      </w:numPr>
      <w:spacing w:after="140" w:line="290" w:lineRule="auto"/>
      <w:jc w:val="both"/>
    </w:pPr>
    <w:rPr>
      <w:kern w:val="20"/>
    </w:rPr>
  </w:style>
  <w:style w:type="paragraph" w:customStyle="1" w:styleId="UCRoman2">
    <w:name w:val="UCRoman 2"/>
    <w:basedOn w:val="Normal"/>
    <w:rsid w:val="00097071"/>
    <w:pPr>
      <w:numPr>
        <w:numId w:val="43"/>
      </w:numPr>
      <w:spacing w:after="140" w:line="290" w:lineRule="auto"/>
      <w:jc w:val="both"/>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pPr>
    <w:rPr>
      <w:kern w:val="20"/>
    </w:rPr>
  </w:style>
  <w:style w:type="paragraph" w:customStyle="1" w:styleId="dashbullet2">
    <w:name w:val="dash bullet 2"/>
    <w:basedOn w:val="Normal"/>
    <w:rsid w:val="00097071"/>
    <w:pPr>
      <w:numPr>
        <w:numId w:val="14"/>
      </w:numPr>
      <w:spacing w:after="140" w:line="290" w:lineRule="auto"/>
      <w:jc w:val="both"/>
    </w:pPr>
    <w:rPr>
      <w:kern w:val="20"/>
    </w:rPr>
  </w:style>
  <w:style w:type="paragraph" w:customStyle="1" w:styleId="dashbullet3">
    <w:name w:val="dash bullet 3"/>
    <w:basedOn w:val="Normal"/>
    <w:rsid w:val="00097071"/>
    <w:pPr>
      <w:numPr>
        <w:numId w:val="15"/>
      </w:numPr>
      <w:spacing w:after="140" w:line="290" w:lineRule="auto"/>
      <w:jc w:val="both"/>
    </w:pPr>
    <w:rPr>
      <w:kern w:val="20"/>
    </w:rPr>
  </w:style>
  <w:style w:type="paragraph" w:customStyle="1" w:styleId="dashbullet4">
    <w:name w:val="dash bullet 4"/>
    <w:basedOn w:val="Normal"/>
    <w:rsid w:val="00097071"/>
    <w:pPr>
      <w:numPr>
        <w:numId w:val="16"/>
      </w:numPr>
      <w:spacing w:after="140" w:line="290" w:lineRule="auto"/>
      <w:jc w:val="both"/>
    </w:pPr>
    <w:rPr>
      <w:kern w:val="20"/>
    </w:rPr>
  </w:style>
  <w:style w:type="paragraph" w:customStyle="1" w:styleId="dashbullet5">
    <w:name w:val="dash bullet 5"/>
    <w:basedOn w:val="Normal"/>
    <w:rsid w:val="00097071"/>
    <w:pPr>
      <w:numPr>
        <w:numId w:val="17"/>
      </w:numPr>
      <w:spacing w:after="140" w:line="290" w:lineRule="auto"/>
      <w:jc w:val="both"/>
    </w:pPr>
    <w:rPr>
      <w:kern w:val="20"/>
    </w:rPr>
  </w:style>
  <w:style w:type="paragraph" w:customStyle="1" w:styleId="dashbullet6">
    <w:name w:val="dash bullet 6"/>
    <w:basedOn w:val="Normal"/>
    <w:rsid w:val="00097071"/>
    <w:pPr>
      <w:numPr>
        <w:numId w:val="18"/>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Tabelacomgrade">
    <w:name w:val="Table Grid"/>
    <w:basedOn w:val="Tabelanormal"/>
    <w:uiPriority w:val="59"/>
    <w:rsid w:val="00A7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e4">
    <w:name w:val="Light List Accent 4"/>
    <w:basedOn w:val="Tabelanormal"/>
    <w:rsid w:val="005E563E"/>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CE46EA"/>
    <w:rPr>
      <w:rFonts w:ascii="Tahoma" w:hAnsi="Tahoma" w:cs="Tahoma"/>
      <w:sz w:val="16"/>
      <w:szCs w:val="16"/>
    </w:rPr>
  </w:style>
  <w:style w:type="character" w:customStyle="1" w:styleId="TextodebaloChar">
    <w:name w:val="Texto de balão Char"/>
    <w:basedOn w:val="Fontepargpadro"/>
    <w:link w:val="Textodebalo"/>
    <w:rsid w:val="00CE46EA"/>
    <w:rPr>
      <w:rFonts w:ascii="Tahoma" w:hAnsi="Tahoma" w:cs="Tahoma"/>
      <w:sz w:val="16"/>
      <w:szCs w:val="16"/>
      <w:lang w:val="pt-BR"/>
    </w:rPr>
  </w:style>
  <w:style w:type="paragraph" w:customStyle="1" w:styleId="CONCORRENCIASHIFEN">
    <w:name w:val="CONCORRENCIA S/HIFEN"/>
    <w:rsid w:val="004F1CFA"/>
    <w:pPr>
      <w:spacing w:line="240" w:lineRule="exact"/>
      <w:jc w:val="both"/>
    </w:pPr>
    <w:rPr>
      <w:rFonts w:ascii="Helvetica" w:eastAsia="MS Mincho" w:hAnsi="Helvetica"/>
      <w:noProof/>
      <w:sz w:val="21"/>
      <w:lang w:val="en-US" w:eastAsia="en-US"/>
    </w:rPr>
  </w:style>
  <w:style w:type="character" w:customStyle="1" w:styleId="BodyChar">
    <w:name w:val="Body Char"/>
    <w:link w:val="Body"/>
    <w:locked/>
    <w:rsid w:val="00E41E1C"/>
    <w:rPr>
      <w:rFonts w:ascii="Arial" w:hAnsi="Arial"/>
      <w:kern w:val="20"/>
      <w:szCs w:val="24"/>
      <w:lang w:val="pt-BR"/>
    </w:rPr>
  </w:style>
  <w:style w:type="character" w:customStyle="1" w:styleId="A1">
    <w:name w:val="A1"/>
    <w:uiPriority w:val="99"/>
    <w:rsid w:val="000B0DFD"/>
    <w:rPr>
      <w:rFonts w:cs="Myriad Pro Light"/>
      <w:color w:val="000000"/>
      <w:sz w:val="20"/>
      <w:szCs w:val="20"/>
    </w:rPr>
  </w:style>
  <w:style w:type="paragraph" w:styleId="Reviso">
    <w:name w:val="Revision"/>
    <w:hidden/>
    <w:rsid w:val="00AF18FE"/>
    <w:rPr>
      <w:rFonts w:ascii="Arial" w:hAnsi="Arial"/>
      <w:szCs w:val="24"/>
      <w:lang w:val="pt-BR"/>
    </w:rPr>
  </w:style>
  <w:style w:type="paragraph" w:customStyle="1" w:styleId="EDP-corpodetexto">
    <w:name w:val="(EDP - corpo de texto)"/>
    <w:qFormat/>
    <w:rsid w:val="00273734"/>
    <w:pPr>
      <w:spacing w:after="200" w:line="300" w:lineRule="exact"/>
      <w:jc w:val="both"/>
    </w:pPr>
    <w:rPr>
      <w:rFonts w:ascii="Calibri" w:hAnsi="Calibri"/>
      <w:lang w:val="pt-BR" w:eastAsia="en-US"/>
    </w:rPr>
  </w:style>
  <w:style w:type="paragraph" w:customStyle="1" w:styleId="HOMEBRBodyText">
    <w:name w:val="HOME BR Body Text"/>
    <w:basedOn w:val="Normal"/>
    <w:link w:val="HOMEBRBodyTextChar"/>
    <w:rsid w:val="001C0B1F"/>
    <w:pPr>
      <w:keepLines/>
      <w:spacing w:after="200" w:line="276" w:lineRule="auto"/>
    </w:pPr>
    <w:rPr>
      <w:rFonts w:eastAsia="MS Mincho"/>
      <w:szCs w:val="20"/>
      <w:lang w:val="x-none" w:eastAsia="en-US"/>
    </w:rPr>
  </w:style>
  <w:style w:type="character" w:customStyle="1" w:styleId="HOMEBRBodyTextChar">
    <w:name w:val="HOME BR Body Text Char"/>
    <w:link w:val="HOMEBRBodyText"/>
    <w:locked/>
    <w:rsid w:val="001C0B1F"/>
    <w:rPr>
      <w:rFonts w:ascii="Arial" w:eastAsia="MS Mincho" w:hAnsi="Arial"/>
      <w:lang w:val="x-none" w:eastAsia="en-US"/>
    </w:rPr>
  </w:style>
  <w:style w:type="character" w:customStyle="1" w:styleId="Level3Char">
    <w:name w:val="Level 3 Char"/>
    <w:link w:val="Level3"/>
    <w:rsid w:val="00F35470"/>
    <w:rPr>
      <w:rFonts w:ascii="Arial" w:hAnsi="Arial"/>
      <w:kern w:val="20"/>
      <w:szCs w:val="28"/>
      <w:lang w:val="pt-BR"/>
    </w:rPr>
  </w:style>
  <w:style w:type="character" w:customStyle="1" w:styleId="Level2Char">
    <w:name w:val="Level 2 Char"/>
    <w:link w:val="Level2"/>
    <w:rsid w:val="000F130F"/>
    <w:rPr>
      <w:rFonts w:ascii="Arial" w:hAnsi="Arial"/>
      <w:kern w:val="20"/>
      <w:szCs w:val="28"/>
      <w:lang w:val="pt-BR"/>
    </w:rPr>
  </w:style>
  <w:style w:type="paragraph" w:customStyle="1" w:styleId="Bullet10">
    <w:name w:val="Bullet 1"/>
    <w:basedOn w:val="Normal"/>
    <w:uiPriority w:val="99"/>
    <w:qFormat/>
    <w:rsid w:val="00452EA9"/>
    <w:pPr>
      <w:numPr>
        <w:numId w:val="44"/>
      </w:numPr>
      <w:spacing w:after="140" w:line="288" w:lineRule="auto"/>
      <w:jc w:val="both"/>
    </w:pPr>
    <w:rPr>
      <w:rFonts w:eastAsiaTheme="minorHAnsi"/>
      <w:szCs w:val="20"/>
      <w:lang w:val="en-GB"/>
    </w:rPr>
  </w:style>
  <w:style w:type="paragraph" w:customStyle="1" w:styleId="Bullet20">
    <w:name w:val="Bullet 2"/>
    <w:basedOn w:val="Normal"/>
    <w:uiPriority w:val="99"/>
    <w:qFormat/>
    <w:rsid w:val="00452EA9"/>
    <w:pPr>
      <w:numPr>
        <w:ilvl w:val="1"/>
        <w:numId w:val="44"/>
      </w:numPr>
      <w:spacing w:after="140" w:line="288" w:lineRule="auto"/>
      <w:jc w:val="both"/>
    </w:pPr>
    <w:rPr>
      <w:rFonts w:eastAsiaTheme="minorHAnsi"/>
      <w:szCs w:val="20"/>
      <w:lang w:val="en-GB"/>
    </w:rPr>
  </w:style>
  <w:style w:type="paragraph" w:customStyle="1" w:styleId="Bullet30">
    <w:name w:val="Bullet 3"/>
    <w:basedOn w:val="Normal"/>
    <w:uiPriority w:val="99"/>
    <w:qFormat/>
    <w:rsid w:val="00452EA9"/>
    <w:pPr>
      <w:numPr>
        <w:ilvl w:val="2"/>
        <w:numId w:val="44"/>
      </w:numPr>
      <w:spacing w:after="140" w:line="288" w:lineRule="auto"/>
      <w:jc w:val="both"/>
    </w:pPr>
    <w:rPr>
      <w:rFonts w:eastAsiaTheme="minorHAnsi"/>
      <w:szCs w:val="20"/>
      <w:lang w:val="en-GB"/>
    </w:rPr>
  </w:style>
  <w:style w:type="paragraph" w:styleId="PargrafodaLista">
    <w:name w:val="List Paragraph"/>
    <w:basedOn w:val="Normal"/>
    <w:qFormat/>
    <w:rsid w:val="00481F32"/>
    <w:pPr>
      <w:ind w:left="720"/>
      <w:contextualSpacing/>
    </w:pPr>
  </w:style>
  <w:style w:type="character" w:customStyle="1" w:styleId="CabealhoChar">
    <w:name w:val="Cabeçalho Char"/>
    <w:aliases w:val="Guideline Char,Heade Char,hd Char,Header@ Char,Project Name Char"/>
    <w:basedOn w:val="Fontepargpadro"/>
    <w:link w:val="Cabealho"/>
    <w:rsid w:val="00AF618F"/>
    <w:rPr>
      <w:rFonts w:ascii="Arial" w:hAnsi="Arial"/>
      <w:kern w:val="20"/>
      <w:szCs w:val="24"/>
      <w:lang w:val="pt-BR"/>
    </w:rPr>
  </w:style>
  <w:style w:type="paragraph" w:customStyle="1" w:styleId="FootnoteTextcont">
    <w:name w:val="Footnote Text cont"/>
    <w:basedOn w:val="Normal"/>
    <w:rsid w:val="003A78C0"/>
    <w:pPr>
      <w:ind w:left="227"/>
      <w:jc w:val="both"/>
    </w:pPr>
    <w:rPr>
      <w:sz w:val="16"/>
    </w:rPr>
  </w:style>
  <w:style w:type="character" w:customStyle="1" w:styleId="TextodenotaderodapChar">
    <w:name w:val="Texto de nota de rodapé Char"/>
    <w:aliases w:val="Nota de rodapé Char"/>
    <w:link w:val="Textodenotaderodap"/>
    <w:rsid w:val="0089740F"/>
    <w:rPr>
      <w:rFonts w:ascii="Arial" w:hAnsi="Arial"/>
      <w:sz w:val="16"/>
      <w:lang w:val="pt-BR"/>
    </w:rPr>
  </w:style>
  <w:style w:type="paragraph" w:customStyle="1" w:styleId="TabRoman">
    <w:name w:val="TabRoman"/>
    <w:basedOn w:val="Normal"/>
    <w:rsid w:val="00D202C7"/>
    <w:pPr>
      <w:numPr>
        <w:numId w:val="45"/>
      </w:numPr>
      <w:tabs>
        <w:tab w:val="clear" w:pos="425"/>
        <w:tab w:val="num" w:pos="680"/>
      </w:tabs>
      <w:spacing w:before="60" w:after="60" w:line="240" w:lineRule="exact"/>
      <w:ind w:left="680" w:hanging="680"/>
      <w:jc w:val="both"/>
    </w:pPr>
    <w:rPr>
      <w:sz w:val="18"/>
    </w:rPr>
  </w:style>
  <w:style w:type="paragraph" w:customStyle="1" w:styleId="TabAlpha">
    <w:name w:val="TabAlpha"/>
    <w:basedOn w:val="Normal"/>
    <w:rsid w:val="00D202C7"/>
    <w:pPr>
      <w:numPr>
        <w:ilvl w:val="1"/>
        <w:numId w:val="45"/>
      </w:numPr>
      <w:tabs>
        <w:tab w:val="clear" w:pos="850"/>
        <w:tab w:val="num" w:pos="680"/>
      </w:tabs>
      <w:spacing w:before="60" w:after="60" w:line="240" w:lineRule="exact"/>
      <w:ind w:left="680" w:hanging="680"/>
      <w:jc w:val="both"/>
    </w:pPr>
    <w:rPr>
      <w:sz w:val="18"/>
    </w:rPr>
  </w:style>
  <w:style w:type="table" w:customStyle="1" w:styleId="TableGrid1">
    <w:name w:val="Table Grid1"/>
    <w:basedOn w:val="Tabelanormal"/>
    <w:next w:val="Tabelacomgrade"/>
    <w:uiPriority w:val="59"/>
    <w:rsid w:val="00B30B67"/>
    <w:rPr>
      <w:rFonts w:ascii="Calibri" w:hAnsi="Calibri"/>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cadorA1">
    <w:name w:val="Marcador(A)1"/>
    <w:basedOn w:val="Normal"/>
    <w:qFormat/>
    <w:rsid w:val="005F65B7"/>
    <w:pPr>
      <w:numPr>
        <w:numId w:val="47"/>
      </w:numPr>
      <w:jc w:val="both"/>
    </w:pPr>
    <w:rPr>
      <w:rFonts w:cstheme="minorBidi"/>
      <w:szCs w:val="22"/>
      <w:lang w:eastAsia="en-US"/>
    </w:rPr>
  </w:style>
  <w:style w:type="character" w:customStyle="1" w:styleId="DeltaViewInsertion">
    <w:name w:val="DeltaView Insertion"/>
    <w:rsid w:val="00A76600"/>
    <w:rPr>
      <w:color w:val="0000FF"/>
      <w:spacing w:val="0"/>
      <w:u w:val="double"/>
    </w:rPr>
  </w:style>
  <w:style w:type="paragraph" w:customStyle="1" w:styleId="p0">
    <w:name w:val="p0"/>
    <w:basedOn w:val="Normal"/>
    <w:uiPriority w:val="99"/>
    <w:rsid w:val="005233A7"/>
    <w:pPr>
      <w:widowControl w:val="0"/>
      <w:tabs>
        <w:tab w:val="left" w:pos="720"/>
      </w:tabs>
      <w:spacing w:line="240" w:lineRule="atLeast"/>
    </w:pPr>
    <w:rPr>
      <w:rFonts w:ascii="Times" w:hAnsi="Times"/>
      <w:snapToGrid w:val="0"/>
      <w:sz w:val="24"/>
      <w:lang w:eastAsia="en-US"/>
    </w:rPr>
  </w:style>
  <w:style w:type="paragraph" w:customStyle="1" w:styleId="itabela">
    <w:name w:val="(i) tabela"/>
    <w:basedOn w:val="Level2"/>
    <w:link w:val="itabelaChar"/>
    <w:qFormat/>
    <w:rsid w:val="0029382C"/>
    <w:rPr>
      <w:rFonts w:ascii="Calibri" w:hAnsi="Calibri" w:cs="Calibri"/>
      <w:sz w:val="24"/>
      <w:szCs w:val="24"/>
    </w:rPr>
  </w:style>
  <w:style w:type="character" w:customStyle="1" w:styleId="itabelaChar">
    <w:name w:val="(i) tabela Char"/>
    <w:basedOn w:val="Level2Char"/>
    <w:link w:val="itabela"/>
    <w:rsid w:val="0029382C"/>
    <w:rPr>
      <w:rFonts w:ascii="Calibri" w:hAnsi="Calibri" w:cs="Calibri"/>
      <w:kern w:val="20"/>
      <w:sz w:val="24"/>
      <w:szCs w:val="24"/>
      <w:lang w:val="pt-BR"/>
    </w:rPr>
  </w:style>
  <w:style w:type="character" w:styleId="Refdecomentrio">
    <w:name w:val="annotation reference"/>
    <w:basedOn w:val="Fontepargpadro"/>
    <w:semiHidden/>
    <w:unhideWhenUsed/>
    <w:rsid w:val="00561DF0"/>
    <w:rPr>
      <w:sz w:val="16"/>
      <w:szCs w:val="16"/>
    </w:rPr>
  </w:style>
  <w:style w:type="paragraph" w:styleId="Assuntodocomentrio">
    <w:name w:val="annotation subject"/>
    <w:basedOn w:val="Textodecomentrio"/>
    <w:next w:val="Textodecomentrio"/>
    <w:link w:val="AssuntodocomentrioChar"/>
    <w:semiHidden/>
    <w:unhideWhenUsed/>
    <w:rsid w:val="00561DF0"/>
    <w:rPr>
      <w:b/>
      <w:bCs/>
    </w:rPr>
  </w:style>
  <w:style w:type="character" w:customStyle="1" w:styleId="TextodecomentrioChar">
    <w:name w:val="Texto de comentário Char"/>
    <w:basedOn w:val="Fontepargpadro"/>
    <w:link w:val="Textodecomentrio"/>
    <w:rsid w:val="00561DF0"/>
    <w:rPr>
      <w:rFonts w:ascii="Arial" w:hAnsi="Arial"/>
      <w:lang w:val="pt-BR"/>
    </w:rPr>
  </w:style>
  <w:style w:type="character" w:customStyle="1" w:styleId="AssuntodocomentrioChar">
    <w:name w:val="Assunto do comentário Char"/>
    <w:basedOn w:val="TextodecomentrioChar"/>
    <w:link w:val="Assuntodocomentrio"/>
    <w:semiHidden/>
    <w:rsid w:val="00561DF0"/>
    <w:rPr>
      <w:rFonts w:ascii="Arial" w:hAnsi="Arial"/>
      <w:b/>
      <w:bCs/>
      <w:lang w:val="pt-BR"/>
    </w:rPr>
  </w:style>
  <w:style w:type="character" w:customStyle="1" w:styleId="MenoPendente1">
    <w:name w:val="Menção Pendente1"/>
    <w:basedOn w:val="Fontepargpadro"/>
    <w:uiPriority w:val="99"/>
    <w:semiHidden/>
    <w:unhideWhenUsed/>
    <w:rsid w:val="008D36F4"/>
    <w:rPr>
      <w:color w:val="605E5C"/>
      <w:shd w:val="clear" w:color="auto" w:fill="E1DFDD"/>
    </w:rPr>
  </w:style>
  <w:style w:type="character" w:customStyle="1" w:styleId="Ttulo2Char">
    <w:name w:val="Título 2 Char"/>
    <w:basedOn w:val="Fontepargpadro"/>
    <w:link w:val="Ttulo2"/>
    <w:locked/>
    <w:rsid w:val="009A360F"/>
    <w:rPr>
      <w:rFonts w:ascii="Arial" w:hAnsi="Arial" w:cs="Arial"/>
      <w:bCs/>
      <w:iCs/>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40891">
      <w:bodyDiv w:val="1"/>
      <w:marLeft w:val="0"/>
      <w:marRight w:val="0"/>
      <w:marTop w:val="0"/>
      <w:marBottom w:val="0"/>
      <w:divBdr>
        <w:top w:val="none" w:sz="0" w:space="0" w:color="auto"/>
        <w:left w:val="none" w:sz="0" w:space="0" w:color="auto"/>
        <w:bottom w:val="none" w:sz="0" w:space="0" w:color="auto"/>
        <w:right w:val="none" w:sz="0" w:space="0" w:color="auto"/>
      </w:divBdr>
    </w:div>
    <w:div w:id="461314786">
      <w:bodyDiv w:val="1"/>
      <w:marLeft w:val="0"/>
      <w:marRight w:val="0"/>
      <w:marTop w:val="0"/>
      <w:marBottom w:val="0"/>
      <w:divBdr>
        <w:top w:val="none" w:sz="0" w:space="0" w:color="auto"/>
        <w:left w:val="none" w:sz="0" w:space="0" w:color="auto"/>
        <w:bottom w:val="none" w:sz="0" w:space="0" w:color="auto"/>
        <w:right w:val="none" w:sz="0" w:space="0" w:color="auto"/>
      </w:divBdr>
    </w:div>
    <w:div w:id="491989854">
      <w:bodyDiv w:val="1"/>
      <w:marLeft w:val="0"/>
      <w:marRight w:val="0"/>
      <w:marTop w:val="0"/>
      <w:marBottom w:val="0"/>
      <w:divBdr>
        <w:top w:val="none" w:sz="0" w:space="0" w:color="auto"/>
        <w:left w:val="none" w:sz="0" w:space="0" w:color="auto"/>
        <w:bottom w:val="none" w:sz="0" w:space="0" w:color="auto"/>
        <w:right w:val="none" w:sz="0" w:space="0" w:color="auto"/>
      </w:divBdr>
    </w:div>
    <w:div w:id="582227935">
      <w:bodyDiv w:val="1"/>
      <w:marLeft w:val="0"/>
      <w:marRight w:val="0"/>
      <w:marTop w:val="0"/>
      <w:marBottom w:val="0"/>
      <w:divBdr>
        <w:top w:val="none" w:sz="0" w:space="0" w:color="auto"/>
        <w:left w:val="none" w:sz="0" w:space="0" w:color="auto"/>
        <w:bottom w:val="none" w:sz="0" w:space="0" w:color="auto"/>
        <w:right w:val="none" w:sz="0" w:space="0" w:color="auto"/>
      </w:divBdr>
    </w:div>
    <w:div w:id="1254048263">
      <w:bodyDiv w:val="1"/>
      <w:marLeft w:val="0"/>
      <w:marRight w:val="0"/>
      <w:marTop w:val="0"/>
      <w:marBottom w:val="0"/>
      <w:divBdr>
        <w:top w:val="none" w:sz="0" w:space="0" w:color="auto"/>
        <w:left w:val="none" w:sz="0" w:space="0" w:color="auto"/>
        <w:bottom w:val="none" w:sz="0" w:space="0" w:color="auto"/>
        <w:right w:val="none" w:sz="0" w:space="0" w:color="auto"/>
      </w:divBdr>
    </w:div>
    <w:div w:id="1384867933">
      <w:bodyDiv w:val="1"/>
      <w:marLeft w:val="0"/>
      <w:marRight w:val="0"/>
      <w:marTop w:val="0"/>
      <w:marBottom w:val="0"/>
      <w:divBdr>
        <w:top w:val="none" w:sz="0" w:space="0" w:color="auto"/>
        <w:left w:val="none" w:sz="0" w:space="0" w:color="auto"/>
        <w:bottom w:val="none" w:sz="0" w:space="0" w:color="auto"/>
        <w:right w:val="none" w:sz="0" w:space="0" w:color="auto"/>
      </w:divBdr>
    </w:div>
    <w:div w:id="1485512074">
      <w:bodyDiv w:val="1"/>
      <w:marLeft w:val="0"/>
      <w:marRight w:val="0"/>
      <w:marTop w:val="0"/>
      <w:marBottom w:val="0"/>
      <w:divBdr>
        <w:top w:val="none" w:sz="0" w:space="0" w:color="auto"/>
        <w:left w:val="none" w:sz="0" w:space="0" w:color="auto"/>
        <w:bottom w:val="none" w:sz="0" w:space="0" w:color="auto"/>
        <w:right w:val="none" w:sz="0" w:space="0" w:color="auto"/>
      </w:divBdr>
      <w:divsChild>
        <w:div w:id="1931506094">
          <w:marLeft w:val="360"/>
          <w:marRight w:val="0"/>
          <w:marTop w:val="120"/>
          <w:marBottom w:val="0"/>
          <w:divBdr>
            <w:top w:val="none" w:sz="0" w:space="0" w:color="auto"/>
            <w:left w:val="none" w:sz="0" w:space="0" w:color="auto"/>
            <w:bottom w:val="none" w:sz="0" w:space="0" w:color="auto"/>
            <w:right w:val="none" w:sz="0" w:space="0" w:color="auto"/>
          </w:divBdr>
        </w:div>
      </w:divsChild>
    </w:div>
    <w:div w:id="1564489746">
      <w:bodyDiv w:val="1"/>
      <w:marLeft w:val="0"/>
      <w:marRight w:val="0"/>
      <w:marTop w:val="0"/>
      <w:marBottom w:val="0"/>
      <w:divBdr>
        <w:top w:val="none" w:sz="0" w:space="0" w:color="auto"/>
        <w:left w:val="none" w:sz="0" w:space="0" w:color="auto"/>
        <w:bottom w:val="none" w:sz="0" w:space="0" w:color="auto"/>
        <w:right w:val="none" w:sz="0" w:space="0" w:color="auto"/>
      </w:divBdr>
    </w:div>
    <w:div w:id="1583686078">
      <w:bodyDiv w:val="1"/>
      <w:marLeft w:val="0"/>
      <w:marRight w:val="0"/>
      <w:marTop w:val="0"/>
      <w:marBottom w:val="0"/>
      <w:divBdr>
        <w:top w:val="none" w:sz="0" w:space="0" w:color="auto"/>
        <w:left w:val="none" w:sz="0" w:space="0" w:color="auto"/>
        <w:bottom w:val="none" w:sz="0" w:space="0" w:color="auto"/>
        <w:right w:val="none" w:sz="0" w:space="0" w:color="auto"/>
      </w:divBdr>
    </w:div>
    <w:div w:id="1613898062">
      <w:bodyDiv w:val="1"/>
      <w:marLeft w:val="0"/>
      <w:marRight w:val="0"/>
      <w:marTop w:val="0"/>
      <w:marBottom w:val="0"/>
      <w:divBdr>
        <w:top w:val="none" w:sz="0" w:space="0" w:color="auto"/>
        <w:left w:val="none" w:sz="0" w:space="0" w:color="auto"/>
        <w:bottom w:val="none" w:sz="0" w:space="0" w:color="auto"/>
        <w:right w:val="none" w:sz="0" w:space="0" w:color="auto"/>
      </w:divBdr>
    </w:div>
    <w:div w:id="1693072135">
      <w:bodyDiv w:val="1"/>
      <w:marLeft w:val="0"/>
      <w:marRight w:val="0"/>
      <w:marTop w:val="0"/>
      <w:marBottom w:val="0"/>
      <w:divBdr>
        <w:top w:val="none" w:sz="0" w:space="0" w:color="auto"/>
        <w:left w:val="none" w:sz="0" w:space="0" w:color="auto"/>
        <w:bottom w:val="none" w:sz="0" w:space="0" w:color="auto"/>
        <w:right w:val="none" w:sz="0" w:space="0" w:color="auto"/>
      </w:divBdr>
    </w:div>
    <w:div w:id="1867911772">
      <w:bodyDiv w:val="1"/>
      <w:marLeft w:val="0"/>
      <w:marRight w:val="0"/>
      <w:marTop w:val="0"/>
      <w:marBottom w:val="0"/>
      <w:divBdr>
        <w:top w:val="none" w:sz="0" w:space="0" w:color="auto"/>
        <w:left w:val="none" w:sz="0" w:space="0" w:color="auto"/>
        <w:bottom w:val="none" w:sz="0" w:space="0" w:color="auto"/>
        <w:right w:val="none" w:sz="0" w:space="0" w:color="auto"/>
      </w:divBdr>
    </w:div>
    <w:div w:id="2039117454">
      <w:bodyDiv w:val="1"/>
      <w:marLeft w:val="0"/>
      <w:marRight w:val="0"/>
      <w:marTop w:val="0"/>
      <w:marBottom w:val="0"/>
      <w:divBdr>
        <w:top w:val="none" w:sz="0" w:space="0" w:color="auto"/>
        <w:left w:val="none" w:sz="0" w:space="0" w:color="auto"/>
        <w:bottom w:val="none" w:sz="0" w:space="0" w:color="auto"/>
        <w:right w:val="none" w:sz="0" w:space="0" w:color="auto"/>
      </w:divBdr>
    </w:div>
    <w:div w:id="20956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 L E F O S S E ! 8 1 0 6 4 9 . 2 < / d o c u m e n t i d >  
     < s e n d e r i d > C P E N I T E N < / s e n d e r i d >  
     < s e n d e r e m a i l > C A I O . P E N I T E N T E @ L E F O S S E . C O M < / s e n d e r e m a i l >  
     < l a s t m o d i f i e d > 2 0 1 9 - 1 0 - 2 4 T 1 5 : 5 2 : 0 0 . 0 0 0 0 0 0 0 - 0 3 : 0 0 < / l a s t m o d i f i e d >  
     < d a t a b a s e > L E F O S S E < / 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 G E D ! 6 0 1 0 5 5 6 . 7 < / d o c u m e n t i d >  
     < s e n d e r i d > L A R A . M A G A L H A E S < / s e n d e r i d >  
     < s e n d e r e m a i l > L A R A . M A G A L H A E S @ L D R . C O M . B R < / s e n d e r e m a i l >  
     < l a s t m o d i f i e d > 2 0 2 2 - 0 2 - 1 5 T 1 1 : 5 9 : 0 0 . 0 0 0 0 0 0 0 - 0 3 : 0 0 < / l a s t m o d i f i e d >  
     < d a t a b a s e > G E D < / d a t a b a s e >  
 < / p r o p e r t i e s > 
</file>

<file path=customXml/item8.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LDOC-3-308393</_dlc_DocId>
    <_dlc_DocIdUrl xmlns="e63af235-6539-4873-9a74-7e32b5cc1aee">
      <Url>http://sharepoint/_layouts/15/DocIdRedir.aspx?ID=LDOC-3-308393</Url>
      <Description>LDOC-3-308393</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LDOC-3-308393/0.1</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LDOC-3-308393/0.1</DLCPolicyLabelValue>
    <IDUnico xmlns="e63af235-6539-4873-9a74-7e32b5cc1aee">LDOC-3-308393</IDUnico>
    <VersaoDocumento xmlns="e63af235-6539-4873-9a74-7e32b5cc1aee">0.1</VersaoDocumento>
  </documentManagement>
</p:properties>
</file>

<file path=customXml/itemProps1.xml><?xml version="1.0" encoding="utf-8"?>
<ds:datastoreItem xmlns:ds="http://schemas.openxmlformats.org/officeDocument/2006/customXml" ds:itemID="{23C5AA1E-300A-4103-9F67-308E00DC811F}">
  <ds:schemaRefs>
    <ds:schemaRef ds:uri="office.server.policy"/>
  </ds:schemaRefs>
</ds:datastoreItem>
</file>

<file path=customXml/itemProps2.xml><?xml version="1.0" encoding="utf-8"?>
<ds:datastoreItem xmlns:ds="http://schemas.openxmlformats.org/officeDocument/2006/customXml" ds:itemID="{9E7B99FF-BB37-4406-B70F-38B9420A3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730FC-828F-465C-8BA4-FCE9E141DAA9}">
  <ds:schemaRefs>
    <ds:schemaRef ds:uri="http://schemas.microsoft.com/sharepoint/events"/>
  </ds:schemaRefs>
</ds:datastoreItem>
</file>

<file path=customXml/itemProps4.xml><?xml version="1.0" encoding="utf-8"?>
<ds:datastoreItem xmlns:ds="http://schemas.openxmlformats.org/officeDocument/2006/customXml" ds:itemID="{D8A35018-7109-456B-92B8-092E8A9BFA41}">
  <ds:schemaRefs>
    <ds:schemaRef ds:uri="http://schemas.microsoft.com/sharepoint/v3/contenttype/forms"/>
  </ds:schemaRefs>
</ds:datastoreItem>
</file>

<file path=customXml/itemProps5.xml><?xml version="1.0" encoding="utf-8"?>
<ds:datastoreItem xmlns:ds="http://schemas.openxmlformats.org/officeDocument/2006/customXml" ds:itemID="{244A705F-F824-4659-8408-7E56B02EF712}">
  <ds:schemaRefs>
    <ds:schemaRef ds:uri="http://www.imanage.com/work/xmlschema"/>
  </ds:schemaRefs>
</ds:datastoreItem>
</file>

<file path=customXml/itemProps6.xml><?xml version="1.0" encoding="utf-8"?>
<ds:datastoreItem xmlns:ds="http://schemas.openxmlformats.org/officeDocument/2006/customXml" ds:itemID="{FC4D297F-EF4A-FE43-AFEE-805140184789}">
  <ds:schemaRefs>
    <ds:schemaRef ds:uri="http://schemas.openxmlformats.org/officeDocument/2006/bibliography"/>
  </ds:schemaRefs>
</ds:datastoreItem>
</file>

<file path=customXml/itemProps7.xml><?xml version="1.0" encoding="utf-8"?>
<ds:datastoreItem xmlns:ds="http://schemas.openxmlformats.org/officeDocument/2006/customXml" ds:itemID="{24996654-75C7-4295-92C0-B292A16FAFC1}">
  <ds:schemaRefs>
    <ds:schemaRef ds:uri="http://www.imanage.com/work/xmlschema"/>
  </ds:schemaRefs>
</ds:datastoreItem>
</file>

<file path=customXml/itemProps8.xml><?xml version="1.0" encoding="utf-8"?>
<ds:datastoreItem xmlns:ds="http://schemas.openxmlformats.org/officeDocument/2006/customXml" ds:itemID="{650478CE-F8E2-45BC-AD9F-1C17B21D017E}">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HouseStyle</Template>
  <TotalTime>5</TotalTime>
  <Pages>55</Pages>
  <Words>14980</Words>
  <Characters>80893</Characters>
  <Application>Microsoft Office Word</Application>
  <DocSecurity>0</DocSecurity>
  <Lines>674</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DocumentDEMAREST_SP-#11767928-v11-Deb_400_São_Martinho_-_Anúncio_de_Início (PRINTER)_13.12.21_1 compared with DEMAREST_SP-#11767928-v13-Deb_400_São_Martinho_-_Anúncio_de_Início</vt:lpstr>
      <vt:lpstr>HouseStyle</vt:lpstr>
    </vt:vector>
  </TitlesOfParts>
  <Company>Lefosse Advogados</Company>
  <LinksUpToDate>false</LinksUpToDate>
  <CharactersWithSpaces>95682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DEMAREST_SP-#11767928-v31-Deb_400_São_Martinho_-_Anúncio_de_Início compared with DEMAREST_SP-#11767928-v32-Deb_400_São_Martinho_-_Anúncio_de_Início</dc:title>
  <dc:subject>
  </dc:subject>
  <dc:creator>lefosse</dc:creator>
  <cp:keywords>
  </cp:keywords>
  <dc:description>
  </dc:description>
  <cp:lastModifiedBy>weberton pinheiro</cp:lastModifiedBy>
  <cp:revision>6</cp:revision>
  <cp:lastPrinted>2022-02-16T21:56:00Z</cp:lastPrinted>
  <dcterms:created xsi:type="dcterms:W3CDTF">2022-02-16T21:56:00Z</dcterms:created>
  <dcterms:modified xsi:type="dcterms:W3CDTF">2022-03-19T22:31:00Z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Portuguese (Brazil)</vt:lpwstr>
  </property>
  <property fmtid="{D5CDD505-2E9C-101B-9397-08002B2CF9AE}" pid="5" name="PaperSize">
    <vt:lpwstr>A4</vt:lpwstr>
  </property>
  <property fmtid="{D5CDD505-2E9C-101B-9397-08002B2CF9AE}" pid="6" name="Landscape">
    <vt:lpwstr>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09001dc88a8705f7</vt:lpwstr>
  </property>
  <property fmtid="{D5CDD505-2E9C-101B-9397-08002B2CF9AE}" pid="16" name="Document Number">
    <vt:lpwstr>A15602219</vt:lpwstr>
  </property>
  <property fmtid="{D5CDD505-2E9C-101B-9397-08002B2CF9AE}" pid="17" name="Version">
    <vt:lpwstr>0.1</vt:lpwstr>
  </property>
  <property fmtid="{D5CDD505-2E9C-101B-9397-08002B2CF9AE}" pid="18" name="Last Modified">
    <vt:lpwstr>02 out 2012</vt:lpwstr>
  </property>
  <property fmtid="{D5CDD505-2E9C-101B-9397-08002B2CF9AE}" pid="19" name="Matter Number">
    <vt:lpwstr>L-204622</vt:lpwstr>
  </property>
  <property fmtid="{D5CDD505-2E9C-101B-9397-08002B2CF9AE}" pid="20" name="Client Code">
    <vt:lpwstr>10188362</vt:lpwstr>
  </property>
  <property fmtid="{D5CDD505-2E9C-101B-9397-08002B2CF9AE}" pid="21" name="Mode">
    <vt:lpwstr>SendAs</vt:lpwstr>
  </property>
  <property fmtid="{D5CDD505-2E9C-101B-9397-08002B2CF9AE}" pid="22" name="DEDocumentLocation">
    <vt:lpwstr>H:\Documentum\__Viewed\09001dc88a8705f7\Crystal_Aviso ao Mercado_v2.docx</vt:lpwstr>
  </property>
  <property fmtid="{D5CDD505-2E9C-101B-9397-08002B2CF9AE}" pid="23" name="ContentTypeId">
    <vt:lpwstr>0x0101006EF17356CF70944FBC2751F899F610F400F0B6EB119FFDF04E826FAC6AE872118A</vt:lpwstr>
  </property>
  <property fmtid="{D5CDD505-2E9C-101B-9397-08002B2CF9AE}" pid="24" name="_dlc_DocIdItemGuid">
    <vt:lpwstr>1f1c0980-d78a-46a3-93f0-5b6449cf10fb</vt:lpwstr>
  </property>
  <property fmtid="{D5CDD505-2E9C-101B-9397-08002B2CF9AE}" pid="25" name="IDUnico">
    <vt:lpwstr>LDOC-3-304664</vt:lpwstr>
  </property>
  <property fmtid="{D5CDD505-2E9C-101B-9397-08002B2CF9AE}" pid="26" name="AutorDocumento">
    <vt:lpwstr>
    </vt:lpwstr>
  </property>
  <property fmtid="{D5CDD505-2E9C-101B-9397-08002B2CF9AE}" pid="27" name="Cliente">
    <vt:lpwstr>894;#Banco Do Brasil:BB Banco de Investimento SA|6520fef4-723d-4f1e-8866-3d331518c3da</vt:lpwstr>
  </property>
  <property fmtid="{D5CDD505-2E9C-101B-9397-08002B2CF9AE}" pid="28" name="Keywords1">
    <vt:lpwstr>
    </vt:lpwstr>
  </property>
  <property fmtid="{D5CDD505-2E9C-101B-9397-08002B2CF9AE}" pid="29" name="VersaoDocumento">
    <vt:lpwstr>1.6</vt:lpwstr>
  </property>
  <property fmtid="{D5CDD505-2E9C-101B-9397-08002B2CF9AE}" pid="30" name="iManageCod">
    <vt:lpwstr>Lefosse - 810649v2</vt:lpwstr>
  </property>
  <property fmtid="{D5CDD505-2E9C-101B-9397-08002B2CF9AE}" pid="31" name="bp_dc_comparedocs">
    <vt:lpwstr>5.0.200.14 _tc</vt:lpwstr>
  </property>
  <property fmtid="{D5CDD505-2E9C-101B-9397-08002B2CF9AE}" pid="32" name="/bp_dc_modversion">
    <vt:lpwstr>V//O/2DP1WR13/S1 D0/D_7S!70ET6M*23MS7/*236AE98*30R2:</vt:lpwstr>
  </property>
  <property fmtid="{D5CDD505-2E9C-101B-9397-08002B2CF9AE}" pid="33" name="/bp_dc_orgversion">
    <vt:lpwstr>V//O/1DP1WR13/S1 D0/D_7S!72ET6M*27MS7/*124AE98*37R2:</vt:lpwstr>
  </property>
  <property fmtid="{D5CDD505-2E9C-101B-9397-08002B2CF9AE}" pid="34" name="/bp_dc_filepath">
    <vt:lpwstr>Cdcomu--acd:aioaCropptP#2DMrni.o\noLlspcat\S13e_túoocUo\\\c\ ruD_1vboin_ixsbAaTopseOET7-_ãnAdcegpteDdcD\MS684Sh_eír\pam\foosAE720_o-_nsDpDcR90_I</vt:lpwstr>
  </property>
</Properties>
</file>