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8A69" w14:textId="7023F0DD" w:rsidR="00A20CD4" w:rsidRPr="00643349" w:rsidRDefault="00E80B84" w:rsidP="00643349">
      <w:pPr>
        <w:pStyle w:val="Ttulo"/>
        <w:jc w:val="center"/>
        <w:rPr>
          <w:rFonts w:ascii="Calibri" w:hAnsi="Calibri" w:cs="Calibri"/>
          <w:color w:val="203463"/>
          <w:sz w:val="28"/>
          <w:szCs w:val="28"/>
        </w:rPr>
      </w:pPr>
      <w:r w:rsidRPr="00643349">
        <w:rPr>
          <w:rFonts w:ascii="Calibri" w:hAnsi="Calibri" w:cs="Calibri"/>
          <w:color w:val="203463"/>
          <w:sz w:val="28"/>
          <w:szCs w:val="28"/>
        </w:rPr>
        <w:t>AVISO AO MERCADO</w:t>
      </w:r>
    </w:p>
    <w:p w14:paraId="45F24668" w14:textId="4FC86F03" w:rsidR="00E80B84" w:rsidRPr="00643349" w:rsidRDefault="00D409FD" w:rsidP="00643349">
      <w:pPr>
        <w:pStyle w:val="Ttulo"/>
        <w:jc w:val="center"/>
        <w:rPr>
          <w:rFonts w:ascii="Calibri" w:hAnsi="Calibri" w:cs="Calibri"/>
          <w:color w:val="203463"/>
          <w:sz w:val="24"/>
          <w:szCs w:val="24"/>
        </w:rPr>
      </w:pPr>
      <w:r w:rsidRPr="00643349">
        <w:rPr>
          <w:rFonts w:ascii="Calibri" w:hAnsi="Calibri" w:cs="Calibri"/>
          <w:color w:val="203463"/>
          <w:sz w:val="24"/>
          <w:szCs w:val="24"/>
        </w:rPr>
        <w:t>DA OFERTA PÚBLICA DE DISTRIBUIÇÃO DE DEBÊNTURE</w:t>
      </w:r>
      <w:r w:rsidR="006A1EEC" w:rsidRPr="00643349">
        <w:rPr>
          <w:rFonts w:ascii="Calibri" w:hAnsi="Calibri" w:cs="Calibri"/>
          <w:color w:val="203463"/>
          <w:sz w:val="24"/>
          <w:szCs w:val="24"/>
        </w:rPr>
        <w:t>S</w:t>
      </w:r>
      <w:r w:rsidR="004938AA" w:rsidRPr="00643349">
        <w:rPr>
          <w:rFonts w:ascii="Calibri" w:hAnsi="Calibri" w:cs="Calibri"/>
          <w:color w:val="203463"/>
          <w:sz w:val="24"/>
          <w:szCs w:val="24"/>
        </w:rPr>
        <w:t xml:space="preserve"> SIMPLES</w:t>
      </w:r>
      <w:r w:rsidRPr="00643349">
        <w:rPr>
          <w:rFonts w:ascii="Calibri" w:hAnsi="Calibri" w:cs="Calibri"/>
          <w:color w:val="203463"/>
          <w:sz w:val="24"/>
          <w:szCs w:val="24"/>
        </w:rPr>
        <w:t>, NÃO CONVERSÍVEIS EM AÇÕES, DA ESPÉCIE QUIROGRAFÁRIA</w:t>
      </w:r>
      <w:r w:rsidR="00F70E18" w:rsidRPr="00643349">
        <w:rPr>
          <w:rFonts w:ascii="Calibri" w:hAnsi="Calibri" w:cs="Calibri"/>
          <w:color w:val="203463"/>
          <w:sz w:val="24"/>
          <w:szCs w:val="24"/>
        </w:rPr>
        <w:t xml:space="preserve">, </w:t>
      </w:r>
      <w:r w:rsidRPr="00643349">
        <w:rPr>
          <w:rFonts w:ascii="Calibri" w:hAnsi="Calibri" w:cs="Calibri"/>
          <w:color w:val="203463"/>
          <w:sz w:val="24"/>
          <w:szCs w:val="24"/>
        </w:rPr>
        <w:t xml:space="preserve">EM </w:t>
      </w:r>
      <w:r w:rsidR="006A1EEC" w:rsidRPr="00643349">
        <w:rPr>
          <w:rFonts w:ascii="Calibri" w:hAnsi="Calibri" w:cs="Calibri"/>
          <w:color w:val="203463"/>
          <w:sz w:val="24"/>
          <w:szCs w:val="24"/>
        </w:rPr>
        <w:t>ATÉ DUAS SÉRIES</w:t>
      </w:r>
      <w:r w:rsidRPr="00643349">
        <w:rPr>
          <w:rFonts w:ascii="Calibri" w:hAnsi="Calibri" w:cs="Calibri"/>
          <w:color w:val="203463"/>
          <w:sz w:val="24"/>
          <w:szCs w:val="24"/>
        </w:rPr>
        <w:t>, DA</w:t>
      </w:r>
      <w:r w:rsidR="00EB55D0" w:rsidRPr="00643349">
        <w:rPr>
          <w:rFonts w:ascii="Calibri" w:hAnsi="Calibri" w:cs="Calibri"/>
          <w:color w:val="203463"/>
          <w:sz w:val="24"/>
          <w:szCs w:val="24"/>
        </w:rPr>
        <w:t xml:space="preserve"> </w:t>
      </w:r>
      <w:r w:rsidR="006A1EEC" w:rsidRPr="00643349">
        <w:rPr>
          <w:rFonts w:ascii="Calibri" w:hAnsi="Calibri" w:cs="Calibri"/>
          <w:color w:val="203463"/>
          <w:sz w:val="24"/>
          <w:szCs w:val="24"/>
        </w:rPr>
        <w:t>4</w:t>
      </w:r>
      <w:r w:rsidR="002D72B5" w:rsidRPr="00643349">
        <w:rPr>
          <w:rFonts w:ascii="Calibri" w:hAnsi="Calibri" w:cs="Calibri"/>
          <w:color w:val="203463"/>
          <w:sz w:val="24"/>
          <w:szCs w:val="24"/>
        </w:rPr>
        <w:t xml:space="preserve">ª </w:t>
      </w:r>
      <w:r w:rsidR="00D26F59" w:rsidRPr="00643349">
        <w:rPr>
          <w:rFonts w:ascii="Calibri" w:hAnsi="Calibri" w:cs="Calibri"/>
          <w:color w:val="203463"/>
          <w:sz w:val="24"/>
          <w:szCs w:val="24"/>
        </w:rPr>
        <w:t>(</w:t>
      </w:r>
      <w:r w:rsidR="006A1EEC" w:rsidRPr="00643349">
        <w:rPr>
          <w:rFonts w:ascii="Calibri" w:hAnsi="Calibri" w:cs="Calibri"/>
          <w:color w:val="203463"/>
          <w:sz w:val="24"/>
          <w:szCs w:val="24"/>
        </w:rPr>
        <w:t>QUARTA)</w:t>
      </w:r>
      <w:r w:rsidRPr="00643349">
        <w:rPr>
          <w:rFonts w:ascii="Calibri" w:hAnsi="Calibri" w:cs="Calibri"/>
          <w:color w:val="203463"/>
          <w:sz w:val="24"/>
          <w:szCs w:val="24"/>
        </w:rPr>
        <w:t xml:space="preserve"> EMISSÃO DA</w:t>
      </w:r>
    </w:p>
    <w:p w14:paraId="32BCAD33" w14:textId="117BDD38" w:rsidR="00563743" w:rsidRPr="00E66C26" w:rsidRDefault="00E11593" w:rsidP="0029198E">
      <w:pPr>
        <w:spacing w:after="140" w:line="290" w:lineRule="auto"/>
        <w:jc w:val="center"/>
        <w:rPr>
          <w:rFonts w:ascii="Calibri" w:hAnsi="Calibri" w:cs="Calibri"/>
          <w:b/>
          <w:noProof/>
          <w:sz w:val="24"/>
          <w:lang w:eastAsia="en-US"/>
        </w:rPr>
      </w:pPr>
      <w:r w:rsidRPr="00E66C26">
        <w:rPr>
          <w:rFonts w:ascii="Calibri" w:hAnsi="Calibri" w:cs="Calibri"/>
          <w:b/>
          <w:noProof/>
          <w:sz w:val="24"/>
          <w:lang w:eastAsia="en-US"/>
        </w:rPr>
        <w:drawing>
          <wp:anchor distT="0" distB="0" distL="114300" distR="114300" simplePos="0" relativeHeight="251658240" behindDoc="0" locked="0" layoutInCell="1" allowOverlap="1" wp14:anchorId="3D0A01BB" wp14:editId="4DA55AEA">
            <wp:simplePos x="0" y="0"/>
            <wp:positionH relativeFrom="column">
              <wp:posOffset>4958715</wp:posOffset>
            </wp:positionH>
            <wp:positionV relativeFrom="paragraph">
              <wp:posOffset>244475</wp:posOffset>
            </wp:positionV>
            <wp:extent cx="870585" cy="505460"/>
            <wp:effectExtent l="0" t="0" r="5715" b="889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0585" cy="505460"/>
                    </a:xfrm>
                    <a:prstGeom prst="rect">
                      <a:avLst/>
                    </a:prstGeom>
                    <a:noFill/>
                  </pic:spPr>
                </pic:pic>
              </a:graphicData>
            </a:graphic>
            <wp14:sizeRelH relativeFrom="margin">
              <wp14:pctWidth>0</wp14:pctWidth>
            </wp14:sizeRelH>
            <wp14:sizeRelV relativeFrom="margin">
              <wp14:pctHeight>0</wp14:pctHeight>
            </wp14:sizeRelV>
          </wp:anchor>
        </w:drawing>
      </w:r>
      <w:r w:rsidRPr="00E66C26">
        <w:rPr>
          <w:rFonts w:ascii="Calibri" w:hAnsi="Calibri" w:cs="Calibri"/>
          <w:b/>
          <w:noProof/>
          <w:sz w:val="24"/>
        </w:rPr>
        <w:drawing>
          <wp:anchor distT="0" distB="0" distL="114300" distR="114300" simplePos="0" relativeHeight="251659264" behindDoc="0" locked="0" layoutInCell="1" allowOverlap="1" wp14:anchorId="2ABE03AE" wp14:editId="38CBF8CF">
            <wp:simplePos x="0" y="0"/>
            <wp:positionH relativeFrom="column">
              <wp:posOffset>-393700</wp:posOffset>
            </wp:positionH>
            <wp:positionV relativeFrom="paragraph">
              <wp:posOffset>244475</wp:posOffset>
            </wp:positionV>
            <wp:extent cx="870896" cy="504825"/>
            <wp:effectExtent l="0" t="0" r="571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0896" cy="504825"/>
                    </a:xfrm>
                    <a:prstGeom prst="rect">
                      <a:avLst/>
                    </a:prstGeom>
                    <a:noFill/>
                  </pic:spPr>
                </pic:pic>
              </a:graphicData>
            </a:graphic>
            <wp14:sizeRelH relativeFrom="margin">
              <wp14:pctWidth>0</wp14:pctWidth>
            </wp14:sizeRelH>
            <wp14:sizeRelV relativeFrom="margin">
              <wp14:pctHeight>0</wp14:pctHeight>
            </wp14:sizeRelV>
          </wp:anchor>
        </w:drawing>
      </w:r>
      <w:r w:rsidR="006A1EEC" w:rsidRPr="00E66C26">
        <w:rPr>
          <w:rFonts w:ascii="Calibri" w:hAnsi="Calibri" w:cs="Calibri"/>
          <w:noProof/>
          <w:sz w:val="24"/>
        </w:rPr>
        <w:drawing>
          <wp:inline distT="0" distB="0" distL="0" distR="0" wp14:anchorId="62BA88B6" wp14:editId="1305D384">
            <wp:extent cx="2582265" cy="467928"/>
            <wp:effectExtent l="0" t="0" r="0" b="8890"/>
            <wp:docPr id="3" name="Imagem 3" descr="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ão Martinho - SMTO3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6760" cy="475991"/>
                    </a:xfrm>
                    <a:prstGeom prst="rect">
                      <a:avLst/>
                    </a:prstGeom>
                    <a:noFill/>
                    <a:ln>
                      <a:noFill/>
                    </a:ln>
                  </pic:spPr>
                </pic:pic>
              </a:graphicData>
            </a:graphic>
          </wp:inline>
        </w:drawing>
      </w:r>
    </w:p>
    <w:p w14:paraId="01C84899" w14:textId="7124DADC" w:rsidR="00F70E18" w:rsidRPr="00E66C26" w:rsidRDefault="006A1EEC" w:rsidP="00627ED2">
      <w:pPr>
        <w:pStyle w:val="Level2"/>
        <w:spacing w:line="240" w:lineRule="auto"/>
        <w:jc w:val="center"/>
        <w:rPr>
          <w:rFonts w:ascii="Calibri" w:hAnsi="Calibri" w:cs="Calibri"/>
          <w:sz w:val="24"/>
          <w:szCs w:val="24"/>
        </w:rPr>
      </w:pPr>
      <w:r w:rsidRPr="00E66C26">
        <w:rPr>
          <w:rFonts w:ascii="Calibri" w:hAnsi="Calibri" w:cs="Calibri"/>
          <w:b/>
          <w:sz w:val="24"/>
          <w:szCs w:val="24"/>
        </w:rPr>
        <w:t>SÃO MARTINHO</w:t>
      </w:r>
      <w:r w:rsidR="00263261" w:rsidRPr="00E66C26">
        <w:rPr>
          <w:rFonts w:ascii="Calibri" w:hAnsi="Calibri" w:cs="Calibri"/>
          <w:b/>
          <w:sz w:val="24"/>
          <w:szCs w:val="24"/>
        </w:rPr>
        <w:t xml:space="preserve"> S.A.</w:t>
      </w:r>
      <w:r w:rsidR="0029198E" w:rsidRPr="00E66C26">
        <w:rPr>
          <w:rFonts w:ascii="Calibri" w:hAnsi="Calibri" w:cs="Calibri"/>
          <w:b/>
          <w:sz w:val="24"/>
          <w:szCs w:val="24"/>
        </w:rPr>
        <w:br/>
      </w:r>
      <w:r w:rsidR="00F34126" w:rsidRPr="00E66C26">
        <w:rPr>
          <w:rFonts w:ascii="Calibri" w:hAnsi="Calibri" w:cs="Calibri"/>
          <w:sz w:val="24"/>
          <w:szCs w:val="24"/>
        </w:rPr>
        <w:t>Companhia Aberta</w:t>
      </w:r>
      <w:r w:rsidR="00EB55D0" w:rsidRPr="00E66C26">
        <w:rPr>
          <w:rFonts w:ascii="Calibri" w:hAnsi="Calibri" w:cs="Calibri"/>
          <w:sz w:val="24"/>
          <w:szCs w:val="24"/>
        </w:rPr>
        <w:t xml:space="preserve"> </w:t>
      </w:r>
      <w:r w:rsidR="00F34126" w:rsidRPr="00E66C26">
        <w:rPr>
          <w:rFonts w:ascii="Calibri" w:hAnsi="Calibri" w:cs="Calibri"/>
          <w:sz w:val="24"/>
          <w:szCs w:val="24"/>
        </w:rPr>
        <w:t xml:space="preserve">– CVM nº </w:t>
      </w:r>
      <w:r w:rsidR="00BF4BAB" w:rsidRPr="00E66C26">
        <w:rPr>
          <w:rFonts w:ascii="Calibri" w:hAnsi="Calibri" w:cs="Calibri"/>
          <w:sz w:val="24"/>
          <w:szCs w:val="24"/>
        </w:rPr>
        <w:t>20516</w:t>
      </w:r>
      <w:r w:rsidR="0029198E" w:rsidRPr="00E66C26">
        <w:rPr>
          <w:rFonts w:ascii="Calibri" w:hAnsi="Calibri" w:cs="Calibri"/>
          <w:sz w:val="24"/>
          <w:szCs w:val="24"/>
        </w:rPr>
        <w:br/>
      </w:r>
      <w:r w:rsidR="00F34126" w:rsidRPr="00E66C26">
        <w:rPr>
          <w:rFonts w:ascii="Calibri" w:hAnsi="Calibri" w:cs="Calibri"/>
          <w:sz w:val="24"/>
          <w:szCs w:val="24"/>
        </w:rPr>
        <w:t xml:space="preserve">CNPJ nº </w:t>
      </w:r>
      <w:r w:rsidR="00BF4BAB" w:rsidRPr="00E66C26">
        <w:rPr>
          <w:rFonts w:ascii="Calibri" w:hAnsi="Calibri" w:cs="Calibri"/>
          <w:sz w:val="24"/>
          <w:szCs w:val="24"/>
        </w:rPr>
        <w:t>51.446.860/0001-56</w:t>
      </w:r>
      <w:r w:rsidR="0029198E" w:rsidRPr="00E66C26">
        <w:rPr>
          <w:rFonts w:ascii="Calibri" w:hAnsi="Calibri" w:cs="Calibri"/>
          <w:sz w:val="24"/>
          <w:szCs w:val="24"/>
        </w:rPr>
        <w:br/>
      </w:r>
      <w:r w:rsidR="00F34126" w:rsidRPr="00E66C26">
        <w:rPr>
          <w:rFonts w:ascii="Calibri" w:hAnsi="Calibri" w:cs="Calibri"/>
          <w:sz w:val="24"/>
          <w:szCs w:val="24"/>
        </w:rPr>
        <w:t xml:space="preserve">NIRE </w:t>
      </w:r>
      <w:r w:rsidR="009D7386" w:rsidRPr="00E66C26">
        <w:rPr>
          <w:rFonts w:ascii="Calibri" w:hAnsi="Calibri" w:cs="Calibri"/>
          <w:sz w:val="24"/>
          <w:szCs w:val="24"/>
        </w:rPr>
        <w:t>35.300.010.485</w:t>
      </w:r>
      <w:r w:rsidR="0029198E" w:rsidRPr="00E66C26">
        <w:rPr>
          <w:rFonts w:ascii="Calibri" w:hAnsi="Calibri" w:cs="Calibri"/>
          <w:sz w:val="24"/>
          <w:szCs w:val="24"/>
        </w:rPr>
        <w:br/>
      </w:r>
      <w:r w:rsidR="00BF4BAB" w:rsidRPr="00E66C26">
        <w:rPr>
          <w:rFonts w:ascii="Calibri" w:hAnsi="Calibri" w:cs="Calibri"/>
          <w:sz w:val="24"/>
          <w:szCs w:val="24"/>
        </w:rPr>
        <w:t>Fazenda São Martinho, s/n, CEP 14850-000, Pradópolis, SP</w:t>
      </w:r>
    </w:p>
    <w:p w14:paraId="7A68755A" w14:textId="67A738E9" w:rsidR="00673BAE" w:rsidRPr="00E66C26" w:rsidRDefault="00A20CD4" w:rsidP="0029198E">
      <w:pPr>
        <w:pStyle w:val="Level2"/>
        <w:jc w:val="center"/>
        <w:rPr>
          <w:rFonts w:ascii="Calibri" w:hAnsi="Calibri" w:cs="Calibri"/>
          <w:b/>
          <w:sz w:val="24"/>
          <w:szCs w:val="24"/>
        </w:rPr>
      </w:pPr>
      <w:r w:rsidRPr="00E66C26">
        <w:rPr>
          <w:rFonts w:ascii="Calibri" w:hAnsi="Calibri" w:cs="Calibri"/>
          <w:b/>
          <w:sz w:val="24"/>
          <w:szCs w:val="24"/>
        </w:rPr>
        <w:t>no valor</w:t>
      </w:r>
      <w:r w:rsidR="00F34126" w:rsidRPr="00E66C26">
        <w:rPr>
          <w:rFonts w:ascii="Calibri" w:hAnsi="Calibri" w:cs="Calibri"/>
          <w:b/>
          <w:sz w:val="24"/>
          <w:szCs w:val="24"/>
        </w:rPr>
        <w:t xml:space="preserve"> total de</w:t>
      </w:r>
      <w:r w:rsidR="0066750C" w:rsidRPr="00E66C26">
        <w:rPr>
          <w:rFonts w:ascii="Calibri" w:hAnsi="Calibri" w:cs="Calibri"/>
          <w:b/>
          <w:sz w:val="24"/>
          <w:szCs w:val="24"/>
        </w:rPr>
        <w:t xml:space="preserve">, </w:t>
      </w:r>
      <w:r w:rsidR="00E55EE6" w:rsidRPr="00E66C26">
        <w:rPr>
          <w:rFonts w:ascii="Calibri" w:hAnsi="Calibri" w:cs="Calibri"/>
          <w:b/>
          <w:sz w:val="24"/>
          <w:szCs w:val="24"/>
        </w:rPr>
        <w:t>inicialmente</w:t>
      </w:r>
      <w:r w:rsidR="0066750C" w:rsidRPr="00E66C26">
        <w:rPr>
          <w:rFonts w:ascii="Calibri" w:hAnsi="Calibri" w:cs="Calibri"/>
          <w:b/>
          <w:sz w:val="24"/>
          <w:szCs w:val="24"/>
        </w:rPr>
        <w:t>,</w:t>
      </w:r>
      <w:r w:rsidR="0029198E" w:rsidRPr="00E66C26">
        <w:rPr>
          <w:rFonts w:ascii="Calibri" w:hAnsi="Calibri" w:cs="Calibri"/>
          <w:b/>
          <w:sz w:val="24"/>
          <w:szCs w:val="24"/>
        </w:rPr>
        <w:br/>
      </w:r>
      <w:r w:rsidR="00F34126" w:rsidRPr="00643349">
        <w:rPr>
          <w:rFonts w:ascii="Calibri" w:hAnsi="Calibri" w:cs="Calibri"/>
          <w:b/>
          <w:sz w:val="36"/>
          <w:szCs w:val="36"/>
        </w:rPr>
        <w:t>R</w:t>
      </w:r>
      <w:r w:rsidR="00B07D0A" w:rsidRPr="00643349">
        <w:rPr>
          <w:rFonts w:ascii="Calibri" w:hAnsi="Calibri" w:cs="Calibri"/>
          <w:b/>
          <w:sz w:val="36"/>
          <w:szCs w:val="36"/>
        </w:rPr>
        <w:t>$</w:t>
      </w:r>
      <w:r w:rsidR="00E11593" w:rsidRPr="00643349">
        <w:rPr>
          <w:rFonts w:ascii="Calibri" w:hAnsi="Calibri" w:cs="Calibri"/>
          <w:b/>
          <w:sz w:val="36"/>
          <w:szCs w:val="36"/>
        </w:rPr>
        <w:t>1.000.000.000,00</w:t>
      </w:r>
      <w:r w:rsidR="0029198E" w:rsidRPr="00E66C26">
        <w:rPr>
          <w:rFonts w:ascii="Calibri" w:hAnsi="Calibri" w:cs="Calibri"/>
          <w:b/>
          <w:sz w:val="24"/>
          <w:szCs w:val="24"/>
        </w:rPr>
        <w:br/>
      </w:r>
      <w:r w:rsidR="00B07D0A" w:rsidRPr="00E66C26">
        <w:rPr>
          <w:rFonts w:ascii="Calibri" w:hAnsi="Calibri" w:cs="Calibri"/>
          <w:b/>
          <w:sz w:val="24"/>
          <w:szCs w:val="24"/>
        </w:rPr>
        <w:t>(</w:t>
      </w:r>
      <w:r w:rsidR="00E11593" w:rsidRPr="00E66C26">
        <w:rPr>
          <w:rFonts w:ascii="Calibri" w:hAnsi="Calibri" w:cs="Calibri"/>
          <w:b/>
          <w:sz w:val="24"/>
          <w:szCs w:val="24"/>
        </w:rPr>
        <w:t>um bilhão de</w:t>
      </w:r>
      <w:r w:rsidR="00673BAE" w:rsidRPr="00E66C26">
        <w:rPr>
          <w:rFonts w:ascii="Calibri" w:hAnsi="Calibri" w:cs="Calibri"/>
          <w:b/>
          <w:sz w:val="24"/>
          <w:szCs w:val="24"/>
        </w:rPr>
        <w:t xml:space="preserve"> reais)</w:t>
      </w:r>
    </w:p>
    <w:p w14:paraId="3D937C3B" w14:textId="4F4BB468" w:rsidR="00E11593" w:rsidRPr="00E66C26" w:rsidRDefault="00A20CD4" w:rsidP="00627ED2">
      <w:pPr>
        <w:pStyle w:val="Level2"/>
        <w:spacing w:after="100" w:line="240" w:lineRule="auto"/>
        <w:jc w:val="center"/>
        <w:rPr>
          <w:rFonts w:ascii="Calibri" w:hAnsi="Calibri" w:cs="Calibri"/>
          <w:b/>
          <w:sz w:val="24"/>
          <w:szCs w:val="24"/>
        </w:rPr>
      </w:pPr>
      <w:r w:rsidRPr="00E66C26">
        <w:rPr>
          <w:rFonts w:ascii="Calibri" w:hAnsi="Calibri" w:cs="Calibri"/>
          <w:b/>
          <w:sz w:val="24"/>
          <w:szCs w:val="24"/>
        </w:rPr>
        <w:t>Código ISIN das Debêntures</w:t>
      </w:r>
      <w:r w:rsidR="00E11593" w:rsidRPr="00E66C26">
        <w:rPr>
          <w:rFonts w:ascii="Calibri" w:hAnsi="Calibri" w:cs="Calibri"/>
          <w:b/>
          <w:sz w:val="24"/>
          <w:szCs w:val="24"/>
        </w:rPr>
        <w:t xml:space="preserve"> da Primeira Série</w:t>
      </w:r>
      <w:r w:rsidRPr="00E66C26">
        <w:rPr>
          <w:rFonts w:ascii="Calibri" w:hAnsi="Calibri" w:cs="Calibri"/>
          <w:b/>
          <w:sz w:val="24"/>
          <w:szCs w:val="24"/>
        </w:rPr>
        <w:t xml:space="preserve">: </w:t>
      </w:r>
      <w:bookmarkStart w:id="0" w:name="_Hlk89278606"/>
      <w:r w:rsidR="00D55BFB" w:rsidRPr="00E66C26">
        <w:rPr>
          <w:rFonts w:ascii="Calibri" w:hAnsi="Calibri" w:cs="Calibri"/>
          <w:b/>
          <w:sz w:val="24"/>
          <w:szCs w:val="24"/>
        </w:rPr>
        <w:t>BRSMTODBS013</w:t>
      </w:r>
      <w:r w:rsidR="00D55BFB" w:rsidRPr="00E66C26" w:rsidDel="00D55BFB">
        <w:rPr>
          <w:rFonts w:ascii="Calibri" w:hAnsi="Calibri" w:cs="Calibri"/>
          <w:b/>
          <w:sz w:val="24"/>
          <w:szCs w:val="24"/>
        </w:rPr>
        <w:t xml:space="preserve"> </w:t>
      </w:r>
      <w:bookmarkEnd w:id="0"/>
    </w:p>
    <w:p w14:paraId="65EB69AB" w14:textId="2654E3CF" w:rsidR="00E11593" w:rsidRPr="00E66C26" w:rsidRDefault="00E11593" w:rsidP="00627ED2">
      <w:pPr>
        <w:pStyle w:val="Level2"/>
        <w:spacing w:after="100" w:line="240" w:lineRule="auto"/>
        <w:jc w:val="center"/>
        <w:rPr>
          <w:rFonts w:ascii="Calibri" w:hAnsi="Calibri" w:cs="Calibri"/>
          <w:b/>
          <w:sz w:val="24"/>
          <w:szCs w:val="24"/>
        </w:rPr>
      </w:pPr>
      <w:r w:rsidRPr="00E66C26">
        <w:rPr>
          <w:rFonts w:ascii="Calibri" w:hAnsi="Calibri" w:cs="Calibri"/>
          <w:b/>
          <w:sz w:val="24"/>
          <w:szCs w:val="24"/>
        </w:rPr>
        <w:t xml:space="preserve">Código ISIN das Debêntures da Segunda Série: </w:t>
      </w:r>
      <w:bookmarkStart w:id="1" w:name="_Hlk89278615"/>
      <w:r w:rsidR="00D55BFB" w:rsidRPr="00E66C26">
        <w:rPr>
          <w:rFonts w:ascii="Calibri" w:hAnsi="Calibri" w:cs="Calibri"/>
          <w:b/>
          <w:sz w:val="24"/>
          <w:szCs w:val="24"/>
        </w:rPr>
        <w:t>BRSMTODBS021</w:t>
      </w:r>
      <w:bookmarkEnd w:id="1"/>
    </w:p>
    <w:p w14:paraId="0B9205C7" w14:textId="6788ABB4" w:rsidR="00E11593" w:rsidRPr="00E66C26" w:rsidRDefault="00E11593" w:rsidP="00627ED2">
      <w:pPr>
        <w:pStyle w:val="Level2"/>
        <w:spacing w:after="100" w:line="240" w:lineRule="auto"/>
        <w:jc w:val="center"/>
        <w:rPr>
          <w:rFonts w:ascii="Calibri" w:hAnsi="Calibri" w:cs="Calibri"/>
          <w:b/>
          <w:sz w:val="24"/>
          <w:szCs w:val="24"/>
        </w:rPr>
      </w:pPr>
      <w:r w:rsidRPr="00E66C26">
        <w:rPr>
          <w:rFonts w:ascii="Calibri" w:hAnsi="Calibri" w:cs="Calibri"/>
          <w:b/>
          <w:sz w:val="24"/>
          <w:szCs w:val="24"/>
        </w:rPr>
        <w:t xml:space="preserve">Classificação de Risco </w:t>
      </w:r>
      <w:r w:rsidR="00FE0353" w:rsidRPr="00E66C26">
        <w:rPr>
          <w:rFonts w:ascii="Calibri" w:hAnsi="Calibri" w:cs="Calibri"/>
          <w:b/>
          <w:sz w:val="24"/>
          <w:szCs w:val="24"/>
        </w:rPr>
        <w:t xml:space="preserve">Preliminar </w:t>
      </w:r>
      <w:r w:rsidRPr="00E66C26">
        <w:rPr>
          <w:rFonts w:ascii="Calibri" w:hAnsi="Calibri" w:cs="Calibri"/>
          <w:b/>
          <w:sz w:val="24"/>
          <w:szCs w:val="24"/>
        </w:rPr>
        <w:t>da Emissão (</w:t>
      </w:r>
      <w:r w:rsidRPr="00E66C26">
        <w:rPr>
          <w:rFonts w:ascii="Calibri" w:hAnsi="Calibri" w:cs="Calibri"/>
          <w:b/>
          <w:i/>
          <w:sz w:val="24"/>
          <w:szCs w:val="24"/>
        </w:rPr>
        <w:t>Rating</w:t>
      </w:r>
      <w:r w:rsidRPr="00E66C26">
        <w:rPr>
          <w:rFonts w:ascii="Calibri" w:hAnsi="Calibri" w:cs="Calibri"/>
          <w:b/>
          <w:sz w:val="24"/>
          <w:szCs w:val="24"/>
        </w:rPr>
        <w:t xml:space="preserve">) pela </w:t>
      </w:r>
      <w:r w:rsidR="00DD3D64" w:rsidRPr="00E66C26">
        <w:rPr>
          <w:rFonts w:ascii="Calibri" w:hAnsi="Calibri" w:cs="Calibri"/>
          <w:b/>
          <w:sz w:val="24"/>
          <w:szCs w:val="24"/>
        </w:rPr>
        <w:t xml:space="preserve">Standard &amp; </w:t>
      </w:r>
      <w:proofErr w:type="spellStart"/>
      <w:r w:rsidR="00DD3D64" w:rsidRPr="00E66C26">
        <w:rPr>
          <w:rFonts w:ascii="Calibri" w:hAnsi="Calibri" w:cs="Calibri"/>
          <w:b/>
          <w:sz w:val="24"/>
          <w:szCs w:val="24"/>
        </w:rPr>
        <w:t>Poor’s</w:t>
      </w:r>
      <w:proofErr w:type="spellEnd"/>
      <w:r w:rsidR="00DD3D64" w:rsidRPr="00E66C26">
        <w:rPr>
          <w:rFonts w:ascii="Calibri" w:hAnsi="Calibri" w:cs="Calibri"/>
          <w:b/>
          <w:sz w:val="24"/>
          <w:szCs w:val="24"/>
        </w:rPr>
        <w:t xml:space="preserve"> Ratings do Brasil Ltda.</w:t>
      </w:r>
      <w:r w:rsidRPr="00E66C26">
        <w:rPr>
          <w:rFonts w:ascii="Calibri" w:hAnsi="Calibri" w:cs="Calibri"/>
          <w:b/>
          <w:sz w:val="24"/>
          <w:szCs w:val="24"/>
        </w:rPr>
        <w:t>: “</w:t>
      </w:r>
      <w:proofErr w:type="spellStart"/>
      <w:r w:rsidR="00E41EE3">
        <w:rPr>
          <w:rFonts w:ascii="Calibri" w:hAnsi="Calibri" w:cs="Calibri"/>
          <w:b/>
          <w:sz w:val="24"/>
          <w:szCs w:val="24"/>
        </w:rPr>
        <w:t>brAAA</w:t>
      </w:r>
      <w:proofErr w:type="spellEnd"/>
      <w:r w:rsidRPr="00E66C26">
        <w:rPr>
          <w:rFonts w:ascii="Calibri" w:hAnsi="Calibri" w:cs="Calibri"/>
          <w:b/>
          <w:sz w:val="24"/>
          <w:szCs w:val="24"/>
        </w:rPr>
        <w:t>”</w:t>
      </w:r>
    </w:p>
    <w:p w14:paraId="3D4A29B2" w14:textId="76613EBC" w:rsidR="00E80B84" w:rsidRPr="00E66C26" w:rsidRDefault="00F34126" w:rsidP="0029198E">
      <w:pPr>
        <w:pStyle w:val="Body"/>
        <w:rPr>
          <w:rFonts w:ascii="Calibri" w:hAnsi="Calibri" w:cs="Calibri"/>
          <w:sz w:val="24"/>
        </w:rPr>
      </w:pPr>
      <w:r w:rsidRPr="00E66C26">
        <w:rPr>
          <w:rFonts w:ascii="Calibri" w:hAnsi="Calibri" w:cs="Calibri"/>
          <w:sz w:val="24"/>
        </w:rPr>
        <w:t>Nos termos do disposto no</w:t>
      </w:r>
      <w:r w:rsidR="000A2924" w:rsidRPr="00E66C26">
        <w:rPr>
          <w:rFonts w:ascii="Calibri" w:hAnsi="Calibri" w:cs="Calibri"/>
          <w:sz w:val="24"/>
        </w:rPr>
        <w:t>s</w:t>
      </w:r>
      <w:r w:rsidRPr="00E66C26">
        <w:rPr>
          <w:rFonts w:ascii="Calibri" w:hAnsi="Calibri" w:cs="Calibri"/>
          <w:sz w:val="24"/>
        </w:rPr>
        <w:t xml:space="preserve"> artigo</w:t>
      </w:r>
      <w:r w:rsidR="000A2924" w:rsidRPr="00E66C26">
        <w:rPr>
          <w:rFonts w:ascii="Calibri" w:hAnsi="Calibri" w:cs="Calibri"/>
          <w:sz w:val="24"/>
        </w:rPr>
        <w:t>s</w:t>
      </w:r>
      <w:r w:rsidRPr="00E66C26">
        <w:rPr>
          <w:rFonts w:ascii="Calibri" w:hAnsi="Calibri" w:cs="Calibri"/>
          <w:sz w:val="24"/>
        </w:rPr>
        <w:t xml:space="preserve"> 53</w:t>
      </w:r>
      <w:r w:rsidR="0066750C" w:rsidRPr="00E66C26">
        <w:rPr>
          <w:rFonts w:ascii="Calibri" w:hAnsi="Calibri" w:cs="Calibri"/>
          <w:sz w:val="24"/>
        </w:rPr>
        <w:t xml:space="preserve"> e 54-A</w:t>
      </w:r>
      <w:r w:rsidRPr="00E66C26">
        <w:rPr>
          <w:rFonts w:ascii="Calibri" w:hAnsi="Calibri" w:cs="Calibri"/>
          <w:sz w:val="24"/>
        </w:rPr>
        <w:t xml:space="preserve"> da Instrução da Comissão de Valores Mobiliários (</w:t>
      </w:r>
      <w:r w:rsidR="00E05330" w:rsidRPr="00E66C26">
        <w:rPr>
          <w:rFonts w:ascii="Calibri" w:hAnsi="Calibri" w:cs="Calibri"/>
          <w:sz w:val="24"/>
        </w:rPr>
        <w:t>“</w:t>
      </w:r>
      <w:r w:rsidRPr="00E66C26">
        <w:rPr>
          <w:rFonts w:ascii="Calibri" w:hAnsi="Calibri" w:cs="Calibri"/>
          <w:bCs/>
          <w:sz w:val="24"/>
          <w:u w:val="single"/>
        </w:rPr>
        <w:t>CVM</w:t>
      </w:r>
      <w:r w:rsidR="00E05330" w:rsidRPr="00E66C26">
        <w:rPr>
          <w:rFonts w:ascii="Calibri" w:hAnsi="Calibri" w:cs="Calibri"/>
          <w:sz w:val="24"/>
        </w:rPr>
        <w:t>”</w:t>
      </w:r>
      <w:r w:rsidRPr="00E66C26">
        <w:rPr>
          <w:rFonts w:ascii="Calibri" w:hAnsi="Calibri" w:cs="Calibri"/>
          <w:sz w:val="24"/>
        </w:rPr>
        <w:t>) nº 400, de 29 de dezembro de 2003, conforme alterada (</w:t>
      </w:r>
      <w:r w:rsidR="00E05330" w:rsidRPr="00E66C26">
        <w:rPr>
          <w:rFonts w:ascii="Calibri" w:hAnsi="Calibri" w:cs="Calibri"/>
          <w:sz w:val="24"/>
        </w:rPr>
        <w:t>“</w:t>
      </w:r>
      <w:r w:rsidRPr="00E66C26">
        <w:rPr>
          <w:rFonts w:ascii="Calibri" w:hAnsi="Calibri" w:cs="Calibri"/>
          <w:bCs/>
          <w:sz w:val="24"/>
          <w:u w:val="single"/>
        </w:rPr>
        <w:t>Instrução</w:t>
      </w:r>
      <w:r w:rsidR="00D26F59" w:rsidRPr="00E66C26">
        <w:rPr>
          <w:rFonts w:ascii="Calibri" w:hAnsi="Calibri" w:cs="Calibri"/>
          <w:bCs/>
          <w:sz w:val="24"/>
          <w:u w:val="single"/>
        </w:rPr>
        <w:t xml:space="preserve"> </w:t>
      </w:r>
      <w:r w:rsidRPr="00E66C26">
        <w:rPr>
          <w:rFonts w:ascii="Calibri" w:hAnsi="Calibri" w:cs="Calibri"/>
          <w:bCs/>
          <w:sz w:val="24"/>
          <w:u w:val="single"/>
        </w:rPr>
        <w:t>CVM</w:t>
      </w:r>
      <w:r w:rsidR="00D26F59" w:rsidRPr="00E66C26">
        <w:rPr>
          <w:rFonts w:ascii="Calibri" w:hAnsi="Calibri" w:cs="Calibri"/>
          <w:bCs/>
          <w:sz w:val="24"/>
          <w:u w:val="single"/>
        </w:rPr>
        <w:t xml:space="preserve"> </w:t>
      </w:r>
      <w:r w:rsidRPr="00E66C26">
        <w:rPr>
          <w:rFonts w:ascii="Calibri" w:hAnsi="Calibri" w:cs="Calibri"/>
          <w:bCs/>
          <w:sz w:val="24"/>
          <w:u w:val="single"/>
        </w:rPr>
        <w:t>400</w:t>
      </w:r>
      <w:r w:rsidR="00E05330" w:rsidRPr="00E66C26">
        <w:rPr>
          <w:rFonts w:ascii="Calibri" w:hAnsi="Calibri" w:cs="Calibri"/>
          <w:sz w:val="24"/>
        </w:rPr>
        <w:t>”</w:t>
      </w:r>
      <w:r w:rsidRPr="00E66C26">
        <w:rPr>
          <w:rFonts w:ascii="Calibri" w:hAnsi="Calibri" w:cs="Calibri"/>
          <w:sz w:val="24"/>
        </w:rPr>
        <w:t>)</w:t>
      </w:r>
      <w:r w:rsidR="005578B1" w:rsidRPr="00E66C26">
        <w:rPr>
          <w:rFonts w:ascii="Calibri" w:hAnsi="Calibri" w:cs="Calibri"/>
          <w:sz w:val="24"/>
        </w:rPr>
        <w:t xml:space="preserve"> </w:t>
      </w:r>
      <w:r w:rsidR="00E11593" w:rsidRPr="00E66C26">
        <w:rPr>
          <w:rFonts w:ascii="Calibri" w:hAnsi="Calibri" w:cs="Calibri"/>
          <w:sz w:val="24"/>
        </w:rPr>
        <w:t>e do “</w:t>
      </w:r>
      <w:r w:rsidR="00E11593" w:rsidRPr="00E66C26">
        <w:rPr>
          <w:rFonts w:ascii="Calibri" w:hAnsi="Calibri" w:cs="Calibri"/>
          <w:i/>
          <w:iCs/>
          <w:sz w:val="24"/>
        </w:rPr>
        <w:t>Código ANBIMA de Regulação e Melhores Práticas para Estruturação, Coordenação e Distribuição de Ofertas Públicas de Valores Mobiliários e Ofertas Públicas de Aquisição de Valores Mobiliários</w:t>
      </w:r>
      <w:r w:rsidR="00E11593" w:rsidRPr="00E66C26">
        <w:rPr>
          <w:rFonts w:ascii="Calibri" w:hAnsi="Calibri" w:cs="Calibri"/>
          <w:sz w:val="24"/>
        </w:rPr>
        <w:t>”, em vigor desde 6 de maio de 2021 (“</w:t>
      </w:r>
      <w:r w:rsidR="00E11593" w:rsidRPr="00E66C26">
        <w:rPr>
          <w:rFonts w:ascii="Calibri" w:hAnsi="Calibri" w:cs="Calibri"/>
          <w:sz w:val="24"/>
          <w:u w:val="single"/>
        </w:rPr>
        <w:t>Código ANBIMA para Ofertas Públicas</w:t>
      </w:r>
      <w:r w:rsidR="00E11593" w:rsidRPr="00E66C26">
        <w:rPr>
          <w:rFonts w:ascii="Calibri" w:hAnsi="Calibri" w:cs="Calibri"/>
          <w:sz w:val="24"/>
        </w:rPr>
        <w:t>”)</w:t>
      </w:r>
      <w:r w:rsidR="005578B1" w:rsidRPr="00E66C26">
        <w:rPr>
          <w:rFonts w:ascii="Calibri" w:hAnsi="Calibri" w:cs="Calibri"/>
          <w:sz w:val="24"/>
        </w:rPr>
        <w:t>,</w:t>
      </w:r>
      <w:r w:rsidR="00E11593" w:rsidRPr="00E66C26">
        <w:rPr>
          <w:rFonts w:ascii="Calibri" w:hAnsi="Calibri" w:cs="Calibri"/>
          <w:sz w:val="24"/>
        </w:rPr>
        <w:t xml:space="preserve"> </w:t>
      </w:r>
      <w:r w:rsidRPr="00E66C26">
        <w:rPr>
          <w:rFonts w:ascii="Calibri" w:hAnsi="Calibri" w:cs="Calibri"/>
          <w:sz w:val="24"/>
        </w:rPr>
        <w:t xml:space="preserve">a </w:t>
      </w:r>
      <w:r w:rsidR="00A20CD4" w:rsidRPr="00E66C26">
        <w:rPr>
          <w:rFonts w:ascii="Calibri" w:hAnsi="Calibri" w:cs="Calibri"/>
          <w:b/>
          <w:bCs/>
          <w:sz w:val="24"/>
        </w:rPr>
        <w:t>SÃO MARTINHO</w:t>
      </w:r>
      <w:r w:rsidR="008063D6" w:rsidRPr="00E66C26">
        <w:rPr>
          <w:rFonts w:ascii="Calibri" w:hAnsi="Calibri" w:cs="Calibri"/>
          <w:b/>
          <w:bCs/>
          <w:sz w:val="24"/>
        </w:rPr>
        <w:t xml:space="preserve"> S.A.</w:t>
      </w:r>
      <w:r w:rsidRPr="00E66C26">
        <w:rPr>
          <w:rFonts w:ascii="Calibri" w:hAnsi="Calibri" w:cs="Calibri"/>
          <w:sz w:val="24"/>
        </w:rPr>
        <w:t>, na qualidade de emissora e ofertante (</w:t>
      </w:r>
      <w:r w:rsidR="00E05330" w:rsidRPr="00E66C26">
        <w:rPr>
          <w:rFonts w:ascii="Calibri" w:hAnsi="Calibri" w:cs="Calibri"/>
          <w:sz w:val="24"/>
        </w:rPr>
        <w:t>“</w:t>
      </w:r>
      <w:r w:rsidRPr="00E66C26">
        <w:rPr>
          <w:rFonts w:ascii="Calibri" w:hAnsi="Calibri" w:cs="Calibri"/>
          <w:bCs/>
          <w:sz w:val="24"/>
          <w:u w:val="single"/>
        </w:rPr>
        <w:t>Emissora</w:t>
      </w:r>
      <w:r w:rsidR="00E05330" w:rsidRPr="00E66C26">
        <w:rPr>
          <w:rFonts w:ascii="Calibri" w:hAnsi="Calibri" w:cs="Calibri"/>
          <w:sz w:val="24"/>
        </w:rPr>
        <w:t>”</w:t>
      </w:r>
      <w:r w:rsidRPr="00E66C26">
        <w:rPr>
          <w:rFonts w:ascii="Calibri" w:hAnsi="Calibri" w:cs="Calibri"/>
          <w:sz w:val="24"/>
        </w:rPr>
        <w:t xml:space="preserve">), </w:t>
      </w:r>
      <w:r w:rsidR="00A20CD4" w:rsidRPr="00E66C26">
        <w:rPr>
          <w:rFonts w:ascii="Calibri" w:hAnsi="Calibri" w:cs="Calibri"/>
          <w:sz w:val="24"/>
        </w:rPr>
        <w:t xml:space="preserve">e a </w:t>
      </w:r>
      <w:r w:rsidR="00A20CD4" w:rsidRPr="00E66C26">
        <w:rPr>
          <w:rFonts w:ascii="Calibri" w:hAnsi="Calibri" w:cs="Calibri"/>
          <w:b/>
          <w:sz w:val="24"/>
        </w:rPr>
        <w:t>XP INVESTIMENTOS CORRETORA DE CÂMBIO, TÍTULOS E VALORES MOBILIÁRIOS S.A</w:t>
      </w:r>
      <w:r w:rsidR="00B444BA" w:rsidRPr="00E66C26">
        <w:rPr>
          <w:rFonts w:ascii="Calibri" w:hAnsi="Calibri" w:cs="Calibri"/>
          <w:sz w:val="24"/>
        </w:rPr>
        <w:t xml:space="preserve"> (</w:t>
      </w:r>
      <w:r w:rsidR="00E05330" w:rsidRPr="00E66C26">
        <w:rPr>
          <w:rFonts w:ascii="Calibri" w:hAnsi="Calibri" w:cs="Calibri"/>
          <w:sz w:val="24"/>
        </w:rPr>
        <w:t>“</w:t>
      </w:r>
      <w:r w:rsidR="00A20CD4" w:rsidRPr="00E66C26">
        <w:rPr>
          <w:rFonts w:ascii="Calibri" w:hAnsi="Calibri" w:cs="Calibri"/>
          <w:bCs/>
          <w:sz w:val="24"/>
          <w:u w:val="single"/>
        </w:rPr>
        <w:t>XP</w:t>
      </w:r>
      <w:r w:rsidR="00E05330" w:rsidRPr="00E66C26">
        <w:rPr>
          <w:rFonts w:ascii="Calibri" w:hAnsi="Calibri" w:cs="Calibri"/>
          <w:sz w:val="24"/>
        </w:rPr>
        <w:t>”</w:t>
      </w:r>
      <w:r w:rsidR="00B444BA" w:rsidRPr="00E66C26">
        <w:rPr>
          <w:rFonts w:ascii="Calibri" w:hAnsi="Calibri" w:cs="Calibri"/>
          <w:sz w:val="24"/>
        </w:rPr>
        <w:t xml:space="preserve"> ou </w:t>
      </w:r>
      <w:r w:rsidR="00E05330" w:rsidRPr="00E66C26">
        <w:rPr>
          <w:rFonts w:ascii="Calibri" w:hAnsi="Calibri" w:cs="Calibri"/>
          <w:sz w:val="24"/>
        </w:rPr>
        <w:t>“</w:t>
      </w:r>
      <w:r w:rsidR="00B444BA" w:rsidRPr="00E66C26">
        <w:rPr>
          <w:rFonts w:ascii="Calibri" w:hAnsi="Calibri" w:cs="Calibri"/>
          <w:bCs/>
          <w:sz w:val="24"/>
          <w:u w:val="single"/>
        </w:rPr>
        <w:t>Coordenador Líder</w:t>
      </w:r>
      <w:r w:rsidR="00E05330" w:rsidRPr="00E66C26">
        <w:rPr>
          <w:rFonts w:ascii="Calibri" w:hAnsi="Calibri" w:cs="Calibri"/>
          <w:sz w:val="24"/>
        </w:rPr>
        <w:t>”</w:t>
      </w:r>
      <w:r w:rsidR="00B444BA" w:rsidRPr="00E66C26">
        <w:rPr>
          <w:rFonts w:ascii="Calibri" w:hAnsi="Calibri" w:cs="Calibri"/>
          <w:sz w:val="24"/>
        </w:rPr>
        <w:t>),</w:t>
      </w:r>
      <w:r w:rsidRPr="00E66C26">
        <w:rPr>
          <w:rFonts w:ascii="Calibri" w:hAnsi="Calibri" w:cs="Calibri"/>
          <w:sz w:val="24"/>
        </w:rPr>
        <w:t xml:space="preserve"> na qualidade de i</w:t>
      </w:r>
      <w:r w:rsidR="00A20CD4" w:rsidRPr="00E66C26">
        <w:rPr>
          <w:rFonts w:ascii="Calibri" w:hAnsi="Calibri" w:cs="Calibri"/>
          <w:sz w:val="24"/>
        </w:rPr>
        <w:t xml:space="preserve">nstituição </w:t>
      </w:r>
      <w:r w:rsidRPr="00E66C26">
        <w:rPr>
          <w:rFonts w:ascii="Calibri" w:hAnsi="Calibri" w:cs="Calibri"/>
          <w:sz w:val="24"/>
        </w:rPr>
        <w:t>intermediária</w:t>
      </w:r>
      <w:r w:rsidR="005578B1" w:rsidRPr="00E66C26">
        <w:rPr>
          <w:rFonts w:ascii="Calibri" w:hAnsi="Calibri" w:cs="Calibri"/>
          <w:sz w:val="24"/>
        </w:rPr>
        <w:t xml:space="preserve"> líder</w:t>
      </w:r>
      <w:r w:rsidRPr="00E66C26">
        <w:rPr>
          <w:rFonts w:ascii="Calibri" w:hAnsi="Calibri" w:cs="Calibri"/>
          <w:sz w:val="24"/>
        </w:rPr>
        <w:t xml:space="preserve">, </w:t>
      </w:r>
      <w:r w:rsidR="00775404" w:rsidRPr="00E66C26">
        <w:rPr>
          <w:rFonts w:ascii="Calibri" w:hAnsi="Calibri" w:cs="Calibri"/>
          <w:sz w:val="24"/>
        </w:rPr>
        <w:t>vêm a público comunicar</w:t>
      </w:r>
      <w:r w:rsidR="005578B1" w:rsidRPr="00E66C26">
        <w:rPr>
          <w:rFonts w:ascii="Calibri" w:hAnsi="Calibri" w:cs="Calibri"/>
          <w:sz w:val="24"/>
        </w:rPr>
        <w:t xml:space="preserve"> que</w:t>
      </w:r>
      <w:r w:rsidR="00B12806" w:rsidRPr="00E66C26">
        <w:rPr>
          <w:rFonts w:ascii="Calibri" w:hAnsi="Calibri" w:cs="Calibri"/>
          <w:sz w:val="24"/>
        </w:rPr>
        <w:t xml:space="preserve">, </w:t>
      </w:r>
      <w:r w:rsidR="005578B1" w:rsidRPr="00E66C26">
        <w:rPr>
          <w:rFonts w:ascii="Calibri" w:hAnsi="Calibri" w:cs="Calibri"/>
          <w:sz w:val="24"/>
        </w:rPr>
        <w:t xml:space="preserve">em </w:t>
      </w:r>
      <w:r w:rsidR="00DD3D64" w:rsidRPr="00E66C26">
        <w:rPr>
          <w:rFonts w:ascii="Calibri" w:hAnsi="Calibri" w:cs="Calibri"/>
          <w:sz w:val="24"/>
        </w:rPr>
        <w:t>13</w:t>
      </w:r>
      <w:r w:rsidR="005578B1" w:rsidRPr="00E66C26">
        <w:rPr>
          <w:rFonts w:ascii="Calibri" w:hAnsi="Calibri" w:cs="Calibri"/>
          <w:sz w:val="24"/>
        </w:rPr>
        <w:t xml:space="preserve"> de </w:t>
      </w:r>
      <w:r w:rsidR="00FE0353" w:rsidRPr="00E66C26">
        <w:rPr>
          <w:rFonts w:ascii="Calibri" w:hAnsi="Calibri" w:cs="Calibri"/>
          <w:sz w:val="24"/>
        </w:rPr>
        <w:t>dezembro</w:t>
      </w:r>
      <w:r w:rsidR="005578B1" w:rsidRPr="00E66C26">
        <w:rPr>
          <w:rFonts w:ascii="Calibri" w:hAnsi="Calibri" w:cs="Calibri"/>
          <w:sz w:val="24"/>
        </w:rPr>
        <w:t xml:space="preserve"> de </w:t>
      </w:r>
      <w:r w:rsidR="00FE0353" w:rsidRPr="00E66C26">
        <w:rPr>
          <w:rFonts w:ascii="Calibri" w:hAnsi="Calibri" w:cs="Calibri"/>
          <w:sz w:val="24"/>
        </w:rPr>
        <w:t xml:space="preserve">2021, </w:t>
      </w:r>
      <w:r w:rsidR="005578B1" w:rsidRPr="00E66C26">
        <w:rPr>
          <w:rFonts w:ascii="Calibri" w:hAnsi="Calibri" w:cs="Calibri"/>
          <w:sz w:val="24"/>
        </w:rPr>
        <w:t>foi apresentado à CVM o pedido de registro de oferta pública de distribuição</w:t>
      </w:r>
      <w:r w:rsidR="00775404" w:rsidRPr="00E66C26">
        <w:rPr>
          <w:rFonts w:ascii="Calibri" w:hAnsi="Calibri" w:cs="Calibri"/>
          <w:sz w:val="24"/>
        </w:rPr>
        <w:t xml:space="preserve"> </w:t>
      </w:r>
      <w:r w:rsidR="005578B1" w:rsidRPr="00E66C26">
        <w:rPr>
          <w:rFonts w:ascii="Calibri" w:hAnsi="Calibri" w:cs="Calibri"/>
          <w:sz w:val="24"/>
        </w:rPr>
        <w:t>(“</w:t>
      </w:r>
      <w:r w:rsidR="005578B1" w:rsidRPr="00E66C26">
        <w:rPr>
          <w:rFonts w:ascii="Calibri" w:hAnsi="Calibri" w:cs="Calibri"/>
          <w:sz w:val="24"/>
          <w:u w:val="single"/>
        </w:rPr>
        <w:t>Oferta</w:t>
      </w:r>
      <w:r w:rsidR="005578B1" w:rsidRPr="00E66C26">
        <w:rPr>
          <w:rFonts w:ascii="Calibri" w:hAnsi="Calibri" w:cs="Calibri"/>
          <w:sz w:val="24"/>
        </w:rPr>
        <w:t>”)</w:t>
      </w:r>
      <w:r w:rsidR="00775404" w:rsidRPr="00E66C26">
        <w:rPr>
          <w:rFonts w:ascii="Calibri" w:hAnsi="Calibri" w:cs="Calibri"/>
          <w:sz w:val="24"/>
        </w:rPr>
        <w:t>,</w:t>
      </w:r>
      <w:r w:rsidRPr="00E66C26">
        <w:rPr>
          <w:rFonts w:ascii="Calibri" w:hAnsi="Calibri" w:cs="Calibri"/>
          <w:sz w:val="24"/>
        </w:rPr>
        <w:t xml:space="preserve"> </w:t>
      </w:r>
      <w:bookmarkStart w:id="2" w:name="_Hlk89188117"/>
      <w:r w:rsidRPr="00E66C26">
        <w:rPr>
          <w:rFonts w:ascii="Calibri" w:hAnsi="Calibri" w:cs="Calibri"/>
          <w:sz w:val="24"/>
        </w:rPr>
        <w:t>de</w:t>
      </w:r>
      <w:r w:rsidR="00D45F46" w:rsidRPr="00E66C26">
        <w:rPr>
          <w:rFonts w:ascii="Calibri" w:hAnsi="Calibri" w:cs="Calibri"/>
          <w:sz w:val="24"/>
        </w:rPr>
        <w:t>, inicialmente,</w:t>
      </w:r>
      <w:r w:rsidR="00F70E18" w:rsidRPr="00E66C26">
        <w:rPr>
          <w:rFonts w:ascii="Calibri" w:hAnsi="Calibri" w:cs="Calibri"/>
          <w:sz w:val="24"/>
        </w:rPr>
        <w:t xml:space="preserve"> </w:t>
      </w:r>
      <w:r w:rsidR="005578B1" w:rsidRPr="00E66C26">
        <w:rPr>
          <w:rFonts w:ascii="Calibri" w:hAnsi="Calibri" w:cs="Calibri"/>
          <w:sz w:val="24"/>
        </w:rPr>
        <w:t>1.000.000</w:t>
      </w:r>
      <w:r w:rsidR="00B07D0A" w:rsidRPr="00E66C26">
        <w:rPr>
          <w:rFonts w:ascii="Calibri" w:hAnsi="Calibri" w:cs="Calibri"/>
          <w:sz w:val="24"/>
        </w:rPr>
        <w:t xml:space="preserve"> (</w:t>
      </w:r>
      <w:r w:rsidR="005578B1" w:rsidRPr="00E66C26">
        <w:rPr>
          <w:rFonts w:ascii="Calibri" w:hAnsi="Calibri" w:cs="Calibri"/>
          <w:sz w:val="24"/>
        </w:rPr>
        <w:t>um milhão</w:t>
      </w:r>
      <w:r w:rsidR="00B07D0A" w:rsidRPr="00E66C26">
        <w:rPr>
          <w:rFonts w:ascii="Calibri" w:hAnsi="Calibri" w:cs="Calibri"/>
          <w:sz w:val="24"/>
        </w:rPr>
        <w:t xml:space="preserve">) </w:t>
      </w:r>
      <w:r w:rsidR="005578B1" w:rsidRPr="00E66C26">
        <w:rPr>
          <w:rFonts w:ascii="Calibri" w:hAnsi="Calibri" w:cs="Calibri"/>
          <w:sz w:val="24"/>
        </w:rPr>
        <w:t>de Debêntures</w:t>
      </w:r>
      <w:r w:rsidR="00B12806" w:rsidRPr="00E66C26">
        <w:rPr>
          <w:rFonts w:ascii="Calibri" w:hAnsi="Calibri" w:cs="Calibri"/>
          <w:sz w:val="24"/>
        </w:rPr>
        <w:t xml:space="preserve"> </w:t>
      </w:r>
      <w:bookmarkEnd w:id="2"/>
      <w:r w:rsidR="00B12806" w:rsidRPr="00E66C26">
        <w:rPr>
          <w:rFonts w:ascii="Calibri" w:hAnsi="Calibri" w:cs="Calibri"/>
          <w:sz w:val="24"/>
        </w:rPr>
        <w:t>(</w:t>
      </w:r>
      <w:r w:rsidR="005578B1" w:rsidRPr="00E66C26">
        <w:rPr>
          <w:rFonts w:ascii="Calibri" w:hAnsi="Calibri" w:cs="Calibri"/>
          <w:sz w:val="24"/>
        </w:rPr>
        <w:t>conforme abaixo definido</w:t>
      </w:r>
      <w:r w:rsidR="00B12806" w:rsidRPr="00E66C26">
        <w:rPr>
          <w:rFonts w:ascii="Calibri" w:hAnsi="Calibri" w:cs="Calibri"/>
          <w:sz w:val="24"/>
        </w:rPr>
        <w:t>)</w:t>
      </w:r>
      <w:r w:rsidRPr="00E66C26">
        <w:rPr>
          <w:rFonts w:ascii="Calibri" w:hAnsi="Calibri" w:cs="Calibri"/>
          <w:sz w:val="24"/>
        </w:rPr>
        <w:t>,</w:t>
      </w:r>
      <w:r w:rsidR="004938AA" w:rsidRPr="00E66C26">
        <w:rPr>
          <w:rFonts w:ascii="Calibri" w:hAnsi="Calibri" w:cs="Calibri"/>
          <w:sz w:val="24"/>
        </w:rPr>
        <w:t xml:space="preserve"> sem considerar as Debêntures Adicionais (conforme abaixo definido),</w:t>
      </w:r>
      <w:r w:rsidRPr="00E66C26">
        <w:rPr>
          <w:rFonts w:ascii="Calibri" w:hAnsi="Calibri" w:cs="Calibri"/>
          <w:sz w:val="24"/>
        </w:rPr>
        <w:t xml:space="preserve"> </w:t>
      </w:r>
      <w:r w:rsidR="005578B1" w:rsidRPr="00E66C26">
        <w:rPr>
          <w:rFonts w:ascii="Calibri" w:hAnsi="Calibri" w:cs="Calibri"/>
          <w:sz w:val="24"/>
        </w:rPr>
        <w:t>todas nominativas, escriturais, simples, não conversíveis em ações, da espécie quirografária, em até duas séries, da quarta emissão da Emissora (“</w:t>
      </w:r>
      <w:r w:rsidR="005578B1" w:rsidRPr="00E66C26">
        <w:rPr>
          <w:rFonts w:ascii="Calibri" w:hAnsi="Calibri" w:cs="Calibri"/>
          <w:sz w:val="24"/>
          <w:u w:val="single"/>
        </w:rPr>
        <w:t>Emissão</w:t>
      </w:r>
      <w:r w:rsidR="005578B1" w:rsidRPr="00E66C26">
        <w:rPr>
          <w:rFonts w:ascii="Calibri" w:hAnsi="Calibri" w:cs="Calibri"/>
          <w:sz w:val="24"/>
        </w:rPr>
        <w:t>”), com valor</w:t>
      </w:r>
      <w:r w:rsidRPr="00E66C26">
        <w:rPr>
          <w:rFonts w:ascii="Calibri" w:hAnsi="Calibri" w:cs="Calibri"/>
          <w:sz w:val="24"/>
        </w:rPr>
        <w:t xml:space="preserve"> nominal unitário de R</w:t>
      </w:r>
      <w:r w:rsidR="002A4C79" w:rsidRPr="00E66C26">
        <w:rPr>
          <w:rFonts w:ascii="Calibri" w:hAnsi="Calibri" w:cs="Calibri"/>
          <w:sz w:val="24"/>
        </w:rPr>
        <w:t xml:space="preserve">$1.000,00 (mil </w:t>
      </w:r>
      <w:r w:rsidRPr="00E66C26">
        <w:rPr>
          <w:rFonts w:ascii="Calibri" w:hAnsi="Calibri" w:cs="Calibri"/>
          <w:sz w:val="24"/>
        </w:rPr>
        <w:t>reais), na data de emissão</w:t>
      </w:r>
      <w:r w:rsidR="00F35470" w:rsidRPr="00E66C26">
        <w:rPr>
          <w:rFonts w:ascii="Calibri" w:hAnsi="Calibri" w:cs="Calibri"/>
          <w:sz w:val="24"/>
        </w:rPr>
        <w:t xml:space="preserve"> das Debêntures</w:t>
      </w:r>
      <w:r w:rsidRPr="00E66C26">
        <w:rPr>
          <w:rFonts w:ascii="Calibri" w:hAnsi="Calibri" w:cs="Calibri"/>
          <w:sz w:val="24"/>
        </w:rPr>
        <w:t>, qual seja,</w:t>
      </w:r>
      <w:r w:rsidR="00763173" w:rsidRPr="00E66C26">
        <w:rPr>
          <w:rFonts w:ascii="Calibri" w:hAnsi="Calibri" w:cs="Calibri"/>
          <w:sz w:val="24"/>
        </w:rPr>
        <w:t xml:space="preserve"> </w:t>
      </w:r>
      <w:r w:rsidR="009D7386" w:rsidRPr="00E66C26">
        <w:rPr>
          <w:rFonts w:ascii="Calibri" w:hAnsi="Calibri" w:cs="Calibri"/>
          <w:sz w:val="24"/>
        </w:rPr>
        <w:lastRenderedPageBreak/>
        <w:t xml:space="preserve">15 </w:t>
      </w:r>
      <w:r w:rsidR="00270CD0" w:rsidRPr="00E66C26">
        <w:rPr>
          <w:rFonts w:ascii="Calibri" w:hAnsi="Calibri" w:cs="Calibri"/>
          <w:sz w:val="24"/>
        </w:rPr>
        <w:t xml:space="preserve">de </w:t>
      </w:r>
      <w:r w:rsidR="009D7386" w:rsidRPr="00E66C26">
        <w:rPr>
          <w:rFonts w:ascii="Calibri" w:hAnsi="Calibri" w:cs="Calibri"/>
          <w:sz w:val="24"/>
        </w:rPr>
        <w:t xml:space="preserve">janeiro </w:t>
      </w:r>
      <w:r w:rsidR="000A2924" w:rsidRPr="00E66C26">
        <w:rPr>
          <w:rFonts w:ascii="Calibri" w:hAnsi="Calibri" w:cs="Calibri"/>
          <w:sz w:val="24"/>
        </w:rPr>
        <w:t xml:space="preserve">de </w:t>
      </w:r>
      <w:r w:rsidR="009D7386" w:rsidRPr="00E66C26">
        <w:rPr>
          <w:rFonts w:ascii="Calibri" w:hAnsi="Calibri" w:cs="Calibri"/>
          <w:sz w:val="24"/>
        </w:rPr>
        <w:t xml:space="preserve">2022 </w:t>
      </w:r>
      <w:r w:rsidRPr="00E66C26">
        <w:rPr>
          <w:rFonts w:ascii="Calibri" w:hAnsi="Calibri" w:cs="Calibri"/>
          <w:sz w:val="24"/>
        </w:rPr>
        <w:t>(</w:t>
      </w:r>
      <w:r w:rsidR="00E05330" w:rsidRPr="00E66C26">
        <w:rPr>
          <w:rFonts w:ascii="Calibri" w:hAnsi="Calibri" w:cs="Calibri"/>
          <w:sz w:val="24"/>
        </w:rPr>
        <w:t>“</w:t>
      </w:r>
      <w:r w:rsidRPr="00E66C26">
        <w:rPr>
          <w:rFonts w:ascii="Calibri" w:hAnsi="Calibri" w:cs="Calibri"/>
          <w:bCs/>
          <w:sz w:val="24"/>
          <w:u w:val="single"/>
        </w:rPr>
        <w:t>Data de Emissão</w:t>
      </w:r>
      <w:r w:rsidR="00E05330" w:rsidRPr="00E66C26">
        <w:rPr>
          <w:rFonts w:ascii="Calibri" w:hAnsi="Calibri" w:cs="Calibri"/>
          <w:sz w:val="24"/>
        </w:rPr>
        <w:t>”</w:t>
      </w:r>
      <w:r w:rsidRPr="00E66C26">
        <w:rPr>
          <w:rFonts w:ascii="Calibri" w:hAnsi="Calibri" w:cs="Calibri"/>
          <w:sz w:val="24"/>
        </w:rPr>
        <w:t>)</w:t>
      </w:r>
      <w:r w:rsidR="00F35470" w:rsidRPr="00E66C26">
        <w:rPr>
          <w:rFonts w:ascii="Calibri" w:hAnsi="Calibri" w:cs="Calibri"/>
          <w:sz w:val="24"/>
        </w:rPr>
        <w:t>,</w:t>
      </w:r>
      <w:r w:rsidRPr="00E66C26">
        <w:rPr>
          <w:rFonts w:ascii="Calibri" w:hAnsi="Calibri" w:cs="Calibri"/>
          <w:sz w:val="24"/>
        </w:rPr>
        <w:t xml:space="preserve"> perfazendo o montante total de</w:t>
      </w:r>
      <w:r w:rsidR="00595F5D" w:rsidRPr="00E66C26">
        <w:rPr>
          <w:rFonts w:ascii="Calibri" w:hAnsi="Calibri" w:cs="Calibri"/>
          <w:sz w:val="24"/>
        </w:rPr>
        <w:t>, inicialmente,</w:t>
      </w:r>
      <w:r w:rsidRPr="00E66C26">
        <w:rPr>
          <w:rFonts w:ascii="Calibri" w:hAnsi="Calibri" w:cs="Calibri"/>
          <w:sz w:val="24"/>
        </w:rPr>
        <w:t xml:space="preserve"> R</w:t>
      </w:r>
      <w:r w:rsidR="00B07D0A" w:rsidRPr="00E66C26">
        <w:rPr>
          <w:rFonts w:ascii="Calibri" w:hAnsi="Calibri" w:cs="Calibri"/>
          <w:sz w:val="24"/>
        </w:rPr>
        <w:t>$</w:t>
      </w:r>
      <w:r w:rsidR="00B12806" w:rsidRPr="00E66C26">
        <w:rPr>
          <w:rFonts w:ascii="Calibri" w:hAnsi="Calibri" w:cs="Calibri"/>
          <w:sz w:val="24"/>
        </w:rPr>
        <w:t> </w:t>
      </w:r>
      <w:r w:rsidR="005578B1" w:rsidRPr="00E66C26">
        <w:rPr>
          <w:rFonts w:ascii="Calibri" w:hAnsi="Calibri" w:cs="Calibri"/>
          <w:sz w:val="24"/>
        </w:rPr>
        <w:t>1.000.000.000,00</w:t>
      </w:r>
      <w:r w:rsidR="00B07D0A" w:rsidRPr="00E66C26">
        <w:rPr>
          <w:rFonts w:ascii="Calibri" w:hAnsi="Calibri" w:cs="Calibri"/>
          <w:sz w:val="24"/>
        </w:rPr>
        <w:t xml:space="preserve"> (</w:t>
      </w:r>
      <w:r w:rsidR="005578B1" w:rsidRPr="00E66C26">
        <w:rPr>
          <w:rFonts w:ascii="Calibri" w:hAnsi="Calibri" w:cs="Calibri"/>
          <w:sz w:val="24"/>
        </w:rPr>
        <w:t>um bilhão de reais</w:t>
      </w:r>
      <w:r w:rsidRPr="00E66C26">
        <w:rPr>
          <w:rFonts w:ascii="Calibri" w:hAnsi="Calibri" w:cs="Calibri"/>
          <w:sz w:val="24"/>
        </w:rPr>
        <w:t xml:space="preserve">), </w:t>
      </w:r>
      <w:r w:rsidR="005578B1" w:rsidRPr="00E66C26">
        <w:rPr>
          <w:rFonts w:ascii="Calibri" w:hAnsi="Calibri" w:cs="Calibri"/>
          <w:sz w:val="24"/>
        </w:rPr>
        <w:t>(“</w:t>
      </w:r>
      <w:r w:rsidR="005578B1" w:rsidRPr="00E66C26">
        <w:rPr>
          <w:rFonts w:ascii="Calibri" w:hAnsi="Calibri" w:cs="Calibri"/>
          <w:sz w:val="24"/>
          <w:u w:val="single"/>
        </w:rPr>
        <w:t>Debêntures</w:t>
      </w:r>
      <w:r w:rsidR="005578B1" w:rsidRPr="00E66C26">
        <w:rPr>
          <w:rFonts w:ascii="Calibri" w:hAnsi="Calibri" w:cs="Calibri"/>
          <w:sz w:val="24"/>
        </w:rPr>
        <w:t xml:space="preserve">”), </w:t>
      </w:r>
      <w:r w:rsidRPr="00E66C26">
        <w:rPr>
          <w:rFonts w:ascii="Calibri" w:hAnsi="Calibri" w:cs="Calibri"/>
          <w:sz w:val="24"/>
        </w:rPr>
        <w:t>sem considerar as Debêntures Adicionais</w:t>
      </w:r>
      <w:r w:rsidR="004938AA" w:rsidRPr="00E66C26">
        <w:rPr>
          <w:rFonts w:ascii="Calibri" w:hAnsi="Calibri" w:cs="Calibri"/>
          <w:sz w:val="24"/>
        </w:rPr>
        <w:t xml:space="preserve"> (conforme abaixo definido)</w:t>
      </w:r>
      <w:r w:rsidRPr="00E66C26">
        <w:rPr>
          <w:rFonts w:ascii="Calibri" w:hAnsi="Calibri" w:cs="Calibri"/>
          <w:sz w:val="24"/>
        </w:rPr>
        <w:t>.</w:t>
      </w:r>
    </w:p>
    <w:p w14:paraId="62AD4544" w14:textId="7BD17A63" w:rsidR="00B12806" w:rsidRPr="00E66C26" w:rsidRDefault="00B12806" w:rsidP="0029198E">
      <w:pPr>
        <w:pStyle w:val="Body"/>
        <w:rPr>
          <w:rFonts w:ascii="Calibri" w:hAnsi="Calibri" w:cs="Calibri"/>
          <w:b/>
          <w:sz w:val="24"/>
        </w:rPr>
      </w:pPr>
      <w:r w:rsidRPr="00E66C26">
        <w:rPr>
          <w:rFonts w:ascii="Calibri" w:hAnsi="Calibri" w:cs="Calibri"/>
          <w:b/>
          <w:bCs/>
          <w:sz w:val="24"/>
        </w:rPr>
        <w:t>AS DEBÊNTURES CONTARÃO COM O INCENTIVO PREVISTO NO ARTIGO 2º DA LEI Nº 12.431, DE 24 DE JUNHO DE 2011, CONFORME ALTERADA (“</w:t>
      </w:r>
      <w:r w:rsidRPr="00E66C26">
        <w:rPr>
          <w:rFonts w:ascii="Calibri" w:hAnsi="Calibri" w:cs="Calibri"/>
          <w:b/>
          <w:bCs/>
          <w:sz w:val="24"/>
          <w:u w:val="single"/>
        </w:rPr>
        <w:t>LEI 12.431</w:t>
      </w:r>
      <w:r w:rsidRPr="00E66C26">
        <w:rPr>
          <w:rFonts w:ascii="Calibri" w:hAnsi="Calibri" w:cs="Calibri"/>
          <w:b/>
          <w:bCs/>
          <w:sz w:val="24"/>
        </w:rPr>
        <w:t>”), DO DECRETO Nº 8.874, DE 11 DE OUTUBRO DE 2016 (“</w:t>
      </w:r>
      <w:r w:rsidRPr="00E66C26">
        <w:rPr>
          <w:rFonts w:ascii="Calibri" w:hAnsi="Calibri" w:cs="Calibri"/>
          <w:b/>
          <w:bCs/>
          <w:sz w:val="24"/>
          <w:u w:val="single"/>
        </w:rPr>
        <w:t>DECRETO 8.874</w:t>
      </w:r>
      <w:r w:rsidRPr="00E66C26">
        <w:rPr>
          <w:rFonts w:ascii="Calibri" w:hAnsi="Calibri" w:cs="Calibri"/>
          <w:b/>
          <w:bCs/>
          <w:sz w:val="24"/>
        </w:rPr>
        <w:t>”),</w:t>
      </w:r>
      <w:r w:rsidR="004938AA" w:rsidRPr="00E66C26">
        <w:rPr>
          <w:rFonts w:ascii="Calibri" w:hAnsi="Calibri" w:cs="Calibri"/>
          <w:sz w:val="24"/>
        </w:rPr>
        <w:t xml:space="preserve"> </w:t>
      </w:r>
      <w:r w:rsidR="004938AA" w:rsidRPr="00E66C26">
        <w:rPr>
          <w:rFonts w:ascii="Calibri" w:hAnsi="Calibri" w:cs="Calibri"/>
          <w:b/>
          <w:bCs/>
          <w:sz w:val="24"/>
        </w:rPr>
        <w:t>TENDO EM VISTA O ENQUADRAMENTO DOS PROJETOS DE INVESTIMENTO (CONFORME DEFINIDO ABAIXO) COMO PRIORITÁRIOS PELO MINISTÉRIO DE MINAS E ENERGIA, POR MEIO</w:t>
      </w:r>
      <w:r w:rsidRPr="00E66C26">
        <w:rPr>
          <w:rFonts w:ascii="Calibri" w:hAnsi="Calibri" w:cs="Calibri"/>
          <w:b/>
          <w:bCs/>
          <w:sz w:val="24"/>
        </w:rPr>
        <w:t xml:space="preserve"> </w:t>
      </w:r>
      <w:r w:rsidR="005578B1" w:rsidRPr="00E66C26">
        <w:rPr>
          <w:rFonts w:ascii="Calibri" w:hAnsi="Calibri" w:cs="Calibri"/>
          <w:b/>
          <w:bCs/>
          <w:sz w:val="24"/>
        </w:rPr>
        <w:t xml:space="preserve">DA PORTARIA </w:t>
      </w:r>
      <w:r w:rsidRPr="00E66C26">
        <w:rPr>
          <w:rFonts w:ascii="Calibri" w:hAnsi="Calibri" w:cs="Calibri"/>
          <w:b/>
          <w:bCs/>
          <w:sz w:val="24"/>
        </w:rPr>
        <w:t xml:space="preserve">Nº </w:t>
      </w:r>
      <w:r w:rsidR="004938AA" w:rsidRPr="00E66C26">
        <w:rPr>
          <w:rFonts w:ascii="Calibri" w:hAnsi="Calibri" w:cs="Calibri"/>
          <w:b/>
          <w:bCs/>
          <w:sz w:val="24"/>
        </w:rPr>
        <w:t>21</w:t>
      </w:r>
      <w:r w:rsidRPr="00E66C26">
        <w:rPr>
          <w:rFonts w:ascii="Calibri" w:hAnsi="Calibri" w:cs="Calibri"/>
          <w:b/>
          <w:bCs/>
          <w:sz w:val="24"/>
        </w:rPr>
        <w:t xml:space="preserve">, DE </w:t>
      </w:r>
      <w:r w:rsidR="004938AA" w:rsidRPr="00E66C26">
        <w:rPr>
          <w:rFonts w:ascii="Calibri" w:hAnsi="Calibri" w:cs="Calibri"/>
          <w:b/>
          <w:bCs/>
          <w:sz w:val="24"/>
        </w:rPr>
        <w:t>MAIO DE 2021,</w:t>
      </w:r>
      <w:r w:rsidRPr="00E66C26">
        <w:rPr>
          <w:rFonts w:ascii="Calibri" w:hAnsi="Calibri" w:cs="Calibri"/>
          <w:b/>
          <w:bCs/>
          <w:sz w:val="24"/>
        </w:rPr>
        <w:t xml:space="preserve"> </w:t>
      </w:r>
      <w:r w:rsidR="005578B1" w:rsidRPr="00E66C26">
        <w:rPr>
          <w:rFonts w:ascii="Calibri" w:hAnsi="Calibri" w:cs="Calibri"/>
          <w:b/>
          <w:bCs/>
          <w:sz w:val="24"/>
        </w:rPr>
        <w:t>PUBLICADA NO DIÁRIO OFICIAL DA UNIÃO (“</w:t>
      </w:r>
      <w:r w:rsidR="005578B1" w:rsidRPr="00E66C26">
        <w:rPr>
          <w:rFonts w:ascii="Calibri" w:hAnsi="Calibri" w:cs="Calibri"/>
          <w:b/>
          <w:bCs/>
          <w:sz w:val="24"/>
          <w:u w:val="single"/>
        </w:rPr>
        <w:t>DOU</w:t>
      </w:r>
      <w:r w:rsidR="005578B1" w:rsidRPr="00E66C26">
        <w:rPr>
          <w:rFonts w:ascii="Calibri" w:hAnsi="Calibri" w:cs="Calibri"/>
          <w:b/>
          <w:bCs/>
          <w:sz w:val="24"/>
        </w:rPr>
        <w:t xml:space="preserve">”) EM </w:t>
      </w:r>
      <w:r w:rsidR="004938AA" w:rsidRPr="00E66C26">
        <w:rPr>
          <w:rFonts w:ascii="Calibri" w:hAnsi="Calibri" w:cs="Calibri"/>
          <w:b/>
          <w:bCs/>
          <w:sz w:val="24"/>
        </w:rPr>
        <w:t xml:space="preserve">13 </w:t>
      </w:r>
      <w:r w:rsidR="005578B1" w:rsidRPr="00E66C26">
        <w:rPr>
          <w:rFonts w:ascii="Calibri" w:hAnsi="Calibri" w:cs="Calibri"/>
          <w:b/>
          <w:bCs/>
          <w:sz w:val="24"/>
        </w:rPr>
        <w:t xml:space="preserve">DE </w:t>
      </w:r>
      <w:r w:rsidR="004938AA" w:rsidRPr="00E66C26">
        <w:rPr>
          <w:rFonts w:ascii="Calibri" w:hAnsi="Calibri" w:cs="Calibri"/>
          <w:b/>
          <w:bCs/>
          <w:sz w:val="24"/>
        </w:rPr>
        <w:t xml:space="preserve">MAIO </w:t>
      </w:r>
      <w:r w:rsidR="005578B1" w:rsidRPr="00E66C26">
        <w:rPr>
          <w:rFonts w:ascii="Calibri" w:hAnsi="Calibri" w:cs="Calibri"/>
          <w:b/>
          <w:bCs/>
          <w:sz w:val="24"/>
        </w:rPr>
        <w:t xml:space="preserve">DE </w:t>
      </w:r>
      <w:r w:rsidR="004938AA" w:rsidRPr="00E66C26">
        <w:rPr>
          <w:rFonts w:ascii="Calibri" w:hAnsi="Calibri" w:cs="Calibri"/>
          <w:b/>
          <w:bCs/>
          <w:sz w:val="24"/>
        </w:rPr>
        <w:t>2021</w:t>
      </w:r>
      <w:r w:rsidR="005578B1" w:rsidRPr="00E66C26">
        <w:rPr>
          <w:rFonts w:ascii="Calibri" w:hAnsi="Calibri" w:cs="Calibri"/>
          <w:b/>
          <w:bCs/>
          <w:sz w:val="24"/>
        </w:rPr>
        <w:t>,</w:t>
      </w:r>
      <w:r w:rsidRPr="00E66C26">
        <w:rPr>
          <w:rFonts w:ascii="Calibri" w:hAnsi="Calibri" w:cs="Calibri"/>
          <w:b/>
          <w:bCs/>
          <w:sz w:val="24"/>
        </w:rPr>
        <w:t xml:space="preserve"> </w:t>
      </w:r>
      <w:r w:rsidR="004938AA" w:rsidRPr="00E66C26">
        <w:rPr>
          <w:rFonts w:ascii="Calibri" w:hAnsi="Calibri" w:cs="Calibri"/>
          <w:b/>
          <w:bCs/>
          <w:sz w:val="24"/>
        </w:rPr>
        <w:t>E DA PORTARIA Nº 35/SPG/MME, DE 18 DE OUTUBRO DE 2021, PUBLICADA NO DOU EM 25 DE OUTUBRO DE 2021 (“</w:t>
      </w:r>
      <w:r w:rsidR="004938AA" w:rsidRPr="00E66C26">
        <w:rPr>
          <w:rFonts w:ascii="Calibri" w:hAnsi="Calibri" w:cs="Calibri"/>
          <w:b/>
          <w:bCs/>
          <w:sz w:val="24"/>
          <w:u w:val="single"/>
        </w:rPr>
        <w:t>Portarias do Ministério de Minas e Energia</w:t>
      </w:r>
      <w:r w:rsidR="004938AA" w:rsidRPr="00E66C26">
        <w:rPr>
          <w:rFonts w:ascii="Calibri" w:hAnsi="Calibri" w:cs="Calibri"/>
          <w:b/>
          <w:bCs/>
          <w:sz w:val="24"/>
        </w:rPr>
        <w:t>”)</w:t>
      </w:r>
      <w:r w:rsidRPr="00E66C26">
        <w:rPr>
          <w:rFonts w:ascii="Calibri" w:hAnsi="Calibri" w:cs="Calibri"/>
          <w:b/>
          <w:bCs/>
          <w:sz w:val="24"/>
        </w:rPr>
        <w:t>.</w:t>
      </w:r>
    </w:p>
    <w:p w14:paraId="5A8CBF7A" w14:textId="301D0E6A" w:rsidR="00A73AD0" w:rsidRPr="00E66C26" w:rsidRDefault="00A73AD0" w:rsidP="0029198E">
      <w:pPr>
        <w:pStyle w:val="Body"/>
        <w:rPr>
          <w:rFonts w:ascii="Calibri" w:hAnsi="Calibri" w:cs="Calibri"/>
          <w:sz w:val="24"/>
        </w:rPr>
      </w:pPr>
      <w:r w:rsidRPr="00E66C26">
        <w:rPr>
          <w:rFonts w:ascii="Calibri" w:hAnsi="Calibri" w:cs="Calibri"/>
          <w:sz w:val="24"/>
        </w:rPr>
        <w:t xml:space="preserve">A Oferta </w:t>
      </w:r>
      <w:r w:rsidR="00A808C7" w:rsidRPr="00E66C26">
        <w:rPr>
          <w:rFonts w:ascii="Calibri" w:hAnsi="Calibri" w:cs="Calibri"/>
          <w:sz w:val="24"/>
        </w:rPr>
        <w:t>compreenderá a distribuição das Debêntures no Brasil pelo Coordenador Líder e poderá contar, ainda, com outras instituições financeiras integrantes do sistema de distribuição de valores mobiliários, devidamente autorizadas a operar no mercado de capitais, escolhidas a exclusivo critério do Coordenador Líder e mediante consentimento da Emissora, as quais poderão ser convidadas pelo Coordenador Líder para participar da Oferta exclusivamente para o recebimento de Pedidos de Reserva (conforme abaixo definido) (em conjunto, “</w:t>
      </w:r>
      <w:r w:rsidR="00A808C7" w:rsidRPr="00E66C26">
        <w:rPr>
          <w:rFonts w:ascii="Calibri" w:hAnsi="Calibri" w:cs="Calibri"/>
          <w:sz w:val="24"/>
          <w:u w:val="single"/>
        </w:rPr>
        <w:t>Participantes Especiais</w:t>
      </w:r>
      <w:r w:rsidR="00A808C7" w:rsidRPr="00E66C26">
        <w:rPr>
          <w:rFonts w:ascii="Calibri" w:hAnsi="Calibri" w:cs="Calibri"/>
          <w:sz w:val="24"/>
        </w:rPr>
        <w:t>” e, em conjunto com o Coordenador Líder, “</w:t>
      </w:r>
      <w:r w:rsidR="00A808C7" w:rsidRPr="00E66C26">
        <w:rPr>
          <w:rFonts w:ascii="Calibri" w:hAnsi="Calibri" w:cs="Calibri"/>
          <w:sz w:val="24"/>
          <w:u w:val="single"/>
        </w:rPr>
        <w:t>Instituições Participantes da Oferta</w:t>
      </w:r>
      <w:r w:rsidR="00A808C7" w:rsidRPr="00E66C26">
        <w:rPr>
          <w:rFonts w:ascii="Calibri" w:hAnsi="Calibri" w:cs="Calibri"/>
          <w:sz w:val="24"/>
        </w:rPr>
        <w:t>”).</w:t>
      </w:r>
    </w:p>
    <w:p w14:paraId="4E157791" w14:textId="59258AEB" w:rsidR="00A83F95" w:rsidRPr="00E66C26" w:rsidRDefault="00A83F95" w:rsidP="0029198E">
      <w:pPr>
        <w:pStyle w:val="Body"/>
        <w:rPr>
          <w:rFonts w:ascii="Calibri" w:hAnsi="Calibri" w:cs="Calibri"/>
          <w:sz w:val="24"/>
        </w:rPr>
      </w:pPr>
      <w:r w:rsidRPr="00E66C26">
        <w:rPr>
          <w:rFonts w:ascii="Calibri" w:hAnsi="Calibri" w:cs="Calibri"/>
          <w:sz w:val="24"/>
        </w:rPr>
        <w:t xml:space="preserve">Exceto quando especificamente definidos neste Aviso ao Mercado, os termos aqui utilizados iniciados em letra maiúscula terão o significado a eles atribuído no </w:t>
      </w:r>
      <w:r w:rsidR="00E05330" w:rsidRPr="00E66C26">
        <w:rPr>
          <w:rFonts w:ascii="Calibri" w:hAnsi="Calibri" w:cs="Calibri"/>
          <w:sz w:val="24"/>
        </w:rPr>
        <w:t>“</w:t>
      </w:r>
      <w:r w:rsidRPr="00E66C26">
        <w:rPr>
          <w:rFonts w:ascii="Calibri" w:hAnsi="Calibri" w:cs="Calibri"/>
          <w:i/>
          <w:sz w:val="24"/>
        </w:rPr>
        <w:t>Prospecto Preliminar da Oferta Pública de Distribuição de Debêntures</w:t>
      </w:r>
      <w:r w:rsidR="004938AA" w:rsidRPr="00E66C26">
        <w:rPr>
          <w:rFonts w:ascii="Calibri" w:hAnsi="Calibri" w:cs="Calibri"/>
          <w:i/>
          <w:sz w:val="24"/>
        </w:rPr>
        <w:t xml:space="preserve"> Simples</w:t>
      </w:r>
      <w:r w:rsidRPr="00E66C26">
        <w:rPr>
          <w:rFonts w:ascii="Calibri" w:hAnsi="Calibri" w:cs="Calibri"/>
          <w:i/>
          <w:sz w:val="24"/>
        </w:rPr>
        <w:t>, Não Conversíveis em Ações, da Espécie Quirografária</w:t>
      </w:r>
      <w:r w:rsidR="004C43F5" w:rsidRPr="00E66C26">
        <w:rPr>
          <w:rFonts w:ascii="Calibri" w:hAnsi="Calibri" w:cs="Calibri"/>
          <w:i/>
          <w:sz w:val="24"/>
        </w:rPr>
        <w:t xml:space="preserve">, </w:t>
      </w:r>
      <w:r w:rsidRPr="00E66C26">
        <w:rPr>
          <w:rFonts w:ascii="Calibri" w:hAnsi="Calibri" w:cs="Calibri"/>
          <w:i/>
          <w:sz w:val="24"/>
        </w:rPr>
        <w:t xml:space="preserve">em </w:t>
      </w:r>
      <w:r w:rsidR="00A808C7" w:rsidRPr="00E66C26">
        <w:rPr>
          <w:rFonts w:ascii="Calibri" w:hAnsi="Calibri" w:cs="Calibri"/>
          <w:i/>
          <w:sz w:val="24"/>
        </w:rPr>
        <w:t>Até Duas Séries</w:t>
      </w:r>
      <w:r w:rsidRPr="00E66C26">
        <w:rPr>
          <w:rFonts w:ascii="Calibri" w:hAnsi="Calibri" w:cs="Calibri"/>
          <w:i/>
          <w:sz w:val="24"/>
        </w:rPr>
        <w:t xml:space="preserve">, da </w:t>
      </w:r>
      <w:r w:rsidR="00A808C7" w:rsidRPr="00E66C26">
        <w:rPr>
          <w:rFonts w:ascii="Calibri" w:hAnsi="Calibri" w:cs="Calibri"/>
          <w:i/>
          <w:sz w:val="24"/>
        </w:rPr>
        <w:t>4</w:t>
      </w:r>
      <w:r w:rsidR="00CF58F0" w:rsidRPr="00E66C26">
        <w:rPr>
          <w:rFonts w:ascii="Calibri" w:hAnsi="Calibri" w:cs="Calibri"/>
          <w:i/>
          <w:sz w:val="24"/>
        </w:rPr>
        <w:t>ª</w:t>
      </w:r>
      <w:r w:rsidR="002B495A" w:rsidRPr="00E66C26">
        <w:rPr>
          <w:rFonts w:ascii="Calibri" w:hAnsi="Calibri" w:cs="Calibri"/>
          <w:i/>
          <w:sz w:val="24"/>
        </w:rPr>
        <w:t xml:space="preserve"> </w:t>
      </w:r>
      <w:r w:rsidR="00D26F59" w:rsidRPr="00E66C26">
        <w:rPr>
          <w:rFonts w:ascii="Calibri" w:hAnsi="Calibri" w:cs="Calibri"/>
          <w:i/>
          <w:sz w:val="24"/>
        </w:rPr>
        <w:t>(</w:t>
      </w:r>
      <w:r w:rsidR="00A808C7" w:rsidRPr="00E66C26">
        <w:rPr>
          <w:rFonts w:ascii="Calibri" w:hAnsi="Calibri" w:cs="Calibri"/>
          <w:i/>
          <w:sz w:val="24"/>
        </w:rPr>
        <w:t>Quarta</w:t>
      </w:r>
      <w:r w:rsidR="00D26F59" w:rsidRPr="00E66C26">
        <w:rPr>
          <w:rFonts w:ascii="Calibri" w:hAnsi="Calibri" w:cs="Calibri"/>
          <w:i/>
          <w:sz w:val="24"/>
        </w:rPr>
        <w:t>)</w:t>
      </w:r>
      <w:r w:rsidRPr="00E66C26">
        <w:rPr>
          <w:rFonts w:ascii="Calibri" w:hAnsi="Calibri" w:cs="Calibri"/>
          <w:i/>
          <w:sz w:val="24"/>
        </w:rPr>
        <w:t xml:space="preserve"> Emissão da</w:t>
      </w:r>
      <w:r w:rsidR="002235C3" w:rsidRPr="00E66C26">
        <w:rPr>
          <w:rFonts w:ascii="Calibri" w:hAnsi="Calibri" w:cs="Calibri"/>
          <w:i/>
          <w:sz w:val="24"/>
        </w:rPr>
        <w:t xml:space="preserve"> </w:t>
      </w:r>
      <w:r w:rsidR="00A808C7" w:rsidRPr="00E66C26">
        <w:rPr>
          <w:rFonts w:ascii="Calibri" w:hAnsi="Calibri" w:cs="Calibri"/>
          <w:i/>
          <w:sz w:val="24"/>
        </w:rPr>
        <w:t>São Martinho</w:t>
      </w:r>
      <w:r w:rsidR="008063D6" w:rsidRPr="00E66C26">
        <w:rPr>
          <w:rFonts w:ascii="Calibri" w:hAnsi="Calibri" w:cs="Calibri"/>
          <w:i/>
          <w:sz w:val="24"/>
        </w:rPr>
        <w:t xml:space="preserve"> S.A.</w:t>
      </w:r>
      <w:r w:rsidR="00E05330" w:rsidRPr="00E66C26">
        <w:rPr>
          <w:rFonts w:ascii="Calibri" w:hAnsi="Calibri" w:cs="Calibri"/>
          <w:sz w:val="24"/>
        </w:rPr>
        <w:t>”</w:t>
      </w:r>
      <w:r w:rsidRPr="00E66C26">
        <w:rPr>
          <w:rFonts w:ascii="Calibri" w:hAnsi="Calibri" w:cs="Calibri"/>
          <w:sz w:val="24"/>
        </w:rPr>
        <w:t xml:space="preserve"> (</w:t>
      </w:r>
      <w:r w:rsidR="00E05330" w:rsidRPr="00E66C26">
        <w:rPr>
          <w:rFonts w:ascii="Calibri" w:hAnsi="Calibri" w:cs="Calibri"/>
          <w:sz w:val="24"/>
        </w:rPr>
        <w:t>“</w:t>
      </w:r>
      <w:r w:rsidRPr="00E66C26">
        <w:rPr>
          <w:rFonts w:ascii="Calibri" w:hAnsi="Calibri" w:cs="Calibri"/>
          <w:bCs/>
          <w:sz w:val="24"/>
          <w:u w:val="single"/>
        </w:rPr>
        <w:t>Prospecto Preliminar</w:t>
      </w:r>
      <w:r w:rsidR="00E05330" w:rsidRPr="00E66C26">
        <w:rPr>
          <w:rFonts w:ascii="Calibri" w:hAnsi="Calibri" w:cs="Calibri"/>
          <w:sz w:val="24"/>
        </w:rPr>
        <w:t>”</w:t>
      </w:r>
      <w:r w:rsidR="00D9143B" w:rsidRPr="00E66C26">
        <w:rPr>
          <w:rFonts w:ascii="Calibri" w:hAnsi="Calibri" w:cs="Calibri"/>
          <w:sz w:val="24"/>
        </w:rPr>
        <w:t>, sendo que a definição de Prospecto Preliminar engloba todos os seus anexos e documentos a ele incorporados por referência</w:t>
      </w:r>
      <w:r w:rsidRPr="00E66C26">
        <w:rPr>
          <w:rFonts w:ascii="Calibri" w:hAnsi="Calibri" w:cs="Calibri"/>
          <w:sz w:val="24"/>
        </w:rPr>
        <w:t xml:space="preserve">) e no </w:t>
      </w:r>
      <w:r w:rsidR="00E05330" w:rsidRPr="00E66C26">
        <w:rPr>
          <w:rFonts w:ascii="Calibri" w:hAnsi="Calibri" w:cs="Calibri"/>
          <w:sz w:val="24"/>
        </w:rPr>
        <w:t>“</w:t>
      </w:r>
      <w:r w:rsidRPr="00E66C26">
        <w:rPr>
          <w:rFonts w:ascii="Calibri" w:hAnsi="Calibri" w:cs="Calibri"/>
          <w:i/>
          <w:sz w:val="24"/>
        </w:rPr>
        <w:t xml:space="preserve">Instrumento Particular de Escritura da </w:t>
      </w:r>
      <w:r w:rsidR="004D7135" w:rsidRPr="00E66C26">
        <w:rPr>
          <w:rFonts w:ascii="Calibri" w:hAnsi="Calibri" w:cs="Calibri"/>
          <w:i/>
          <w:sz w:val="24"/>
        </w:rPr>
        <w:t>4</w:t>
      </w:r>
      <w:r w:rsidR="00CF58F0" w:rsidRPr="00E66C26">
        <w:rPr>
          <w:rFonts w:ascii="Calibri" w:hAnsi="Calibri" w:cs="Calibri"/>
          <w:i/>
          <w:sz w:val="24"/>
        </w:rPr>
        <w:t>ª (</w:t>
      </w:r>
      <w:r w:rsidR="004D7135" w:rsidRPr="00E66C26">
        <w:rPr>
          <w:rFonts w:ascii="Calibri" w:hAnsi="Calibri" w:cs="Calibri"/>
          <w:i/>
          <w:sz w:val="24"/>
        </w:rPr>
        <w:t>Quarta</w:t>
      </w:r>
      <w:r w:rsidR="00CF58F0" w:rsidRPr="00E66C26">
        <w:rPr>
          <w:rFonts w:ascii="Calibri" w:hAnsi="Calibri" w:cs="Calibri"/>
          <w:i/>
          <w:sz w:val="24"/>
        </w:rPr>
        <w:t>)</w:t>
      </w:r>
      <w:r w:rsidRPr="00E66C26">
        <w:rPr>
          <w:rFonts w:ascii="Calibri" w:hAnsi="Calibri" w:cs="Calibri"/>
          <w:i/>
          <w:sz w:val="24"/>
        </w:rPr>
        <w:t xml:space="preserve"> Emissão de Debêntures</w:t>
      </w:r>
      <w:r w:rsidR="004938AA" w:rsidRPr="00E66C26">
        <w:rPr>
          <w:rFonts w:ascii="Calibri" w:hAnsi="Calibri" w:cs="Calibri"/>
          <w:i/>
          <w:sz w:val="24"/>
        </w:rPr>
        <w:t xml:space="preserve"> simples</w:t>
      </w:r>
      <w:r w:rsidRPr="00E66C26">
        <w:rPr>
          <w:rFonts w:ascii="Calibri" w:hAnsi="Calibri" w:cs="Calibri"/>
          <w:i/>
          <w:sz w:val="24"/>
        </w:rPr>
        <w:t xml:space="preserve">, Não Conversíveis em Ações, da Espécie Quirografária, em </w:t>
      </w:r>
      <w:r w:rsidR="004D7135" w:rsidRPr="00E66C26">
        <w:rPr>
          <w:rFonts w:ascii="Calibri" w:hAnsi="Calibri" w:cs="Calibri"/>
          <w:i/>
          <w:sz w:val="24"/>
        </w:rPr>
        <w:t>Até Duas Séries</w:t>
      </w:r>
      <w:r w:rsidRPr="00E66C26">
        <w:rPr>
          <w:rFonts w:ascii="Calibri" w:hAnsi="Calibri" w:cs="Calibri"/>
          <w:i/>
          <w:sz w:val="24"/>
        </w:rPr>
        <w:t xml:space="preserve">, para Distribuição Pública, da </w:t>
      </w:r>
      <w:r w:rsidR="004D7135" w:rsidRPr="00E66C26">
        <w:rPr>
          <w:rFonts w:ascii="Calibri" w:hAnsi="Calibri" w:cs="Calibri"/>
          <w:i/>
          <w:sz w:val="24"/>
        </w:rPr>
        <w:t>São Martinho</w:t>
      </w:r>
      <w:r w:rsidR="008063D6" w:rsidRPr="00E66C26">
        <w:rPr>
          <w:rFonts w:ascii="Calibri" w:hAnsi="Calibri" w:cs="Calibri"/>
          <w:i/>
          <w:sz w:val="24"/>
        </w:rPr>
        <w:t xml:space="preserve"> S.A.</w:t>
      </w:r>
      <w:r w:rsidR="00E05330" w:rsidRPr="00E66C26">
        <w:rPr>
          <w:rFonts w:ascii="Calibri" w:hAnsi="Calibri" w:cs="Calibri"/>
          <w:sz w:val="24"/>
        </w:rPr>
        <w:t>”</w:t>
      </w:r>
      <w:r w:rsidRPr="00E66C26">
        <w:rPr>
          <w:rFonts w:ascii="Calibri" w:hAnsi="Calibri" w:cs="Calibri"/>
          <w:sz w:val="24"/>
        </w:rPr>
        <w:t xml:space="preserve">, celebrado </w:t>
      </w:r>
      <w:r w:rsidR="00FA2E13" w:rsidRPr="00E66C26">
        <w:rPr>
          <w:rFonts w:ascii="Calibri" w:hAnsi="Calibri" w:cs="Calibri"/>
          <w:sz w:val="24"/>
        </w:rPr>
        <w:t xml:space="preserve">em </w:t>
      </w:r>
      <w:r w:rsidR="00805FFC">
        <w:rPr>
          <w:rFonts w:ascii="Calibri" w:hAnsi="Calibri" w:cs="Calibri"/>
          <w:sz w:val="24"/>
        </w:rPr>
        <w:t>13</w:t>
      </w:r>
      <w:r w:rsidR="00C66947" w:rsidRPr="00E66C26">
        <w:rPr>
          <w:rFonts w:ascii="Calibri" w:hAnsi="Calibri" w:cs="Calibri"/>
          <w:sz w:val="24"/>
        </w:rPr>
        <w:t xml:space="preserve"> </w:t>
      </w:r>
      <w:r w:rsidR="00FA2E13" w:rsidRPr="00E66C26">
        <w:rPr>
          <w:rFonts w:ascii="Calibri" w:hAnsi="Calibri" w:cs="Calibri"/>
          <w:sz w:val="24"/>
        </w:rPr>
        <w:t xml:space="preserve">de </w:t>
      </w:r>
      <w:r w:rsidR="00FE0353" w:rsidRPr="00E66C26">
        <w:rPr>
          <w:rFonts w:ascii="Calibri" w:hAnsi="Calibri" w:cs="Calibri"/>
          <w:sz w:val="24"/>
        </w:rPr>
        <w:t xml:space="preserve">dezembro </w:t>
      </w:r>
      <w:r w:rsidR="00FA2E13" w:rsidRPr="00E66C26">
        <w:rPr>
          <w:rFonts w:ascii="Calibri" w:hAnsi="Calibri" w:cs="Calibri"/>
          <w:sz w:val="24"/>
        </w:rPr>
        <w:t xml:space="preserve">de </w:t>
      </w:r>
      <w:r w:rsidR="00FE0353" w:rsidRPr="00E66C26">
        <w:rPr>
          <w:rFonts w:ascii="Calibri" w:hAnsi="Calibri" w:cs="Calibri"/>
          <w:sz w:val="24"/>
        </w:rPr>
        <w:t>2021</w:t>
      </w:r>
      <w:r w:rsidR="00434F32">
        <w:rPr>
          <w:rFonts w:ascii="Calibri" w:hAnsi="Calibri" w:cs="Calibri"/>
          <w:sz w:val="24"/>
        </w:rPr>
        <w:t>, conforme alterada,</w:t>
      </w:r>
      <w:r w:rsidR="00647181" w:rsidRPr="00E66C26">
        <w:rPr>
          <w:rFonts w:ascii="Calibri" w:hAnsi="Calibri" w:cs="Calibri"/>
          <w:sz w:val="24"/>
        </w:rPr>
        <w:t xml:space="preserve"> </w:t>
      </w:r>
      <w:r w:rsidRPr="00E66C26">
        <w:rPr>
          <w:rFonts w:ascii="Calibri" w:hAnsi="Calibri" w:cs="Calibri"/>
          <w:sz w:val="24"/>
        </w:rPr>
        <w:t>entre a Emissora e a</w:t>
      </w:r>
      <w:r w:rsidR="00857C99" w:rsidRPr="00E66C26">
        <w:rPr>
          <w:rFonts w:ascii="Calibri" w:hAnsi="Calibri" w:cs="Calibri"/>
          <w:bCs/>
          <w:sz w:val="24"/>
        </w:rPr>
        <w:t xml:space="preserve"> </w:t>
      </w:r>
      <w:proofErr w:type="spellStart"/>
      <w:r w:rsidR="004D7135" w:rsidRPr="00E66C26">
        <w:rPr>
          <w:rFonts w:ascii="Calibri" w:hAnsi="Calibri" w:cs="Calibri"/>
          <w:b/>
          <w:sz w:val="24"/>
        </w:rPr>
        <w:t>Simplific</w:t>
      </w:r>
      <w:proofErr w:type="spellEnd"/>
      <w:r w:rsidR="004D7135" w:rsidRPr="00E66C26">
        <w:rPr>
          <w:rFonts w:ascii="Calibri" w:hAnsi="Calibri" w:cs="Calibri"/>
          <w:b/>
          <w:sz w:val="24"/>
        </w:rPr>
        <w:t xml:space="preserve"> </w:t>
      </w:r>
      <w:proofErr w:type="spellStart"/>
      <w:r w:rsidR="004D7135" w:rsidRPr="00E66C26">
        <w:rPr>
          <w:rFonts w:ascii="Calibri" w:hAnsi="Calibri" w:cs="Calibri"/>
          <w:b/>
          <w:sz w:val="24"/>
        </w:rPr>
        <w:t>Pavarini</w:t>
      </w:r>
      <w:proofErr w:type="spellEnd"/>
      <w:r w:rsidR="004D7135" w:rsidRPr="00E66C26">
        <w:rPr>
          <w:rFonts w:ascii="Calibri" w:hAnsi="Calibri" w:cs="Calibri"/>
          <w:b/>
          <w:sz w:val="24"/>
        </w:rPr>
        <w:t xml:space="preserve"> Distribuidora de Títulos e Valores Mobiliários Ltda.</w:t>
      </w:r>
      <w:r w:rsidR="00F35470" w:rsidRPr="00E66C26">
        <w:rPr>
          <w:rFonts w:ascii="Calibri" w:hAnsi="Calibri" w:cs="Calibri"/>
          <w:sz w:val="24"/>
        </w:rPr>
        <w:t xml:space="preserve">, representando a comunhão dos titulares das </w:t>
      </w:r>
      <w:r w:rsidR="003F30A6" w:rsidRPr="00E66C26">
        <w:rPr>
          <w:rFonts w:ascii="Calibri" w:hAnsi="Calibri" w:cs="Calibri"/>
          <w:sz w:val="24"/>
        </w:rPr>
        <w:t>Debêntures</w:t>
      </w:r>
      <w:r w:rsidRPr="00E66C26">
        <w:rPr>
          <w:rFonts w:ascii="Calibri" w:hAnsi="Calibri" w:cs="Calibri"/>
          <w:sz w:val="24"/>
        </w:rPr>
        <w:t xml:space="preserve"> (</w:t>
      </w:r>
      <w:r w:rsidR="00E05330" w:rsidRPr="00E66C26">
        <w:rPr>
          <w:rFonts w:ascii="Calibri" w:hAnsi="Calibri" w:cs="Calibri"/>
          <w:sz w:val="24"/>
        </w:rPr>
        <w:t>“</w:t>
      </w:r>
      <w:r w:rsidR="00C6481E" w:rsidRPr="00E66C26">
        <w:rPr>
          <w:rFonts w:ascii="Calibri" w:hAnsi="Calibri" w:cs="Calibri"/>
          <w:bCs/>
          <w:sz w:val="24"/>
          <w:u w:val="single"/>
        </w:rPr>
        <w:t>Escritura de Emissão</w:t>
      </w:r>
      <w:r w:rsidR="00E05330" w:rsidRPr="00E66C26">
        <w:rPr>
          <w:rFonts w:ascii="Calibri" w:hAnsi="Calibri" w:cs="Calibri"/>
          <w:sz w:val="24"/>
        </w:rPr>
        <w:t>”</w:t>
      </w:r>
      <w:r w:rsidR="007D1A58" w:rsidRPr="00E66C26">
        <w:rPr>
          <w:rFonts w:ascii="Calibri" w:hAnsi="Calibri" w:cs="Calibri"/>
          <w:sz w:val="24"/>
        </w:rPr>
        <w:t>, “</w:t>
      </w:r>
      <w:r w:rsidR="007D1A58" w:rsidRPr="00E66C26">
        <w:rPr>
          <w:rFonts w:ascii="Calibri" w:hAnsi="Calibri" w:cs="Calibri"/>
          <w:bCs/>
          <w:sz w:val="24"/>
          <w:u w:val="single"/>
        </w:rPr>
        <w:t>Agente Fiduciário</w:t>
      </w:r>
      <w:r w:rsidR="007D1A58" w:rsidRPr="00E66C26">
        <w:rPr>
          <w:rFonts w:ascii="Calibri" w:hAnsi="Calibri" w:cs="Calibri"/>
          <w:sz w:val="24"/>
        </w:rPr>
        <w:t>” e “</w:t>
      </w:r>
      <w:r w:rsidR="007D1A58" w:rsidRPr="00E66C26">
        <w:rPr>
          <w:rFonts w:ascii="Calibri" w:hAnsi="Calibri" w:cs="Calibri"/>
          <w:bCs/>
          <w:sz w:val="24"/>
          <w:u w:val="single"/>
        </w:rPr>
        <w:t>Debenturistas</w:t>
      </w:r>
      <w:r w:rsidR="007D1A58" w:rsidRPr="00E66C26">
        <w:rPr>
          <w:rFonts w:ascii="Calibri" w:hAnsi="Calibri" w:cs="Calibri"/>
          <w:sz w:val="24"/>
        </w:rPr>
        <w:t>”</w:t>
      </w:r>
      <w:r w:rsidR="00C6481E" w:rsidRPr="00E66C26">
        <w:rPr>
          <w:rFonts w:ascii="Calibri" w:hAnsi="Calibri" w:cs="Calibri"/>
          <w:sz w:val="24"/>
        </w:rPr>
        <w:t>, respectivamente</w:t>
      </w:r>
      <w:r w:rsidRPr="00E66C26">
        <w:rPr>
          <w:rFonts w:ascii="Calibri" w:hAnsi="Calibri" w:cs="Calibri"/>
          <w:sz w:val="24"/>
        </w:rPr>
        <w:t>)</w:t>
      </w:r>
      <w:r w:rsidR="00996A9C" w:rsidRPr="00E66C26">
        <w:rPr>
          <w:rFonts w:ascii="Calibri" w:hAnsi="Calibri" w:cs="Calibri"/>
          <w:sz w:val="24"/>
        </w:rPr>
        <w:t>.</w:t>
      </w:r>
    </w:p>
    <w:p w14:paraId="0E30E64F" w14:textId="496EEAC3" w:rsidR="004D7135" w:rsidRPr="00E66C26" w:rsidRDefault="004D7135" w:rsidP="0029198E">
      <w:pPr>
        <w:pStyle w:val="Body"/>
        <w:rPr>
          <w:rFonts w:ascii="Calibri" w:hAnsi="Calibri" w:cs="Calibri"/>
          <w:b/>
          <w:sz w:val="24"/>
        </w:rPr>
      </w:pPr>
      <w:r w:rsidRPr="00E66C26">
        <w:rPr>
          <w:rFonts w:ascii="Calibri" w:hAnsi="Calibri" w:cs="Calibri"/>
          <w:b/>
          <w:sz w:val="24"/>
        </w:rPr>
        <w:lastRenderedPageBreak/>
        <w:t>AS DEBÊNTURES SERÃO ENQUADRADAS NO ARTIGO 2º DA LEI N° 12.431, DO DECRETO N° 8.874, DA RESOLUÇÃO DO CONSELHO MONETÁRIO NACIONAL (“</w:t>
      </w:r>
      <w:r w:rsidRPr="00E66C26">
        <w:rPr>
          <w:rFonts w:ascii="Calibri" w:hAnsi="Calibri" w:cs="Calibri"/>
          <w:b/>
          <w:sz w:val="24"/>
          <w:u w:val="single"/>
        </w:rPr>
        <w:t>CMN</w:t>
      </w:r>
      <w:r w:rsidRPr="00E66C26">
        <w:rPr>
          <w:rFonts w:ascii="Calibri" w:hAnsi="Calibri" w:cs="Calibri"/>
          <w:b/>
          <w:sz w:val="24"/>
        </w:rPr>
        <w:t>”) N° 3.947, DE 27 DE JANEIRO DE 2011 (“</w:t>
      </w:r>
      <w:r w:rsidRPr="00E66C26">
        <w:rPr>
          <w:rFonts w:ascii="Calibri" w:hAnsi="Calibri" w:cs="Calibri"/>
          <w:b/>
          <w:sz w:val="24"/>
          <w:u w:val="single"/>
        </w:rPr>
        <w:t>RESOLUÇÃO CMN N° 3.947</w:t>
      </w:r>
      <w:r w:rsidRPr="00E66C26">
        <w:rPr>
          <w:rFonts w:ascii="Calibri" w:hAnsi="Calibri" w:cs="Calibri"/>
          <w:b/>
          <w:sz w:val="24"/>
        </w:rPr>
        <w:t>”), DA</w:t>
      </w:r>
      <w:r w:rsidR="004938AA" w:rsidRPr="00E66C26">
        <w:rPr>
          <w:rFonts w:ascii="Calibri" w:hAnsi="Calibri" w:cs="Calibri"/>
          <w:b/>
          <w:sz w:val="24"/>
        </w:rPr>
        <w:t>S</w:t>
      </w:r>
      <w:r w:rsidRPr="00E66C26">
        <w:rPr>
          <w:rFonts w:ascii="Calibri" w:hAnsi="Calibri" w:cs="Calibri"/>
          <w:b/>
          <w:sz w:val="24"/>
        </w:rPr>
        <w:t xml:space="preserve"> PORTARIA</w:t>
      </w:r>
      <w:r w:rsidR="004938AA" w:rsidRPr="00E66C26">
        <w:rPr>
          <w:rFonts w:ascii="Calibri" w:hAnsi="Calibri" w:cs="Calibri"/>
          <w:b/>
          <w:sz w:val="24"/>
        </w:rPr>
        <w:t>S</w:t>
      </w:r>
      <w:r w:rsidRPr="00E66C26">
        <w:rPr>
          <w:rFonts w:ascii="Calibri" w:hAnsi="Calibri" w:cs="Calibri"/>
          <w:b/>
          <w:sz w:val="24"/>
        </w:rPr>
        <w:t xml:space="preserve"> </w:t>
      </w:r>
      <w:r w:rsidR="004938AA" w:rsidRPr="00E66C26">
        <w:rPr>
          <w:rFonts w:ascii="Calibri" w:hAnsi="Calibri" w:cs="Calibri"/>
          <w:b/>
          <w:bCs/>
          <w:sz w:val="24"/>
        </w:rPr>
        <w:t xml:space="preserve">Nº 21, DE MAIO DE 2021, PUBLICADA NO </w:t>
      </w:r>
      <w:r w:rsidR="0020368D" w:rsidRPr="00E66C26">
        <w:rPr>
          <w:rFonts w:ascii="Calibri" w:hAnsi="Calibri" w:cs="Calibri"/>
          <w:b/>
          <w:bCs/>
          <w:sz w:val="24"/>
        </w:rPr>
        <w:t>DOU</w:t>
      </w:r>
      <w:r w:rsidR="004938AA" w:rsidRPr="00E66C26">
        <w:rPr>
          <w:rFonts w:ascii="Calibri" w:hAnsi="Calibri" w:cs="Calibri"/>
          <w:b/>
          <w:bCs/>
          <w:sz w:val="24"/>
        </w:rPr>
        <w:t xml:space="preserve"> EM 13 DE MAIO DE 2021, E Nº 35/SPG/MME, DE 18 DE OUTUBRO DE 2021, PUBLICADA NO DOU EM 25 DE OUTUBRO DE 2021</w:t>
      </w:r>
      <w:r w:rsidRPr="00E66C26">
        <w:rPr>
          <w:rFonts w:ascii="Calibri" w:hAnsi="Calibri" w:cs="Calibri"/>
          <w:b/>
          <w:sz w:val="24"/>
        </w:rPr>
        <w:t>, OU DE NORMA POSTERIOR QUE AS ALTEREM, SUBSTITUAM OU COMPLEMETEM, CONFORME APLICÁVEIS, SENDO OS RECURSOS CAPTADOS COM AS DEBÊNTURES APLICADOS INTEGRALMENTE NO PROJETO DE INVESTIMENTO.</w:t>
      </w:r>
    </w:p>
    <w:p w14:paraId="66A589C2" w14:textId="63B4125A" w:rsidR="00030DA6" w:rsidRPr="00E66C26" w:rsidRDefault="00030DA6" w:rsidP="0029198E">
      <w:pPr>
        <w:pStyle w:val="Body"/>
        <w:rPr>
          <w:rFonts w:ascii="Calibri" w:hAnsi="Calibri" w:cs="Calibri"/>
          <w:b/>
          <w:bCs/>
          <w:sz w:val="24"/>
        </w:rPr>
      </w:pPr>
      <w:r w:rsidRPr="00E66C26">
        <w:rPr>
          <w:rFonts w:ascii="Calibri" w:hAnsi="Calibri" w:cs="Calibri"/>
          <w:b/>
          <w:sz w:val="24"/>
        </w:rPr>
        <w:t>O INVESTIMENTO NAS DEBÊNTURES NÃO É ADEQUADO A INVESTIDORES QUE: (I) NÃO TENHAM PROFUNDO CONHECIMENTO DOS RISCOS ENVOLVIDOS NA OPERAÇÃO OU QUE NÃO TENHAM ACESSO A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EMPRESA DO SETOR PRIVADO E/OU DOS SETORES EM QUE A EMISSORA ATUA, EM PARTICULAR NA TRANSMISSÃO DE ENERGIA ELÉTRICA. PARA UMA AVALIAÇÃO ADEQUADA DOS RISCOS ASSOCIADOS AO INVESTIMENTO NAS DEBÊNTURES, OS INVESTIDORES DEVERÃO LER A SEÇÃO “FATORES DE RISCO RELACIONADOS À OFERTA E ÀS DEBÊNTURES”, DO PROSPECTO PRELIMINAR, BEM COMO O ITEM “4. FATORES DE RISCO” DO FORMULÁRIO DE REFERÊNCIA (CONFORME ABAIXO DEFINIDO) ANTES DE ACEITAR A OFERTA.</w:t>
      </w:r>
    </w:p>
    <w:p w14:paraId="0B96F306" w14:textId="33FE4EEF" w:rsidR="00417CB2" w:rsidRPr="00643349" w:rsidRDefault="004D7135" w:rsidP="00643349">
      <w:pPr>
        <w:pStyle w:val="Level1"/>
        <w:numPr>
          <w:ilvl w:val="0"/>
          <w:numId w:val="20"/>
        </w:numPr>
        <w:tabs>
          <w:tab w:val="clear" w:pos="680"/>
          <w:tab w:val="num" w:pos="426"/>
        </w:tabs>
        <w:rPr>
          <w:rFonts w:ascii="Calibri" w:hAnsi="Calibri" w:cs="Calibri"/>
          <w:caps/>
          <w:color w:val="203463"/>
          <w:sz w:val="28"/>
          <w:szCs w:val="28"/>
        </w:rPr>
      </w:pPr>
      <w:r w:rsidRPr="00643349">
        <w:rPr>
          <w:rFonts w:ascii="Calibri" w:hAnsi="Calibri" w:cs="Calibri"/>
          <w:caps/>
          <w:color w:val="203463"/>
          <w:sz w:val="28"/>
          <w:szCs w:val="28"/>
        </w:rPr>
        <w:t>AUTORIZAÇÃO</w:t>
      </w:r>
    </w:p>
    <w:p w14:paraId="3A68DE87" w14:textId="4888CE71" w:rsidR="00F53769" w:rsidRPr="00E66C26" w:rsidRDefault="00F53769" w:rsidP="00F53769">
      <w:pPr>
        <w:pStyle w:val="Level2"/>
        <w:rPr>
          <w:rFonts w:ascii="Calibri" w:hAnsi="Calibri" w:cs="Calibri"/>
          <w:sz w:val="24"/>
          <w:szCs w:val="24"/>
        </w:rPr>
      </w:pPr>
      <w:r w:rsidRPr="00E66C26">
        <w:rPr>
          <w:rFonts w:ascii="Calibri" w:hAnsi="Calibri" w:cs="Calibri"/>
          <w:sz w:val="24"/>
          <w:szCs w:val="24"/>
        </w:rPr>
        <w:t xml:space="preserve">A (i) </w:t>
      </w:r>
      <w:r w:rsidR="0020368D" w:rsidRPr="00E66C26">
        <w:rPr>
          <w:rFonts w:ascii="Calibri" w:hAnsi="Calibri" w:cs="Calibri"/>
          <w:sz w:val="24"/>
          <w:szCs w:val="24"/>
        </w:rPr>
        <w:t>e</w:t>
      </w:r>
      <w:r w:rsidRPr="00E66C26">
        <w:rPr>
          <w:rFonts w:ascii="Calibri" w:hAnsi="Calibri" w:cs="Calibri"/>
          <w:sz w:val="24"/>
          <w:szCs w:val="24"/>
        </w:rPr>
        <w:t>missão das Debêntures, nos termos da Lei n.º 6.404, de 15 de dezembro de 1976, conforme alterada (“</w:t>
      </w:r>
      <w:r w:rsidRPr="00E66C26">
        <w:rPr>
          <w:rFonts w:ascii="Calibri" w:hAnsi="Calibri" w:cs="Calibri"/>
          <w:sz w:val="24"/>
          <w:szCs w:val="24"/>
          <w:u w:val="single"/>
        </w:rPr>
        <w:t>Lei das Sociedades por Ações</w:t>
      </w:r>
      <w:r w:rsidRPr="00E66C26">
        <w:rPr>
          <w:rFonts w:ascii="Calibri" w:hAnsi="Calibri" w:cs="Calibri"/>
          <w:sz w:val="24"/>
          <w:szCs w:val="24"/>
        </w:rPr>
        <w:t>)</w:t>
      </w:r>
      <w:r w:rsidR="00FE0353" w:rsidRPr="00E66C26">
        <w:rPr>
          <w:rFonts w:ascii="Calibri" w:hAnsi="Calibri" w:cs="Calibri"/>
          <w:sz w:val="24"/>
          <w:szCs w:val="24"/>
        </w:rPr>
        <w:t>;</w:t>
      </w:r>
      <w:r w:rsidRPr="00E66C26">
        <w:rPr>
          <w:rFonts w:ascii="Calibri" w:hAnsi="Calibri" w:cs="Calibri"/>
          <w:sz w:val="24"/>
          <w:szCs w:val="24"/>
        </w:rPr>
        <w:t xml:space="preserve"> (</w:t>
      </w:r>
      <w:proofErr w:type="spellStart"/>
      <w:r w:rsidRPr="00E66C26">
        <w:rPr>
          <w:rFonts w:ascii="Calibri" w:hAnsi="Calibri" w:cs="Calibri"/>
          <w:sz w:val="24"/>
          <w:szCs w:val="24"/>
        </w:rPr>
        <w:t>ii</w:t>
      </w:r>
      <w:proofErr w:type="spellEnd"/>
      <w:r w:rsidRPr="00E66C26">
        <w:rPr>
          <w:rFonts w:ascii="Calibri" w:hAnsi="Calibri" w:cs="Calibri"/>
          <w:sz w:val="24"/>
          <w:szCs w:val="24"/>
        </w:rPr>
        <w:t xml:space="preserve">) </w:t>
      </w:r>
      <w:r w:rsidR="00FE0353" w:rsidRPr="00E66C26">
        <w:rPr>
          <w:rFonts w:ascii="Calibri" w:hAnsi="Calibri" w:cs="Calibri"/>
          <w:sz w:val="24"/>
          <w:szCs w:val="24"/>
        </w:rPr>
        <w:t>a</w:t>
      </w:r>
      <w:r w:rsidRPr="00E66C26">
        <w:rPr>
          <w:rFonts w:ascii="Calibri" w:hAnsi="Calibri" w:cs="Calibri"/>
          <w:sz w:val="24"/>
          <w:szCs w:val="24"/>
        </w:rPr>
        <w:t xml:space="preserve"> </w:t>
      </w:r>
      <w:r w:rsidR="0020368D" w:rsidRPr="00E66C26">
        <w:rPr>
          <w:rFonts w:ascii="Calibri" w:hAnsi="Calibri" w:cs="Calibri"/>
          <w:sz w:val="24"/>
          <w:szCs w:val="24"/>
        </w:rPr>
        <w:t>o</w:t>
      </w:r>
      <w:r w:rsidRPr="00E66C26">
        <w:rPr>
          <w:rFonts w:ascii="Calibri" w:hAnsi="Calibri" w:cs="Calibri"/>
          <w:sz w:val="24"/>
          <w:szCs w:val="24"/>
        </w:rPr>
        <w:t xml:space="preserve">ferta </w:t>
      </w:r>
      <w:r w:rsidR="0020368D" w:rsidRPr="00E66C26">
        <w:rPr>
          <w:rFonts w:ascii="Calibri" w:hAnsi="Calibri" w:cs="Calibri"/>
          <w:sz w:val="24"/>
          <w:szCs w:val="24"/>
        </w:rPr>
        <w:t xml:space="preserve">pública de distribuição </w:t>
      </w:r>
      <w:r w:rsidRPr="00E66C26">
        <w:rPr>
          <w:rFonts w:ascii="Calibri" w:hAnsi="Calibri" w:cs="Calibri"/>
          <w:sz w:val="24"/>
          <w:szCs w:val="24"/>
        </w:rPr>
        <w:t>das Debêntures, nos termos da Lei n.º 6.385, de 7 de dezembro de 1976, conforme alterada (“</w:t>
      </w:r>
      <w:r w:rsidRPr="00E66C26">
        <w:rPr>
          <w:rFonts w:ascii="Calibri" w:hAnsi="Calibri" w:cs="Calibri"/>
          <w:sz w:val="24"/>
          <w:szCs w:val="24"/>
          <w:u w:val="single"/>
        </w:rPr>
        <w:t>Lei do Mercado de Valores Mobiliários</w:t>
      </w:r>
      <w:r w:rsidRPr="00E66C26">
        <w:rPr>
          <w:rFonts w:ascii="Calibri" w:hAnsi="Calibri" w:cs="Calibri"/>
          <w:sz w:val="24"/>
          <w:szCs w:val="24"/>
        </w:rPr>
        <w:t>”), da Instrução CVM 400, e das demais disposições legais e regulamentares aplicáveis</w:t>
      </w:r>
      <w:r w:rsidR="0020368D" w:rsidRPr="00E66C26">
        <w:rPr>
          <w:rFonts w:ascii="Calibri" w:hAnsi="Calibri" w:cs="Calibri"/>
          <w:sz w:val="24"/>
          <w:szCs w:val="24"/>
        </w:rPr>
        <w:t xml:space="preserve"> (“</w:t>
      </w:r>
      <w:r w:rsidR="0020368D" w:rsidRPr="00E66C26">
        <w:rPr>
          <w:rFonts w:ascii="Calibri" w:hAnsi="Calibri" w:cs="Calibri"/>
          <w:sz w:val="24"/>
          <w:szCs w:val="24"/>
          <w:u w:val="single"/>
        </w:rPr>
        <w:t>Oferta</w:t>
      </w:r>
      <w:r w:rsidR="0020368D" w:rsidRPr="00E66C26">
        <w:rPr>
          <w:rFonts w:ascii="Calibri" w:hAnsi="Calibri" w:cs="Calibri"/>
          <w:sz w:val="24"/>
          <w:szCs w:val="24"/>
        </w:rPr>
        <w:t>”)</w:t>
      </w:r>
      <w:r w:rsidRPr="00E66C26">
        <w:rPr>
          <w:rFonts w:ascii="Calibri" w:hAnsi="Calibri" w:cs="Calibri"/>
          <w:sz w:val="24"/>
          <w:szCs w:val="24"/>
        </w:rPr>
        <w:t>; e (</w:t>
      </w:r>
      <w:proofErr w:type="spellStart"/>
      <w:r w:rsidRPr="00E66C26">
        <w:rPr>
          <w:rFonts w:ascii="Calibri" w:hAnsi="Calibri" w:cs="Calibri"/>
          <w:sz w:val="24"/>
          <w:szCs w:val="24"/>
        </w:rPr>
        <w:t>iii</w:t>
      </w:r>
      <w:proofErr w:type="spellEnd"/>
      <w:r w:rsidRPr="00E66C26">
        <w:rPr>
          <w:rFonts w:ascii="Calibri" w:hAnsi="Calibri" w:cs="Calibri"/>
          <w:sz w:val="24"/>
          <w:szCs w:val="24"/>
        </w:rPr>
        <w:t>) a celebração da Escritura de Emissão, foram</w:t>
      </w:r>
      <w:r w:rsidR="00B33D36" w:rsidRPr="00E66C26">
        <w:rPr>
          <w:rFonts w:ascii="Calibri" w:hAnsi="Calibri" w:cs="Calibri"/>
          <w:sz w:val="24"/>
          <w:szCs w:val="24"/>
        </w:rPr>
        <w:t xml:space="preserve"> </w:t>
      </w:r>
      <w:r w:rsidRPr="00E66C26">
        <w:rPr>
          <w:rFonts w:ascii="Calibri" w:hAnsi="Calibri" w:cs="Calibri"/>
          <w:sz w:val="24"/>
          <w:szCs w:val="24"/>
        </w:rPr>
        <w:t xml:space="preserve">realizadas com base nas deliberações da Reunião do Conselho de Administração da Emissora realizada em </w:t>
      </w:r>
      <w:r w:rsidR="0020368D" w:rsidRPr="00E66C26">
        <w:rPr>
          <w:rFonts w:ascii="Calibri" w:hAnsi="Calibri" w:cs="Calibri"/>
          <w:sz w:val="24"/>
          <w:szCs w:val="24"/>
        </w:rPr>
        <w:t xml:space="preserve">13 </w:t>
      </w:r>
      <w:r w:rsidRPr="00E66C26">
        <w:rPr>
          <w:rFonts w:ascii="Calibri" w:hAnsi="Calibri" w:cs="Calibri"/>
          <w:sz w:val="24"/>
          <w:szCs w:val="24"/>
        </w:rPr>
        <w:t xml:space="preserve">de </w:t>
      </w:r>
      <w:r w:rsidR="0020368D" w:rsidRPr="00E66C26">
        <w:rPr>
          <w:rFonts w:ascii="Calibri" w:hAnsi="Calibri" w:cs="Calibri"/>
          <w:sz w:val="24"/>
          <w:szCs w:val="24"/>
        </w:rPr>
        <w:t xml:space="preserve">dezembro </w:t>
      </w:r>
      <w:r w:rsidRPr="00E66C26">
        <w:rPr>
          <w:rFonts w:ascii="Calibri" w:hAnsi="Calibri" w:cs="Calibri"/>
          <w:sz w:val="24"/>
          <w:szCs w:val="24"/>
        </w:rPr>
        <w:t>de 2021 (“</w:t>
      </w:r>
      <w:r w:rsidRPr="00E66C26">
        <w:rPr>
          <w:rFonts w:ascii="Calibri" w:hAnsi="Calibri" w:cs="Calibri"/>
          <w:sz w:val="24"/>
          <w:szCs w:val="24"/>
          <w:u w:val="single"/>
        </w:rPr>
        <w:t>RCA</w:t>
      </w:r>
      <w:r w:rsidRPr="00E66C26">
        <w:rPr>
          <w:rFonts w:ascii="Calibri" w:hAnsi="Calibri" w:cs="Calibri"/>
          <w:sz w:val="24"/>
          <w:szCs w:val="24"/>
        </w:rPr>
        <w:t>”).</w:t>
      </w:r>
    </w:p>
    <w:p w14:paraId="4A1A7153" w14:textId="66CCD284" w:rsidR="00417CB2" w:rsidRPr="00E66C26" w:rsidRDefault="00F53769" w:rsidP="00F53769">
      <w:pPr>
        <w:pStyle w:val="Level2"/>
        <w:rPr>
          <w:rFonts w:ascii="Calibri" w:hAnsi="Calibri" w:cs="Calibri"/>
          <w:sz w:val="24"/>
          <w:szCs w:val="24"/>
        </w:rPr>
      </w:pPr>
      <w:r w:rsidRPr="00E66C26">
        <w:rPr>
          <w:rFonts w:ascii="Calibri" w:hAnsi="Calibri" w:cs="Calibri"/>
          <w:sz w:val="24"/>
        </w:rPr>
        <w:t xml:space="preserve">Por meio da RCA, a Diretoria da Emissora também foi autorizada a: (i) praticar todos os atos necessários à efetivação das deliberações consubstanciadas na RCA, incluindo a celebração de todos os documentos indispensáveis à concretização da Emissão, dentre os quais o aditamento </w:t>
      </w:r>
      <w:r w:rsidRPr="00E66C26">
        <w:rPr>
          <w:rFonts w:ascii="Calibri" w:hAnsi="Calibri" w:cs="Calibri"/>
          <w:sz w:val="24"/>
        </w:rPr>
        <w:lastRenderedPageBreak/>
        <w:t xml:space="preserve">a Escritura de Emissão que ratificará o resultado do Procedimento de </w:t>
      </w:r>
      <w:proofErr w:type="spellStart"/>
      <w:r w:rsidRPr="00E66C26">
        <w:rPr>
          <w:rFonts w:ascii="Calibri" w:hAnsi="Calibri" w:cs="Calibri"/>
          <w:i/>
          <w:iCs/>
          <w:sz w:val="24"/>
        </w:rPr>
        <w:t>Bookbuilding</w:t>
      </w:r>
      <w:proofErr w:type="spellEnd"/>
      <w:r w:rsidRPr="00E66C26">
        <w:rPr>
          <w:rFonts w:ascii="Calibri" w:hAnsi="Calibri" w:cs="Calibri"/>
          <w:sz w:val="24"/>
        </w:rPr>
        <w:t xml:space="preserve"> (conforme abaixo definido)</w:t>
      </w:r>
      <w:r w:rsidR="00D739FD">
        <w:rPr>
          <w:rFonts w:ascii="Calibri" w:hAnsi="Calibri" w:cs="Calibri"/>
          <w:sz w:val="24"/>
        </w:rPr>
        <w:t xml:space="preserve">, </w:t>
      </w:r>
      <w:r w:rsidRPr="00E66C26">
        <w:rPr>
          <w:rFonts w:ascii="Calibri" w:hAnsi="Calibri" w:cs="Calibri"/>
          <w:sz w:val="24"/>
        </w:rPr>
        <w:t>e, se aplicável, contemplará o aumento do valor da Oferta mediante a colocação das Debêntures Adicionais (conforme abaixo definidas); e (</w:t>
      </w:r>
      <w:proofErr w:type="spellStart"/>
      <w:r w:rsidRPr="00E66C26">
        <w:rPr>
          <w:rFonts w:ascii="Calibri" w:hAnsi="Calibri" w:cs="Calibri"/>
          <w:sz w:val="24"/>
        </w:rPr>
        <w:t>ii</w:t>
      </w:r>
      <w:proofErr w:type="spellEnd"/>
      <w:r w:rsidRPr="00E66C26">
        <w:rPr>
          <w:rFonts w:ascii="Calibri" w:hAnsi="Calibri" w:cs="Calibri"/>
          <w:sz w:val="24"/>
        </w:rPr>
        <w:t xml:space="preserve">) formalizar e efetivar a contratação do Coordenador Líder, do Agente Fiduciário e dos demais prestadores de serviços necessários à implementação da Emissão e da Oferta, tais como </w:t>
      </w:r>
      <w:proofErr w:type="spellStart"/>
      <w:r w:rsidRPr="00E66C26">
        <w:rPr>
          <w:rFonts w:ascii="Calibri" w:hAnsi="Calibri" w:cs="Calibri"/>
          <w:sz w:val="24"/>
        </w:rPr>
        <w:t>Escriturador</w:t>
      </w:r>
      <w:proofErr w:type="spellEnd"/>
      <w:r w:rsidRPr="00E66C26">
        <w:rPr>
          <w:rFonts w:ascii="Calibri" w:hAnsi="Calibri" w:cs="Calibri"/>
          <w:sz w:val="24"/>
        </w:rPr>
        <w:t xml:space="preserve"> (conforme abaixo definido), </w:t>
      </w:r>
      <w:r w:rsidR="00940C98" w:rsidRPr="00E66C26">
        <w:rPr>
          <w:rFonts w:ascii="Calibri" w:hAnsi="Calibri" w:cs="Calibri"/>
          <w:sz w:val="24"/>
        </w:rPr>
        <w:t>Agente de Liquidação</w:t>
      </w:r>
      <w:r w:rsidRPr="00E66C26">
        <w:rPr>
          <w:rFonts w:ascii="Calibri" w:hAnsi="Calibri" w:cs="Calibri"/>
          <w:sz w:val="24"/>
        </w:rPr>
        <w:t xml:space="preserve"> (conforme abaixo definido), a B3 (conforme abaixo definido), dentre outros, podendo, para tanto, negociar e assinar os respectivos instrumentos de contratação e eventuais alterações em aditamentos</w:t>
      </w:r>
      <w:r w:rsidR="00971125" w:rsidRPr="00E66C26">
        <w:rPr>
          <w:rFonts w:ascii="Calibri" w:hAnsi="Calibri" w:cs="Calibri"/>
          <w:sz w:val="24"/>
        </w:rPr>
        <w:t>.</w:t>
      </w:r>
    </w:p>
    <w:p w14:paraId="3A08C1AF" w14:textId="29A1D95F" w:rsidR="00490A83" w:rsidRPr="00643349" w:rsidRDefault="00F53769" w:rsidP="00643349">
      <w:pPr>
        <w:pStyle w:val="Level1"/>
        <w:numPr>
          <w:ilvl w:val="0"/>
          <w:numId w:val="20"/>
        </w:numPr>
        <w:tabs>
          <w:tab w:val="clear" w:pos="680"/>
          <w:tab w:val="num" w:pos="426"/>
        </w:tabs>
        <w:rPr>
          <w:rFonts w:ascii="Calibri" w:hAnsi="Calibri" w:cs="Calibri"/>
          <w:caps/>
          <w:color w:val="203463"/>
          <w:sz w:val="28"/>
          <w:szCs w:val="28"/>
        </w:rPr>
      </w:pPr>
      <w:bookmarkStart w:id="3" w:name="_Ref15978656"/>
      <w:r w:rsidRPr="00643349">
        <w:rPr>
          <w:rFonts w:ascii="Calibri" w:hAnsi="Calibri" w:cs="Calibri"/>
          <w:caps/>
          <w:color w:val="203463"/>
          <w:sz w:val="28"/>
          <w:szCs w:val="28"/>
        </w:rPr>
        <w:t>REQUISITOS</w:t>
      </w:r>
      <w:bookmarkEnd w:id="3"/>
    </w:p>
    <w:p w14:paraId="7CFB2AB7" w14:textId="6EE607E3" w:rsidR="00417CB2" w:rsidRPr="00E66C26" w:rsidRDefault="00490A83" w:rsidP="00F53769">
      <w:pPr>
        <w:pStyle w:val="Body"/>
        <w:numPr>
          <w:ilvl w:val="1"/>
          <w:numId w:val="49"/>
        </w:numPr>
        <w:rPr>
          <w:rFonts w:ascii="Calibri" w:hAnsi="Calibri" w:cs="Calibri"/>
          <w:sz w:val="24"/>
        </w:rPr>
      </w:pPr>
      <w:r w:rsidRPr="00E66C26">
        <w:rPr>
          <w:rFonts w:ascii="Calibri" w:hAnsi="Calibri" w:cs="Calibri"/>
          <w:sz w:val="24"/>
        </w:rPr>
        <w:t>A Emissão e a Oferta serão realizadas com observância dos seguintes requisitos:</w:t>
      </w:r>
    </w:p>
    <w:p w14:paraId="4AA2AE02" w14:textId="0CBA86A1" w:rsidR="00490A83" w:rsidRPr="00E66C26" w:rsidRDefault="00490A83" w:rsidP="00F53769">
      <w:pPr>
        <w:pStyle w:val="Level2"/>
        <w:numPr>
          <w:ilvl w:val="2"/>
          <w:numId w:val="49"/>
        </w:numPr>
        <w:ind w:left="1134" w:firstLine="0"/>
        <w:rPr>
          <w:rFonts w:ascii="Calibri" w:hAnsi="Calibri" w:cs="Calibri"/>
          <w:b/>
          <w:sz w:val="24"/>
          <w:szCs w:val="24"/>
        </w:rPr>
      </w:pPr>
      <w:bookmarkStart w:id="4" w:name="_Toc428328008"/>
      <w:r w:rsidRPr="00E66C26">
        <w:rPr>
          <w:rFonts w:ascii="Calibri" w:hAnsi="Calibri" w:cs="Calibri"/>
          <w:b/>
          <w:sz w:val="24"/>
          <w:szCs w:val="24"/>
        </w:rPr>
        <w:t xml:space="preserve">Arquivamento e Publicação </w:t>
      </w:r>
      <w:bookmarkEnd w:id="4"/>
      <w:r w:rsidR="00F53769" w:rsidRPr="00E66C26">
        <w:rPr>
          <w:rFonts w:ascii="Calibri" w:hAnsi="Calibri" w:cs="Calibri"/>
          <w:b/>
          <w:sz w:val="24"/>
          <w:szCs w:val="24"/>
        </w:rPr>
        <w:t xml:space="preserve">dos atos societários. </w:t>
      </w:r>
      <w:r w:rsidR="00F53769" w:rsidRPr="00E66C26">
        <w:rPr>
          <w:rFonts w:ascii="Calibri" w:hAnsi="Calibri" w:cs="Calibri"/>
          <w:sz w:val="24"/>
        </w:rPr>
        <w:t>Nos termos do artigo 62, inciso I, e 289 da Lei das Sociedades por Ações</w:t>
      </w:r>
      <w:bookmarkStart w:id="5" w:name="_Ref276509904"/>
      <w:r w:rsidR="00F53769" w:rsidRPr="00E66C26">
        <w:rPr>
          <w:rFonts w:ascii="Calibri" w:hAnsi="Calibri" w:cs="Calibri"/>
          <w:sz w:val="24"/>
        </w:rPr>
        <w:t xml:space="preserve"> a ata da RCA da Emissora </w:t>
      </w:r>
      <w:r w:rsidR="000C5040">
        <w:rPr>
          <w:rFonts w:ascii="Calibri" w:hAnsi="Calibri" w:cs="Calibri"/>
          <w:sz w:val="24"/>
        </w:rPr>
        <w:t>foi protocolada</w:t>
      </w:r>
      <w:r w:rsidR="00F53769" w:rsidRPr="00E66C26">
        <w:rPr>
          <w:rFonts w:ascii="Calibri" w:hAnsi="Calibri" w:cs="Calibri"/>
          <w:sz w:val="24"/>
        </w:rPr>
        <w:t xml:space="preserve"> na Junta Comercial do Estado de São Paulo (“</w:t>
      </w:r>
      <w:r w:rsidR="00F53769" w:rsidRPr="00E66C26">
        <w:rPr>
          <w:rFonts w:ascii="Calibri" w:hAnsi="Calibri" w:cs="Calibri"/>
          <w:sz w:val="24"/>
          <w:u w:val="single"/>
        </w:rPr>
        <w:t>JUCESP</w:t>
      </w:r>
      <w:r w:rsidR="00F53769" w:rsidRPr="00E66C26">
        <w:rPr>
          <w:rFonts w:ascii="Calibri" w:hAnsi="Calibri" w:cs="Calibri"/>
          <w:sz w:val="24"/>
        </w:rPr>
        <w:t>”)</w:t>
      </w:r>
      <w:r w:rsidR="000C5040" w:rsidRPr="000C5040">
        <w:rPr>
          <w:rFonts w:ascii="Calibri" w:hAnsi="Calibri" w:cs="Calibri"/>
          <w:sz w:val="24"/>
        </w:rPr>
        <w:t xml:space="preserve"> </w:t>
      </w:r>
      <w:r w:rsidR="000C5040">
        <w:rPr>
          <w:rFonts w:ascii="Calibri" w:hAnsi="Calibri" w:cs="Calibri"/>
          <w:sz w:val="24"/>
        </w:rPr>
        <w:t>em 13 de dezembro de 2021, sob o n° 2.269.203/21-5</w:t>
      </w:r>
      <w:r w:rsidR="00F53769" w:rsidRPr="00E66C26">
        <w:rPr>
          <w:rFonts w:ascii="Calibri" w:hAnsi="Calibri" w:cs="Calibri"/>
          <w:sz w:val="24"/>
        </w:rPr>
        <w:t xml:space="preserve"> e será publicada no Diário Oficial do Estado de São Paulo (“</w:t>
      </w:r>
      <w:r w:rsidR="00F53769" w:rsidRPr="00E66C26">
        <w:rPr>
          <w:rFonts w:ascii="Calibri" w:hAnsi="Calibri" w:cs="Calibri"/>
          <w:sz w:val="24"/>
          <w:u w:val="single"/>
        </w:rPr>
        <w:t>DOESP</w:t>
      </w:r>
      <w:r w:rsidR="00F53769" w:rsidRPr="00E66C26">
        <w:rPr>
          <w:rFonts w:ascii="Calibri" w:hAnsi="Calibri" w:cs="Calibri"/>
          <w:sz w:val="24"/>
        </w:rPr>
        <w:t xml:space="preserve">”) e no jornal </w:t>
      </w:r>
      <w:bookmarkEnd w:id="5"/>
      <w:r w:rsidR="00F53769" w:rsidRPr="00E66C26">
        <w:rPr>
          <w:rFonts w:ascii="Calibri" w:hAnsi="Calibri" w:cs="Calibri"/>
          <w:sz w:val="24"/>
        </w:rPr>
        <w:t>“Valor Econômico”</w:t>
      </w:r>
      <w:r w:rsidR="00C039F0">
        <w:rPr>
          <w:rFonts w:ascii="Calibri" w:hAnsi="Calibri" w:cs="Calibri"/>
          <w:sz w:val="24"/>
        </w:rPr>
        <w:t>, em 14 de dezembro de 2021</w:t>
      </w:r>
      <w:r w:rsidR="00F53769" w:rsidRPr="00E66C26">
        <w:rPr>
          <w:rFonts w:ascii="Calibri" w:hAnsi="Calibri" w:cs="Calibri"/>
          <w:sz w:val="24"/>
        </w:rPr>
        <w:t xml:space="preserve"> (“</w:t>
      </w:r>
      <w:r w:rsidR="00F53769" w:rsidRPr="00E66C26">
        <w:rPr>
          <w:rFonts w:ascii="Calibri" w:hAnsi="Calibri" w:cs="Calibri"/>
          <w:sz w:val="24"/>
          <w:u w:val="single"/>
        </w:rPr>
        <w:t>Jornais de Publicação</w:t>
      </w:r>
      <w:r w:rsidR="00F53769" w:rsidRPr="00E66C26">
        <w:rPr>
          <w:rFonts w:ascii="Calibri" w:hAnsi="Calibri" w:cs="Calibri"/>
          <w:sz w:val="24"/>
        </w:rPr>
        <w:t>”).</w:t>
      </w:r>
    </w:p>
    <w:p w14:paraId="086864C3" w14:textId="79AB7403" w:rsidR="00F53769" w:rsidRPr="00E66C26" w:rsidRDefault="00F53769" w:rsidP="00643349">
      <w:pPr>
        <w:pStyle w:val="Level2"/>
        <w:numPr>
          <w:ilvl w:val="3"/>
          <w:numId w:val="49"/>
        </w:numPr>
        <w:tabs>
          <w:tab w:val="left" w:pos="3119"/>
        </w:tabs>
        <w:ind w:left="1985" w:firstLine="0"/>
        <w:rPr>
          <w:rFonts w:ascii="Calibri" w:hAnsi="Calibri" w:cs="Calibri"/>
          <w:bCs/>
          <w:sz w:val="24"/>
          <w:szCs w:val="24"/>
        </w:rPr>
      </w:pPr>
      <w:r w:rsidRPr="00E66C26">
        <w:rPr>
          <w:rFonts w:ascii="Calibri" w:hAnsi="Calibri" w:cs="Calibri"/>
          <w:bCs/>
          <w:sz w:val="24"/>
          <w:szCs w:val="24"/>
        </w:rPr>
        <w:t>A Emissora deverá, após o registro da ata da RCA, enviar ao Agente Fiduciário uma cópia eletrônica (PDF), contendo a chancela de inscrição na JUCESP, no prazo de 5 (cinco) Dias Úteis, sendo certo que o respectivo protocolo na JUCESP deverá ocorrer em até 5 (cinco) Dias Úteis da data de sua assinatura.</w:t>
      </w:r>
    </w:p>
    <w:p w14:paraId="1C135BDE" w14:textId="41A446AE" w:rsidR="00F53769" w:rsidRPr="00E66C26" w:rsidRDefault="00F53769" w:rsidP="00F53769">
      <w:pPr>
        <w:pStyle w:val="Level2"/>
        <w:numPr>
          <w:ilvl w:val="2"/>
          <w:numId w:val="49"/>
        </w:numPr>
        <w:ind w:left="1134" w:firstLine="0"/>
        <w:rPr>
          <w:rFonts w:ascii="Calibri" w:hAnsi="Calibri" w:cs="Calibri"/>
          <w:b/>
          <w:sz w:val="24"/>
          <w:szCs w:val="24"/>
        </w:rPr>
      </w:pPr>
      <w:r w:rsidRPr="00E66C26">
        <w:rPr>
          <w:rFonts w:ascii="Calibri" w:hAnsi="Calibri" w:cs="Calibri"/>
          <w:b/>
          <w:sz w:val="24"/>
          <w:szCs w:val="24"/>
        </w:rPr>
        <w:t xml:space="preserve">Inscrição e registro da Escritura de Emissão. </w:t>
      </w:r>
      <w:r w:rsidR="00052A10" w:rsidRPr="00E66C26">
        <w:rPr>
          <w:rFonts w:ascii="Calibri" w:hAnsi="Calibri" w:cs="Calibri"/>
          <w:bCs/>
          <w:sz w:val="24"/>
          <w:szCs w:val="24"/>
        </w:rPr>
        <w:t>Nos termos do artigo 62, inciso II e parágrafo 3º, da Lei das Sociedades por Ações, a Escritura de Emissão e seus aditamentos serão inscritos na JUCESP.</w:t>
      </w:r>
      <w:r w:rsidR="000C5040">
        <w:rPr>
          <w:rFonts w:ascii="Calibri" w:hAnsi="Calibri" w:cs="Calibri"/>
          <w:bCs/>
          <w:sz w:val="24"/>
          <w:szCs w:val="24"/>
        </w:rPr>
        <w:t xml:space="preserve"> </w:t>
      </w:r>
      <w:r w:rsidR="000C5040">
        <w:rPr>
          <w:rFonts w:ascii="Calibri" w:hAnsi="Calibri" w:cs="Calibri"/>
          <w:bCs/>
          <w:sz w:val="24"/>
        </w:rPr>
        <w:t xml:space="preserve">A Escritura de Emissão foi protocolada na JUCESP </w:t>
      </w:r>
      <w:r w:rsidR="000C5040">
        <w:rPr>
          <w:rFonts w:ascii="Calibri" w:hAnsi="Calibri" w:cs="Calibri"/>
          <w:sz w:val="24"/>
        </w:rPr>
        <w:t xml:space="preserve">em 13 de dezembro de 2021, </w:t>
      </w:r>
      <w:r w:rsidR="000C5040">
        <w:rPr>
          <w:rFonts w:ascii="Calibri" w:hAnsi="Calibri" w:cs="Calibri"/>
          <w:bCs/>
          <w:sz w:val="24"/>
        </w:rPr>
        <w:t xml:space="preserve">sob o </w:t>
      </w:r>
      <w:r w:rsidR="000C5040">
        <w:rPr>
          <w:rFonts w:ascii="Calibri" w:hAnsi="Calibri" w:cs="Calibri"/>
          <w:sz w:val="24"/>
        </w:rPr>
        <w:t>n° 2.269.191/21-3.</w:t>
      </w:r>
    </w:p>
    <w:p w14:paraId="790DE83F" w14:textId="31B6DD73" w:rsidR="00052A10" w:rsidRPr="00E66C26" w:rsidRDefault="00052A10" w:rsidP="002D48FB">
      <w:pPr>
        <w:pStyle w:val="Level2"/>
        <w:numPr>
          <w:ilvl w:val="3"/>
          <w:numId w:val="49"/>
        </w:numPr>
        <w:tabs>
          <w:tab w:val="left" w:pos="3119"/>
        </w:tabs>
        <w:ind w:left="1985" w:firstLine="0"/>
        <w:rPr>
          <w:rFonts w:ascii="Calibri" w:hAnsi="Calibri" w:cs="Calibri"/>
          <w:bCs/>
          <w:sz w:val="24"/>
          <w:szCs w:val="24"/>
        </w:rPr>
      </w:pPr>
      <w:r w:rsidRPr="00E66C26">
        <w:rPr>
          <w:rFonts w:ascii="Calibri" w:hAnsi="Calibri" w:cs="Calibri"/>
          <w:bCs/>
          <w:sz w:val="24"/>
          <w:szCs w:val="24"/>
        </w:rPr>
        <w:t xml:space="preserve">A Emissora se compromete a enviar ao Agente Fiduciário 1 (uma) via eletrônica (PDF), contendo a chancela de inscrição na JUCESP, ou 1 (uma) via física, comprovando o arquivamento na JUCESP, conforme aplicável, da Escritura de Emissão e eventuais aditamentos devidamente registrados na JUCESP, no prazo de até 5 (cinco) Dias Úteis após a obtenção dos referidos registros, sendo certo que o respectivo protocolo </w:t>
      </w:r>
      <w:r w:rsidRPr="00E66C26">
        <w:rPr>
          <w:rFonts w:ascii="Calibri" w:hAnsi="Calibri" w:cs="Calibri"/>
          <w:bCs/>
          <w:sz w:val="24"/>
          <w:szCs w:val="24"/>
        </w:rPr>
        <w:lastRenderedPageBreak/>
        <w:t>na JUCESP deverá ocorrer em até 5 (cinco) Dias Úteis da data de assinatura da Escritura de Emissão e eventuais aditamentos.</w:t>
      </w:r>
    </w:p>
    <w:p w14:paraId="4F5A3FBF" w14:textId="7433EF86" w:rsidR="00052A10" w:rsidRPr="00E66C26" w:rsidRDefault="00052A10" w:rsidP="002D48FB">
      <w:pPr>
        <w:pStyle w:val="Level2"/>
        <w:numPr>
          <w:ilvl w:val="3"/>
          <w:numId w:val="49"/>
        </w:numPr>
        <w:tabs>
          <w:tab w:val="left" w:pos="3119"/>
        </w:tabs>
        <w:ind w:left="1985" w:firstLine="0"/>
        <w:rPr>
          <w:rFonts w:ascii="Calibri" w:hAnsi="Calibri" w:cs="Calibri"/>
          <w:bCs/>
          <w:sz w:val="24"/>
          <w:szCs w:val="24"/>
        </w:rPr>
      </w:pPr>
      <w:r w:rsidRPr="00E66C26">
        <w:rPr>
          <w:rFonts w:ascii="Calibri" w:hAnsi="Calibri" w:cs="Calibri"/>
          <w:bCs/>
          <w:sz w:val="24"/>
          <w:szCs w:val="24"/>
        </w:rPr>
        <w:t>Qualquer aditamento à Escritura de Emissão deverá conter, em seu anexo, a versão consolidada dos termos e condições da Escritura, contemplando as alterações realizadas.</w:t>
      </w:r>
    </w:p>
    <w:p w14:paraId="414B3E8B" w14:textId="0ABF7E59" w:rsidR="00052A10" w:rsidRPr="00E66C26" w:rsidRDefault="00052A10" w:rsidP="00052A10">
      <w:pPr>
        <w:pStyle w:val="Level2"/>
        <w:numPr>
          <w:ilvl w:val="2"/>
          <w:numId w:val="49"/>
        </w:numPr>
        <w:ind w:left="1134" w:firstLine="0"/>
        <w:rPr>
          <w:rFonts w:ascii="Calibri" w:hAnsi="Calibri" w:cs="Calibri"/>
          <w:b/>
          <w:sz w:val="24"/>
          <w:szCs w:val="24"/>
        </w:rPr>
      </w:pPr>
      <w:bookmarkStart w:id="6" w:name="_Ref201729546"/>
      <w:r w:rsidRPr="00E66C26">
        <w:rPr>
          <w:rFonts w:ascii="Calibri" w:hAnsi="Calibri" w:cs="Calibri"/>
          <w:b/>
          <w:bCs/>
          <w:sz w:val="24"/>
        </w:rPr>
        <w:t>Depósito para distribuição.</w:t>
      </w:r>
      <w:r w:rsidRPr="00E66C26">
        <w:rPr>
          <w:rFonts w:ascii="Calibri" w:hAnsi="Calibri" w:cs="Calibri"/>
          <w:sz w:val="24"/>
        </w:rPr>
        <w:t xml:space="preserve"> </w:t>
      </w:r>
      <w:bookmarkEnd w:id="6"/>
      <w:r w:rsidRPr="00E66C26">
        <w:rPr>
          <w:rFonts w:ascii="Calibri" w:hAnsi="Calibri" w:cs="Calibri"/>
          <w:sz w:val="24"/>
        </w:rPr>
        <w:t>As Debêntures serão depositadas para distribuição no mercado primário por meio do MDA – Módulo de Distribuição de Ativos (“</w:t>
      </w:r>
      <w:r w:rsidRPr="00E66C26">
        <w:rPr>
          <w:rFonts w:ascii="Calibri" w:hAnsi="Calibri" w:cs="Calibri"/>
          <w:sz w:val="24"/>
          <w:u w:val="single"/>
        </w:rPr>
        <w:t>MDA</w:t>
      </w:r>
      <w:r w:rsidRPr="00E66C26">
        <w:rPr>
          <w:rFonts w:ascii="Calibri" w:hAnsi="Calibri" w:cs="Calibri"/>
          <w:sz w:val="24"/>
        </w:rPr>
        <w:t>”), administrado e operacionalizado pela B3 S.A – Brasil, Bolsa, Balcão – Balcão B3 (“</w:t>
      </w:r>
      <w:r w:rsidRPr="00E66C26">
        <w:rPr>
          <w:rFonts w:ascii="Calibri" w:hAnsi="Calibri" w:cs="Calibri"/>
          <w:sz w:val="24"/>
          <w:u w:val="single"/>
        </w:rPr>
        <w:t>B3</w:t>
      </w:r>
      <w:r w:rsidRPr="00E66C26">
        <w:rPr>
          <w:rFonts w:ascii="Calibri" w:hAnsi="Calibri" w:cs="Calibri"/>
          <w:sz w:val="24"/>
        </w:rPr>
        <w:t>”), sendo a distribuição das Debêntures liquidada financeiramente por meio da B3.</w:t>
      </w:r>
    </w:p>
    <w:p w14:paraId="6F5EE263" w14:textId="1921B537" w:rsidR="00052A10" w:rsidRPr="00E66C26" w:rsidRDefault="00052A10" w:rsidP="00052A10">
      <w:pPr>
        <w:pStyle w:val="Level2"/>
        <w:numPr>
          <w:ilvl w:val="2"/>
          <w:numId w:val="49"/>
        </w:numPr>
        <w:ind w:left="1134" w:firstLine="0"/>
        <w:rPr>
          <w:rFonts w:ascii="Calibri" w:hAnsi="Calibri" w:cs="Calibri"/>
          <w:b/>
          <w:sz w:val="24"/>
          <w:szCs w:val="24"/>
        </w:rPr>
      </w:pPr>
      <w:r w:rsidRPr="00E66C26">
        <w:rPr>
          <w:rFonts w:ascii="Calibri" w:hAnsi="Calibri" w:cs="Calibri"/>
          <w:b/>
          <w:sz w:val="24"/>
          <w:szCs w:val="24"/>
        </w:rPr>
        <w:t xml:space="preserve">Depósito para negociação e custódia eletrônica. </w:t>
      </w:r>
      <w:r w:rsidRPr="00E66C26">
        <w:rPr>
          <w:rFonts w:ascii="Calibri" w:hAnsi="Calibri" w:cs="Calibri"/>
          <w:bCs/>
          <w:sz w:val="24"/>
          <w:szCs w:val="24"/>
        </w:rPr>
        <w:t>As Debêntures serão depositadas para negociação no mercado secundário por meio do CETIP21 – Títulos e Valores Mobiliários (“</w:t>
      </w:r>
      <w:r w:rsidRPr="00E66C26">
        <w:rPr>
          <w:rFonts w:ascii="Calibri" w:hAnsi="Calibri" w:cs="Calibri"/>
          <w:bCs/>
          <w:sz w:val="24"/>
          <w:szCs w:val="24"/>
          <w:u w:val="single"/>
        </w:rPr>
        <w:t>CETIP21</w:t>
      </w:r>
      <w:r w:rsidRPr="00E66C26">
        <w:rPr>
          <w:rFonts w:ascii="Calibri" w:hAnsi="Calibri" w:cs="Calibri"/>
          <w:bCs/>
          <w:sz w:val="24"/>
          <w:szCs w:val="24"/>
        </w:rPr>
        <w:t>”), administrado e operacionalizado pela B3, sendo as negociações das Debêntures liquidadas financeiramente por meio da B3 e as Debêntures custodiadas eletronicamente na B3.</w:t>
      </w:r>
    </w:p>
    <w:p w14:paraId="3D31C557" w14:textId="0BB0AB29" w:rsidR="00052A10" w:rsidRPr="00E66C26" w:rsidRDefault="00052A10" w:rsidP="00052A10">
      <w:pPr>
        <w:pStyle w:val="Level2"/>
        <w:numPr>
          <w:ilvl w:val="2"/>
          <w:numId w:val="49"/>
        </w:numPr>
        <w:ind w:left="1134" w:firstLine="0"/>
        <w:rPr>
          <w:rFonts w:ascii="Calibri" w:hAnsi="Calibri" w:cs="Calibri"/>
          <w:b/>
          <w:sz w:val="24"/>
          <w:szCs w:val="24"/>
        </w:rPr>
      </w:pPr>
      <w:r w:rsidRPr="00E66C26">
        <w:rPr>
          <w:rFonts w:ascii="Calibri" w:hAnsi="Calibri" w:cs="Calibri"/>
          <w:b/>
          <w:sz w:val="24"/>
          <w:szCs w:val="24"/>
        </w:rPr>
        <w:t xml:space="preserve">Registro na CVM. </w:t>
      </w:r>
      <w:r w:rsidRPr="00E66C26">
        <w:rPr>
          <w:rFonts w:ascii="Calibri" w:hAnsi="Calibri" w:cs="Calibri"/>
          <w:bCs/>
          <w:sz w:val="24"/>
          <w:szCs w:val="24"/>
        </w:rPr>
        <w:t>A Oferta será devidamente registrada pela CVM, na forma da Lei do Mercado de Capitais e da Instrução CVM 400.</w:t>
      </w:r>
    </w:p>
    <w:p w14:paraId="3F680ACC" w14:textId="4363E0EF" w:rsidR="00052A10" w:rsidRPr="00E66C26" w:rsidRDefault="00052A10" w:rsidP="00052A10">
      <w:pPr>
        <w:pStyle w:val="Level2"/>
        <w:numPr>
          <w:ilvl w:val="2"/>
          <w:numId w:val="49"/>
        </w:numPr>
        <w:ind w:left="1134" w:firstLine="0"/>
        <w:rPr>
          <w:rFonts w:ascii="Calibri" w:hAnsi="Calibri" w:cs="Calibri"/>
          <w:b/>
          <w:sz w:val="24"/>
          <w:szCs w:val="24"/>
        </w:rPr>
      </w:pPr>
      <w:r w:rsidRPr="00E66C26">
        <w:rPr>
          <w:rFonts w:ascii="Calibri" w:hAnsi="Calibri" w:cs="Calibri"/>
          <w:b/>
          <w:sz w:val="24"/>
          <w:szCs w:val="24"/>
        </w:rPr>
        <w:t>Registro na ANBIMA – Associação Brasileira das Entidades dos Mercados Financeiro e de Capitais (“</w:t>
      </w:r>
      <w:r w:rsidRPr="00E66C26">
        <w:rPr>
          <w:rFonts w:ascii="Calibri" w:hAnsi="Calibri" w:cs="Calibri"/>
          <w:b/>
          <w:sz w:val="24"/>
          <w:szCs w:val="24"/>
          <w:u w:val="single"/>
        </w:rPr>
        <w:t>ANBIMA</w:t>
      </w:r>
      <w:r w:rsidRPr="00E66C26">
        <w:rPr>
          <w:rFonts w:ascii="Calibri" w:hAnsi="Calibri" w:cs="Calibri"/>
          <w:b/>
          <w:sz w:val="24"/>
          <w:szCs w:val="24"/>
        </w:rPr>
        <w:t xml:space="preserve">”). </w:t>
      </w:r>
      <w:r w:rsidRPr="00E66C26">
        <w:rPr>
          <w:rFonts w:ascii="Calibri" w:hAnsi="Calibri" w:cs="Calibri"/>
          <w:bCs/>
          <w:sz w:val="24"/>
          <w:szCs w:val="24"/>
        </w:rPr>
        <w:t xml:space="preserve">A Oferta será registrada na ANBIMA, nos termos do </w:t>
      </w:r>
      <w:r w:rsidR="00DD3D64" w:rsidRPr="00E66C26">
        <w:rPr>
          <w:rFonts w:ascii="Calibri" w:hAnsi="Calibri" w:cs="Calibri"/>
          <w:bCs/>
          <w:sz w:val="24"/>
          <w:szCs w:val="24"/>
        </w:rPr>
        <w:t xml:space="preserve">inciso I do </w:t>
      </w:r>
      <w:r w:rsidRPr="00E66C26">
        <w:rPr>
          <w:rFonts w:ascii="Calibri" w:hAnsi="Calibri" w:cs="Calibri"/>
          <w:bCs/>
          <w:sz w:val="24"/>
          <w:szCs w:val="24"/>
        </w:rPr>
        <w:t xml:space="preserve">artigo 16 e </w:t>
      </w:r>
      <w:r w:rsidR="00DD3D64" w:rsidRPr="00E66C26">
        <w:rPr>
          <w:rFonts w:ascii="Calibri" w:hAnsi="Calibri" w:cs="Calibri"/>
          <w:bCs/>
          <w:sz w:val="24"/>
          <w:szCs w:val="24"/>
        </w:rPr>
        <w:t>do inciso I do artigo 18</w:t>
      </w:r>
      <w:r w:rsidRPr="00E66C26">
        <w:rPr>
          <w:rFonts w:ascii="Calibri" w:hAnsi="Calibri" w:cs="Calibri"/>
          <w:bCs/>
          <w:sz w:val="24"/>
          <w:szCs w:val="24"/>
        </w:rPr>
        <w:t xml:space="preserve"> do Código ANBIMA, no prazo de até 15 (quinze) dias contados da data de publicação do anúncio de encerramento da Oferta.</w:t>
      </w:r>
    </w:p>
    <w:p w14:paraId="5ACE0B24" w14:textId="54750741" w:rsidR="00052A10" w:rsidRPr="00E66C26" w:rsidRDefault="00052A10" w:rsidP="00052A10">
      <w:pPr>
        <w:pStyle w:val="Level2"/>
        <w:numPr>
          <w:ilvl w:val="2"/>
          <w:numId w:val="49"/>
        </w:numPr>
        <w:ind w:left="1134" w:firstLine="0"/>
        <w:rPr>
          <w:rFonts w:ascii="Calibri" w:hAnsi="Calibri" w:cs="Calibri"/>
          <w:b/>
          <w:sz w:val="24"/>
          <w:szCs w:val="24"/>
        </w:rPr>
      </w:pPr>
      <w:r w:rsidRPr="00E66C26">
        <w:rPr>
          <w:rFonts w:ascii="Calibri" w:hAnsi="Calibri" w:cs="Calibri"/>
          <w:b/>
          <w:sz w:val="24"/>
          <w:szCs w:val="24"/>
        </w:rPr>
        <w:t>Projeto de Infraestrutura como Prioritário pelo Ministério da Infraestrutura</w:t>
      </w:r>
      <w:r w:rsidRPr="00E66C26">
        <w:rPr>
          <w:rFonts w:ascii="Calibri" w:hAnsi="Calibri" w:cs="Calibri"/>
          <w:bCs/>
          <w:sz w:val="24"/>
          <w:szCs w:val="24"/>
        </w:rPr>
        <w:t xml:space="preserve">. A Emissão será realizada na forma do artigo 2º da Lei nº 12.431, Decreto nº 8.874, tendo em vista o enquadramento dos Projetos de Investimento (conforme abaixo definido) como prioritários pelo Ministério da Infraestrutura, </w:t>
      </w:r>
      <w:r w:rsidR="0020368D" w:rsidRPr="00E66C26">
        <w:rPr>
          <w:rFonts w:ascii="Calibri" w:hAnsi="Calibri" w:cs="Calibri"/>
          <w:bCs/>
          <w:sz w:val="24"/>
          <w:szCs w:val="24"/>
        </w:rPr>
        <w:t>por meio da Portaria nº 21, de maio de 2021, publicada no DOU em 13 de maio de 2021, e da Portaria nº 35/SPG/MME, de 18 de outubro de 2021, publicada no DOU em 25 de outubro de 2021</w:t>
      </w:r>
      <w:r w:rsidRPr="00E66C26">
        <w:rPr>
          <w:rFonts w:ascii="Calibri" w:hAnsi="Calibri" w:cs="Calibri"/>
          <w:bCs/>
          <w:sz w:val="24"/>
          <w:szCs w:val="24"/>
        </w:rPr>
        <w:t>, anexas à Escritura de Emissão como Anexo I</w:t>
      </w:r>
      <w:r w:rsidRPr="00E66C26">
        <w:rPr>
          <w:rFonts w:ascii="Calibri" w:hAnsi="Calibri" w:cs="Calibri"/>
          <w:b/>
          <w:sz w:val="24"/>
          <w:szCs w:val="24"/>
        </w:rPr>
        <w:t>.</w:t>
      </w:r>
    </w:p>
    <w:p w14:paraId="506E8C7B" w14:textId="4C6FC98B" w:rsidR="00FF1036" w:rsidRPr="00643349" w:rsidRDefault="00052A10" w:rsidP="00643349">
      <w:pPr>
        <w:pStyle w:val="Level1"/>
        <w:numPr>
          <w:ilvl w:val="0"/>
          <w:numId w:val="20"/>
        </w:numPr>
        <w:tabs>
          <w:tab w:val="clear" w:pos="680"/>
          <w:tab w:val="num" w:pos="426"/>
        </w:tabs>
        <w:rPr>
          <w:rFonts w:ascii="Calibri" w:hAnsi="Calibri" w:cs="Calibri"/>
          <w:caps/>
          <w:color w:val="203463"/>
          <w:sz w:val="28"/>
          <w:szCs w:val="28"/>
        </w:rPr>
      </w:pPr>
      <w:bookmarkStart w:id="7" w:name="_Toc428306466"/>
      <w:bookmarkStart w:id="8" w:name="_Toc428328015"/>
      <w:bookmarkStart w:id="9" w:name="_Ref429062719"/>
      <w:bookmarkStart w:id="10" w:name="_Ref429490839"/>
      <w:bookmarkStart w:id="11" w:name="_Ref459473783"/>
      <w:bookmarkStart w:id="12" w:name="_Ref459473804"/>
      <w:r w:rsidRPr="00643349">
        <w:rPr>
          <w:rFonts w:ascii="Calibri" w:hAnsi="Calibri" w:cs="Calibri"/>
          <w:caps/>
          <w:color w:val="203463"/>
          <w:sz w:val="28"/>
          <w:szCs w:val="28"/>
        </w:rPr>
        <w:lastRenderedPageBreak/>
        <w:t>CARACTERÍSTICAS DA EMISSÃO E DAS DEBÊNTURES</w:t>
      </w:r>
      <w:bookmarkEnd w:id="7"/>
      <w:bookmarkEnd w:id="8"/>
      <w:bookmarkEnd w:id="9"/>
      <w:bookmarkEnd w:id="10"/>
      <w:bookmarkEnd w:id="11"/>
      <w:bookmarkEnd w:id="12"/>
    </w:p>
    <w:tbl>
      <w:tblPr>
        <w:tblW w:w="8222" w:type="dxa"/>
        <w:jc w:val="center"/>
        <w:tblLayout w:type="fixed"/>
        <w:tblCellMar>
          <w:top w:w="57" w:type="dxa"/>
          <w:left w:w="57" w:type="dxa"/>
          <w:bottom w:w="57" w:type="dxa"/>
          <w:right w:w="57" w:type="dxa"/>
        </w:tblCellMar>
        <w:tblLook w:val="0000" w:firstRow="0" w:lastRow="0" w:firstColumn="0" w:lastColumn="0" w:noHBand="0" w:noVBand="0"/>
      </w:tblPr>
      <w:tblGrid>
        <w:gridCol w:w="2552"/>
        <w:gridCol w:w="5670"/>
      </w:tblGrid>
      <w:tr w:rsidR="00052A10" w:rsidRPr="00E66C26" w14:paraId="36CA87BA" w14:textId="77777777" w:rsidTr="00F729A2">
        <w:trPr>
          <w:jc w:val="center"/>
        </w:trPr>
        <w:tc>
          <w:tcPr>
            <w:tcW w:w="2552" w:type="dxa"/>
          </w:tcPr>
          <w:p w14:paraId="2B7E2516" w14:textId="12FD2750" w:rsidR="00052A10" w:rsidRPr="00E66C26" w:rsidRDefault="00052A10" w:rsidP="0029198E">
            <w:pPr>
              <w:pStyle w:val="Body"/>
              <w:jc w:val="left"/>
              <w:rPr>
                <w:rFonts w:ascii="Calibri" w:hAnsi="Calibri" w:cs="Calibri"/>
                <w:b/>
                <w:sz w:val="24"/>
              </w:rPr>
            </w:pPr>
            <w:r w:rsidRPr="00E66C26">
              <w:rPr>
                <w:rFonts w:ascii="Calibri" w:hAnsi="Calibri" w:cs="Calibri"/>
                <w:b/>
                <w:sz w:val="24"/>
              </w:rPr>
              <w:t>Número da Emissão</w:t>
            </w:r>
          </w:p>
        </w:tc>
        <w:tc>
          <w:tcPr>
            <w:tcW w:w="5670" w:type="dxa"/>
          </w:tcPr>
          <w:p w14:paraId="21618F7E" w14:textId="6333A675" w:rsidR="00052A10" w:rsidRPr="00E66C26" w:rsidRDefault="00052A10" w:rsidP="0029198E">
            <w:pPr>
              <w:pStyle w:val="Body"/>
              <w:rPr>
                <w:rFonts w:ascii="Calibri" w:hAnsi="Calibri" w:cs="Calibri"/>
                <w:sz w:val="24"/>
              </w:rPr>
            </w:pPr>
            <w:r w:rsidRPr="00E66C26">
              <w:rPr>
                <w:rFonts w:ascii="Calibri" w:hAnsi="Calibri" w:cs="Calibri"/>
                <w:sz w:val="24"/>
              </w:rPr>
              <w:t>A Oferta constitui a 4ª (quarta) emissão de debêntures da Emissora</w:t>
            </w:r>
          </w:p>
        </w:tc>
      </w:tr>
      <w:tr w:rsidR="00AB0823" w:rsidRPr="00E66C26" w14:paraId="7242AA58" w14:textId="77777777" w:rsidTr="00F729A2">
        <w:trPr>
          <w:jc w:val="center"/>
        </w:trPr>
        <w:tc>
          <w:tcPr>
            <w:tcW w:w="2552" w:type="dxa"/>
          </w:tcPr>
          <w:p w14:paraId="3C1038E7" w14:textId="6EDF22A0" w:rsidR="00AB0823" w:rsidRPr="00E66C26" w:rsidRDefault="00052A10" w:rsidP="0029198E">
            <w:pPr>
              <w:pStyle w:val="Body"/>
              <w:jc w:val="left"/>
              <w:rPr>
                <w:rFonts w:ascii="Calibri" w:hAnsi="Calibri" w:cs="Calibri"/>
                <w:b/>
                <w:sz w:val="24"/>
              </w:rPr>
            </w:pPr>
            <w:r w:rsidRPr="00E66C26">
              <w:rPr>
                <w:rFonts w:ascii="Calibri" w:hAnsi="Calibri" w:cs="Calibri"/>
                <w:b/>
                <w:sz w:val="24"/>
              </w:rPr>
              <w:t>Quantidade de Debêntures</w:t>
            </w:r>
          </w:p>
        </w:tc>
        <w:tc>
          <w:tcPr>
            <w:tcW w:w="5670" w:type="dxa"/>
          </w:tcPr>
          <w:p w14:paraId="5563D72D" w14:textId="0D7CED86" w:rsidR="00AB0823" w:rsidRPr="00E66C26" w:rsidRDefault="00052A10" w:rsidP="0029198E">
            <w:pPr>
              <w:pStyle w:val="Body"/>
              <w:rPr>
                <w:rFonts w:ascii="Calibri" w:hAnsi="Calibri" w:cs="Calibri"/>
                <w:sz w:val="24"/>
              </w:rPr>
            </w:pPr>
            <w:r w:rsidRPr="00E66C26">
              <w:rPr>
                <w:rFonts w:ascii="Calibri" w:hAnsi="Calibri" w:cs="Calibri"/>
                <w:sz w:val="24"/>
              </w:rPr>
              <w:t xml:space="preserve">Serão emitidas, inicialmente, 1.000.000 (um milhão) de Debêntures, sem considerar as Debêntures Adicionais, em conformidade com o disposto na cláusula </w:t>
            </w:r>
            <w:r w:rsidR="00145763" w:rsidRPr="00E66C26">
              <w:rPr>
                <w:rFonts w:ascii="Calibri" w:hAnsi="Calibri" w:cs="Calibri"/>
                <w:sz w:val="24"/>
              </w:rPr>
              <w:t xml:space="preserve">6.8 da Escritura de Emissão, sendo que a quantidade de Debêntures a ser emitida em cada Série (conforme abaixo definido) se dará por meio de Sistema de Vasos Comunicantes (conforme abaixo definido) e será definida no </w:t>
            </w:r>
            <w:r w:rsidR="00145763" w:rsidRPr="00E66C26">
              <w:rPr>
                <w:rFonts w:ascii="Calibri" w:hAnsi="Calibri" w:cs="Calibri"/>
                <w:i/>
                <w:iCs/>
                <w:sz w:val="24"/>
              </w:rPr>
              <w:t xml:space="preserve">Procedimento de </w:t>
            </w:r>
            <w:proofErr w:type="spellStart"/>
            <w:r w:rsidR="00145763" w:rsidRPr="00E66C26">
              <w:rPr>
                <w:rFonts w:ascii="Calibri" w:hAnsi="Calibri" w:cs="Calibri"/>
                <w:i/>
                <w:iCs/>
                <w:sz w:val="24"/>
              </w:rPr>
              <w:t>Bookbuilding</w:t>
            </w:r>
            <w:proofErr w:type="spellEnd"/>
            <w:r w:rsidR="00145763" w:rsidRPr="00E66C26">
              <w:rPr>
                <w:rFonts w:ascii="Calibri" w:hAnsi="Calibri" w:cs="Calibri"/>
                <w:i/>
                <w:iCs/>
                <w:sz w:val="24"/>
              </w:rPr>
              <w:t xml:space="preserve"> </w:t>
            </w:r>
            <w:r w:rsidR="00145763" w:rsidRPr="00E66C26">
              <w:rPr>
                <w:rFonts w:ascii="Calibri" w:hAnsi="Calibri" w:cs="Calibri"/>
                <w:sz w:val="24"/>
              </w:rPr>
              <w:t>(conforme abaixo definido).</w:t>
            </w:r>
          </w:p>
        </w:tc>
      </w:tr>
      <w:tr w:rsidR="00AB0823" w:rsidRPr="00E66C26" w14:paraId="18DB439E" w14:textId="77777777" w:rsidTr="00F729A2">
        <w:trPr>
          <w:jc w:val="center"/>
        </w:trPr>
        <w:tc>
          <w:tcPr>
            <w:tcW w:w="2552" w:type="dxa"/>
          </w:tcPr>
          <w:p w14:paraId="028DD960" w14:textId="4A229EC7" w:rsidR="00AB0823" w:rsidRPr="00E66C26" w:rsidRDefault="00AB0823" w:rsidP="0029198E">
            <w:pPr>
              <w:pStyle w:val="Body"/>
              <w:jc w:val="left"/>
              <w:rPr>
                <w:rFonts w:ascii="Calibri" w:hAnsi="Calibri" w:cs="Calibri"/>
                <w:b/>
                <w:sz w:val="24"/>
              </w:rPr>
            </w:pPr>
            <w:bookmarkStart w:id="13" w:name="_Toc428328017"/>
            <w:r w:rsidRPr="00E66C26">
              <w:rPr>
                <w:rFonts w:ascii="Calibri" w:hAnsi="Calibri" w:cs="Calibri"/>
                <w:b/>
                <w:sz w:val="24"/>
              </w:rPr>
              <w:t>Valor Nominal Unitário</w:t>
            </w:r>
            <w:bookmarkEnd w:id="13"/>
          </w:p>
        </w:tc>
        <w:tc>
          <w:tcPr>
            <w:tcW w:w="5670" w:type="dxa"/>
          </w:tcPr>
          <w:p w14:paraId="16D8DE77" w14:textId="303C4D8A" w:rsidR="00AB0823" w:rsidRPr="00E66C26" w:rsidRDefault="00AB0823" w:rsidP="00634740">
            <w:pPr>
              <w:pStyle w:val="Body"/>
              <w:rPr>
                <w:rFonts w:ascii="Calibri" w:hAnsi="Calibri" w:cs="Calibri"/>
                <w:sz w:val="24"/>
              </w:rPr>
            </w:pPr>
            <w:r w:rsidRPr="00E66C26">
              <w:rPr>
                <w:rFonts w:ascii="Calibri" w:hAnsi="Calibri" w:cs="Calibri"/>
                <w:sz w:val="24"/>
              </w:rPr>
              <w:t>O valor nominal unitário das Debêntures</w:t>
            </w:r>
            <w:r w:rsidR="00550381" w:rsidRPr="00E66C26">
              <w:rPr>
                <w:rFonts w:ascii="Calibri" w:hAnsi="Calibri" w:cs="Calibri"/>
                <w:sz w:val="24"/>
              </w:rPr>
              <w:t>, na Data de Emissão,</w:t>
            </w:r>
            <w:r w:rsidRPr="00E66C26">
              <w:rPr>
                <w:rFonts w:ascii="Calibri" w:hAnsi="Calibri" w:cs="Calibri"/>
                <w:sz w:val="24"/>
              </w:rPr>
              <w:t xml:space="preserve"> será de R</w:t>
            </w:r>
            <w:r w:rsidR="002E5706" w:rsidRPr="00E66C26">
              <w:rPr>
                <w:rFonts w:ascii="Calibri" w:hAnsi="Calibri" w:cs="Calibri"/>
                <w:sz w:val="24"/>
              </w:rPr>
              <w:t>$</w:t>
            </w:r>
            <w:r w:rsidR="00D1045E" w:rsidRPr="00E66C26">
              <w:rPr>
                <w:rFonts w:ascii="Calibri" w:hAnsi="Calibri" w:cs="Calibri"/>
                <w:sz w:val="24"/>
              </w:rPr>
              <w:t> </w:t>
            </w:r>
            <w:r w:rsidR="002E5706" w:rsidRPr="00E66C26">
              <w:rPr>
                <w:rFonts w:ascii="Calibri" w:hAnsi="Calibri" w:cs="Calibri"/>
                <w:sz w:val="24"/>
              </w:rPr>
              <w:t xml:space="preserve">1.000,00 (mil </w:t>
            </w:r>
            <w:r w:rsidRPr="00E66C26">
              <w:rPr>
                <w:rFonts w:ascii="Calibri" w:hAnsi="Calibri" w:cs="Calibri"/>
                <w:sz w:val="24"/>
              </w:rPr>
              <w:t>reais)</w:t>
            </w:r>
            <w:r w:rsidR="00145763" w:rsidRPr="00E66C26">
              <w:rPr>
                <w:rFonts w:ascii="Calibri" w:hAnsi="Calibri" w:cs="Calibri"/>
                <w:sz w:val="24"/>
              </w:rPr>
              <w:t xml:space="preserve"> (“</w:t>
            </w:r>
            <w:r w:rsidR="00145763" w:rsidRPr="00E66C26">
              <w:rPr>
                <w:rFonts w:ascii="Calibri" w:hAnsi="Calibri" w:cs="Calibri"/>
                <w:sz w:val="24"/>
                <w:u w:val="single"/>
              </w:rPr>
              <w:t>Valor Nominal Unitário</w:t>
            </w:r>
            <w:r w:rsidR="00145763" w:rsidRPr="00E66C26">
              <w:rPr>
                <w:rFonts w:ascii="Calibri" w:hAnsi="Calibri" w:cs="Calibri"/>
                <w:sz w:val="24"/>
              </w:rPr>
              <w:t>”).</w:t>
            </w:r>
          </w:p>
        </w:tc>
      </w:tr>
      <w:tr w:rsidR="00135E42" w:rsidRPr="00E66C26" w14:paraId="60BDF224" w14:textId="77777777" w:rsidTr="00F729A2">
        <w:trPr>
          <w:jc w:val="center"/>
        </w:trPr>
        <w:tc>
          <w:tcPr>
            <w:tcW w:w="2552" w:type="dxa"/>
          </w:tcPr>
          <w:p w14:paraId="2EBDBA59" w14:textId="34244D93" w:rsidR="00135E42" w:rsidRPr="00E66C26" w:rsidRDefault="00145763" w:rsidP="0029198E">
            <w:pPr>
              <w:pStyle w:val="Body"/>
              <w:jc w:val="left"/>
              <w:rPr>
                <w:rFonts w:ascii="Calibri" w:hAnsi="Calibri" w:cs="Calibri"/>
                <w:b/>
                <w:sz w:val="24"/>
              </w:rPr>
            </w:pPr>
            <w:r w:rsidRPr="00E66C26">
              <w:rPr>
                <w:rFonts w:ascii="Calibri" w:hAnsi="Calibri" w:cs="Calibri"/>
                <w:b/>
                <w:sz w:val="24"/>
              </w:rPr>
              <w:t xml:space="preserve">Valor </w:t>
            </w:r>
            <w:r w:rsidR="00C62405" w:rsidRPr="00E66C26">
              <w:rPr>
                <w:rFonts w:ascii="Calibri" w:hAnsi="Calibri" w:cs="Calibri"/>
                <w:b/>
                <w:sz w:val="24"/>
              </w:rPr>
              <w:t>Total</w:t>
            </w:r>
            <w:r w:rsidR="000F0FF0" w:rsidRPr="00E66C26">
              <w:rPr>
                <w:rFonts w:ascii="Calibri" w:hAnsi="Calibri" w:cs="Calibri"/>
                <w:b/>
                <w:sz w:val="24"/>
              </w:rPr>
              <w:t xml:space="preserve"> </w:t>
            </w:r>
            <w:r w:rsidRPr="00E66C26">
              <w:rPr>
                <w:rFonts w:ascii="Calibri" w:hAnsi="Calibri" w:cs="Calibri"/>
                <w:b/>
                <w:sz w:val="24"/>
              </w:rPr>
              <w:t>da Emissão</w:t>
            </w:r>
          </w:p>
        </w:tc>
        <w:tc>
          <w:tcPr>
            <w:tcW w:w="5670" w:type="dxa"/>
          </w:tcPr>
          <w:p w14:paraId="3FA2B9C8" w14:textId="65E38309" w:rsidR="00135E42" w:rsidRPr="00E66C26" w:rsidRDefault="00145763" w:rsidP="0029198E">
            <w:pPr>
              <w:pStyle w:val="Body"/>
              <w:rPr>
                <w:rFonts w:ascii="Calibri" w:hAnsi="Calibri" w:cs="Calibri"/>
                <w:sz w:val="24"/>
              </w:rPr>
            </w:pPr>
            <w:r w:rsidRPr="00E66C26">
              <w:rPr>
                <w:rFonts w:ascii="Calibri" w:hAnsi="Calibri" w:cs="Calibri"/>
                <w:bCs/>
                <w:sz w:val="24"/>
              </w:rPr>
              <w:t>O valor total da Emissão será de, inicialmente, R$ 1.000.000.000,00 (um bilhão de reais), na Data de Emissão (“</w:t>
            </w:r>
            <w:r w:rsidRPr="00E66C26">
              <w:rPr>
                <w:rFonts w:ascii="Calibri" w:hAnsi="Calibri" w:cs="Calibri"/>
                <w:bCs/>
                <w:sz w:val="24"/>
                <w:u w:val="single"/>
              </w:rPr>
              <w:t>Valor Total da Emissão</w:t>
            </w:r>
            <w:r w:rsidRPr="00E66C26">
              <w:rPr>
                <w:rFonts w:ascii="Calibri" w:hAnsi="Calibri" w:cs="Calibri"/>
                <w:bCs/>
                <w:sz w:val="24"/>
              </w:rPr>
              <w:t>”), sem considerar as Debêntures Adicionais.</w:t>
            </w:r>
          </w:p>
        </w:tc>
      </w:tr>
      <w:tr w:rsidR="00371CD5" w:rsidRPr="00E66C26" w14:paraId="25764F4B" w14:textId="77777777" w:rsidTr="00F729A2">
        <w:trPr>
          <w:jc w:val="center"/>
        </w:trPr>
        <w:tc>
          <w:tcPr>
            <w:tcW w:w="2552" w:type="dxa"/>
          </w:tcPr>
          <w:p w14:paraId="71FF29AA" w14:textId="1879D8F7" w:rsidR="00371CD5" w:rsidRPr="00E66C26" w:rsidRDefault="00145763" w:rsidP="0029198E">
            <w:pPr>
              <w:pStyle w:val="Body"/>
              <w:jc w:val="left"/>
              <w:rPr>
                <w:rFonts w:ascii="Calibri" w:hAnsi="Calibri" w:cs="Calibri"/>
                <w:b/>
                <w:sz w:val="24"/>
              </w:rPr>
            </w:pPr>
            <w:r w:rsidRPr="00E66C26">
              <w:rPr>
                <w:rFonts w:ascii="Calibri" w:hAnsi="Calibri" w:cs="Calibri"/>
                <w:b/>
                <w:sz w:val="24"/>
              </w:rPr>
              <w:t>Número de Séries</w:t>
            </w:r>
          </w:p>
        </w:tc>
        <w:tc>
          <w:tcPr>
            <w:tcW w:w="5670" w:type="dxa"/>
          </w:tcPr>
          <w:p w14:paraId="64EE4FBF" w14:textId="28BE2658" w:rsidR="00371CD5" w:rsidRPr="00E66C26" w:rsidRDefault="00145763" w:rsidP="002457D1">
            <w:pPr>
              <w:pStyle w:val="Body"/>
              <w:rPr>
                <w:rFonts w:ascii="Calibri" w:hAnsi="Calibri" w:cs="Calibri"/>
                <w:sz w:val="24"/>
              </w:rPr>
            </w:pPr>
            <w:r w:rsidRPr="00E66C26">
              <w:rPr>
                <w:rFonts w:ascii="Calibri" w:hAnsi="Calibri" w:cs="Calibri"/>
                <w:sz w:val="24"/>
              </w:rPr>
              <w:t>A Emissão será realizada em até duas séries (“</w:t>
            </w:r>
            <w:r w:rsidRPr="00E66C26">
              <w:rPr>
                <w:rFonts w:ascii="Calibri" w:hAnsi="Calibri" w:cs="Calibri"/>
                <w:sz w:val="24"/>
                <w:u w:val="single"/>
              </w:rPr>
              <w:t>Primeira Série</w:t>
            </w:r>
            <w:r w:rsidRPr="00E66C26">
              <w:rPr>
                <w:rFonts w:ascii="Calibri" w:hAnsi="Calibri" w:cs="Calibri"/>
                <w:sz w:val="24"/>
              </w:rPr>
              <w:t>” e “</w:t>
            </w:r>
            <w:r w:rsidRPr="00E66C26">
              <w:rPr>
                <w:rFonts w:ascii="Calibri" w:hAnsi="Calibri" w:cs="Calibri"/>
                <w:sz w:val="24"/>
                <w:u w:val="single"/>
              </w:rPr>
              <w:t>Segunda Série</w:t>
            </w:r>
            <w:r w:rsidRPr="00E66C26">
              <w:rPr>
                <w:rFonts w:ascii="Calibri" w:hAnsi="Calibri" w:cs="Calibri"/>
                <w:sz w:val="24"/>
              </w:rPr>
              <w:t>”, respectivamente e, quando em conjunto “</w:t>
            </w:r>
            <w:r w:rsidRPr="00E66C26">
              <w:rPr>
                <w:rFonts w:ascii="Calibri" w:hAnsi="Calibri" w:cs="Calibri"/>
                <w:i/>
                <w:iCs/>
                <w:sz w:val="24"/>
              </w:rPr>
              <w:t>Séries</w:t>
            </w:r>
            <w:r w:rsidRPr="00E66C26">
              <w:rPr>
                <w:rFonts w:ascii="Calibri" w:hAnsi="Calibri" w:cs="Calibri"/>
                <w:sz w:val="24"/>
              </w:rPr>
              <w:t xml:space="preserve">”), sendo que a quantidade de séries da Emissão será definida no Procedimento de </w:t>
            </w:r>
            <w:proofErr w:type="spellStart"/>
            <w:r w:rsidRPr="00E66C26">
              <w:rPr>
                <w:rFonts w:ascii="Calibri" w:hAnsi="Calibri" w:cs="Calibri"/>
                <w:i/>
                <w:iCs/>
                <w:sz w:val="24"/>
              </w:rPr>
              <w:t>Bookbuilding</w:t>
            </w:r>
            <w:proofErr w:type="spellEnd"/>
            <w:r w:rsidRPr="00E66C26">
              <w:rPr>
                <w:rFonts w:ascii="Calibri" w:hAnsi="Calibri" w:cs="Calibri"/>
                <w:sz w:val="24"/>
              </w:rPr>
              <w:t xml:space="preserve"> (conforme abaixo definido). Para os fins da Oferta, as Debêntures emitidas na Primeira Série serão doravante referidas “</w:t>
            </w:r>
            <w:r w:rsidRPr="00E66C26">
              <w:rPr>
                <w:rFonts w:ascii="Calibri" w:hAnsi="Calibri" w:cs="Calibri"/>
                <w:sz w:val="24"/>
                <w:u w:val="single"/>
              </w:rPr>
              <w:t>Debêntures da Primeira Série</w:t>
            </w:r>
            <w:r w:rsidRPr="00E66C26">
              <w:rPr>
                <w:rFonts w:ascii="Calibri" w:hAnsi="Calibri" w:cs="Calibri"/>
                <w:sz w:val="24"/>
              </w:rPr>
              <w:t>” e as Debêntures emitidas na Segunda Série serão referidas como “</w:t>
            </w:r>
            <w:r w:rsidRPr="00E66C26">
              <w:rPr>
                <w:rFonts w:ascii="Calibri" w:hAnsi="Calibri" w:cs="Calibri"/>
                <w:sz w:val="24"/>
                <w:u w:val="single"/>
              </w:rPr>
              <w:t>Debêntures da Segunda Série</w:t>
            </w:r>
            <w:r w:rsidRPr="00E66C26">
              <w:rPr>
                <w:rFonts w:ascii="Calibri" w:hAnsi="Calibri" w:cs="Calibri"/>
                <w:sz w:val="24"/>
              </w:rPr>
              <w:t>” e, quando em conjunto com as Debêntures da Primeira Série, as “</w:t>
            </w:r>
            <w:r w:rsidRPr="00E66C26">
              <w:rPr>
                <w:rFonts w:ascii="Calibri" w:hAnsi="Calibri" w:cs="Calibri"/>
                <w:sz w:val="24"/>
                <w:u w:val="single"/>
              </w:rPr>
              <w:t>Debêntures</w:t>
            </w:r>
            <w:r w:rsidRPr="00E66C26">
              <w:rPr>
                <w:rFonts w:ascii="Calibri" w:hAnsi="Calibri" w:cs="Calibri"/>
                <w:sz w:val="24"/>
              </w:rPr>
              <w:t>”.</w:t>
            </w:r>
          </w:p>
        </w:tc>
      </w:tr>
      <w:tr w:rsidR="00371CD5" w:rsidRPr="00E66C26" w14:paraId="2E7DB180" w14:textId="77777777" w:rsidTr="00F729A2">
        <w:trPr>
          <w:jc w:val="center"/>
        </w:trPr>
        <w:tc>
          <w:tcPr>
            <w:tcW w:w="2552" w:type="dxa"/>
          </w:tcPr>
          <w:p w14:paraId="46CCC238" w14:textId="767B0B53" w:rsidR="00145763" w:rsidRPr="00E66C26" w:rsidRDefault="00145763" w:rsidP="0029198E">
            <w:pPr>
              <w:pStyle w:val="Body"/>
              <w:jc w:val="left"/>
              <w:rPr>
                <w:rFonts w:ascii="Calibri" w:hAnsi="Calibri" w:cs="Calibri"/>
                <w:b/>
                <w:sz w:val="24"/>
              </w:rPr>
            </w:pPr>
            <w:r w:rsidRPr="00E66C26">
              <w:rPr>
                <w:rFonts w:ascii="Calibri" w:hAnsi="Calibri" w:cs="Calibri"/>
                <w:b/>
                <w:sz w:val="24"/>
              </w:rPr>
              <w:lastRenderedPageBreak/>
              <w:t>Debêntures Adicionais</w:t>
            </w:r>
          </w:p>
        </w:tc>
        <w:tc>
          <w:tcPr>
            <w:tcW w:w="5670" w:type="dxa"/>
          </w:tcPr>
          <w:p w14:paraId="3CCA0DBC" w14:textId="656D1B4B" w:rsidR="00AE273C" w:rsidRPr="00E66C26" w:rsidRDefault="00145763" w:rsidP="0029198E">
            <w:pPr>
              <w:pStyle w:val="Body"/>
              <w:rPr>
                <w:rFonts w:ascii="Calibri" w:hAnsi="Calibri" w:cs="Calibri"/>
                <w:sz w:val="24"/>
              </w:rPr>
            </w:pPr>
            <w:r w:rsidRPr="00E66C26">
              <w:rPr>
                <w:rFonts w:ascii="Calibri" w:hAnsi="Calibri" w:cs="Calibri"/>
                <w:sz w:val="24"/>
              </w:rPr>
              <w:t>Nos termos do parágrafo 2º do artigo 14 da Instrução CVM 400, a quantidade de Debêntures inicialmente ofertada poderá ser aumentada em até 20% (vinte por cento), ou seja, em até 200.000 (duzentas mil) Debêntures adicionais, nas mesmas condições das Debêntures inicialmente ofertadas (“</w:t>
            </w:r>
            <w:r w:rsidRPr="00E66C26">
              <w:rPr>
                <w:rFonts w:ascii="Calibri" w:hAnsi="Calibri" w:cs="Calibri"/>
                <w:sz w:val="24"/>
                <w:u w:val="single"/>
              </w:rPr>
              <w:t>Debêntures Adicionais</w:t>
            </w:r>
            <w:r w:rsidRPr="00E66C26">
              <w:rPr>
                <w:rFonts w:ascii="Calibri" w:hAnsi="Calibri" w:cs="Calibri"/>
                <w:sz w:val="24"/>
              </w:rPr>
              <w:t>”), sem a necessidade de novo pedido de registro à CVM</w:t>
            </w:r>
            <w:r w:rsidR="0020368D" w:rsidRPr="00E66C26">
              <w:rPr>
                <w:rFonts w:ascii="Calibri" w:hAnsi="Calibri" w:cs="Calibri"/>
                <w:sz w:val="24"/>
              </w:rPr>
              <w:t xml:space="preserve"> ou modificação nos termos da Oferta</w:t>
            </w:r>
            <w:r w:rsidRPr="00E66C26">
              <w:rPr>
                <w:rFonts w:ascii="Calibri" w:hAnsi="Calibri" w:cs="Calibri"/>
                <w:sz w:val="24"/>
              </w:rPr>
              <w:t xml:space="preserve">, podendo ser emitidas pela Emissora até a data de conclusão do Procedimento de </w:t>
            </w:r>
            <w:proofErr w:type="spellStart"/>
            <w:r w:rsidRPr="00E66C26">
              <w:rPr>
                <w:rFonts w:ascii="Calibri" w:hAnsi="Calibri" w:cs="Calibri"/>
                <w:i/>
                <w:iCs/>
                <w:sz w:val="24"/>
              </w:rPr>
              <w:t>Bookbuilding</w:t>
            </w:r>
            <w:proofErr w:type="spellEnd"/>
            <w:r w:rsidRPr="00E66C26">
              <w:rPr>
                <w:rFonts w:ascii="Calibri" w:hAnsi="Calibri" w:cs="Calibri"/>
                <w:sz w:val="24"/>
              </w:rPr>
              <w:t xml:space="preserve">. A critério do Coordenador Líder e da Emissora, em conjunto, conforme verificado pelo Procedimento de </w:t>
            </w:r>
            <w:proofErr w:type="spellStart"/>
            <w:r w:rsidRPr="00E66C26">
              <w:rPr>
                <w:rFonts w:ascii="Calibri" w:hAnsi="Calibri" w:cs="Calibri"/>
                <w:i/>
                <w:iCs/>
                <w:sz w:val="24"/>
              </w:rPr>
              <w:t>Bookbuiling</w:t>
            </w:r>
            <w:proofErr w:type="spellEnd"/>
            <w:r w:rsidRPr="00E66C26">
              <w:rPr>
                <w:rFonts w:ascii="Calibri" w:hAnsi="Calibri" w:cs="Calibri"/>
                <w:sz w:val="24"/>
              </w:rPr>
              <w:t>, as Debêntures Adicionais poderão ser Debêntures da Primeira Série e/ou Debêntures da Segunda Série. As Debêntures Adicionais eventualmente emitidas passarão a ter as mesmas características da Debêntures inicialmente ofertadas e passarão a integrar o conceito de “Debêntures” e serão colocadas sob o regime de melhores esforços de colocação pelo Coordenador Líder.</w:t>
            </w:r>
          </w:p>
        </w:tc>
      </w:tr>
      <w:tr w:rsidR="00371CD5" w:rsidRPr="00E66C26" w14:paraId="518D4A61" w14:textId="77777777" w:rsidTr="00F729A2">
        <w:trPr>
          <w:jc w:val="center"/>
        </w:trPr>
        <w:tc>
          <w:tcPr>
            <w:tcW w:w="2552" w:type="dxa"/>
          </w:tcPr>
          <w:p w14:paraId="270F4AED" w14:textId="7A3434ED" w:rsidR="00371CD5" w:rsidRPr="00E66C26" w:rsidRDefault="00940C98" w:rsidP="0029198E">
            <w:pPr>
              <w:pStyle w:val="Body"/>
              <w:jc w:val="left"/>
              <w:rPr>
                <w:rFonts w:ascii="Calibri" w:hAnsi="Calibri" w:cs="Calibri"/>
                <w:b/>
                <w:sz w:val="24"/>
              </w:rPr>
            </w:pPr>
            <w:r w:rsidRPr="00E66C26">
              <w:rPr>
                <w:rFonts w:ascii="Calibri" w:hAnsi="Calibri" w:cs="Calibri"/>
                <w:b/>
                <w:sz w:val="24"/>
              </w:rPr>
              <w:t>Agente de Liquidação</w:t>
            </w:r>
          </w:p>
        </w:tc>
        <w:tc>
          <w:tcPr>
            <w:tcW w:w="5670" w:type="dxa"/>
          </w:tcPr>
          <w:p w14:paraId="10BA2E42" w14:textId="7D827DF4" w:rsidR="00371CD5" w:rsidRPr="00E66C26" w:rsidRDefault="00145763" w:rsidP="00511283">
            <w:pPr>
              <w:pStyle w:val="Body"/>
              <w:rPr>
                <w:rFonts w:ascii="Calibri" w:hAnsi="Calibri" w:cs="Calibri"/>
                <w:sz w:val="24"/>
              </w:rPr>
            </w:pPr>
            <w:r w:rsidRPr="00E66C26">
              <w:rPr>
                <w:rFonts w:ascii="Calibri" w:hAnsi="Calibri" w:cs="Calibri"/>
                <w:sz w:val="24"/>
              </w:rPr>
              <w:t xml:space="preserve">O </w:t>
            </w:r>
            <w:r w:rsidR="00940C98" w:rsidRPr="00E66C26">
              <w:rPr>
                <w:rFonts w:ascii="Calibri" w:hAnsi="Calibri" w:cs="Calibri"/>
                <w:sz w:val="24"/>
              </w:rPr>
              <w:t>agente de liquidação</w:t>
            </w:r>
            <w:r w:rsidR="00F50F4E" w:rsidRPr="00E66C26">
              <w:rPr>
                <w:rFonts w:ascii="Calibri" w:hAnsi="Calibri" w:cs="Calibri"/>
                <w:sz w:val="24"/>
              </w:rPr>
              <w:t xml:space="preserve"> da presente Emissão será o a </w:t>
            </w:r>
            <w:r w:rsidR="00F50F4E" w:rsidRPr="00E66C26">
              <w:rPr>
                <w:rFonts w:ascii="Calibri" w:hAnsi="Calibri" w:cs="Calibri"/>
                <w:b/>
                <w:bCs/>
                <w:sz w:val="24"/>
              </w:rPr>
              <w:t>VÓRTX DISTRIBUIDORA DE TÍTULOS E VALORES MOBILIÁRIOS LTDA.</w:t>
            </w:r>
            <w:r w:rsidR="00F50F4E" w:rsidRPr="00E66C26">
              <w:rPr>
                <w:rFonts w:ascii="Calibri" w:hAnsi="Calibri" w:cs="Calibri"/>
                <w:sz w:val="24"/>
              </w:rPr>
              <w:t>, sociedade limitada, com sede na Avenida Brigadeiro Faria Lima, nº 2.277,2º andar, Conjunto 202, na Cidade de Sio Paulo, Estado de Sio Paulo, inscrita no CNPJ/ME sob o nº 22.610.500/0001-88 (“</w:t>
            </w:r>
            <w:r w:rsidR="00940C98" w:rsidRPr="00E66C26">
              <w:rPr>
                <w:rFonts w:ascii="Calibri" w:hAnsi="Calibri" w:cs="Calibri"/>
                <w:sz w:val="24"/>
                <w:u w:val="single"/>
              </w:rPr>
              <w:t>Agente de Liquidação</w:t>
            </w:r>
            <w:r w:rsidR="00F50F4E" w:rsidRPr="00E66C26">
              <w:rPr>
                <w:rFonts w:ascii="Calibri" w:hAnsi="Calibri" w:cs="Calibri"/>
                <w:sz w:val="24"/>
              </w:rPr>
              <w:t>”).</w:t>
            </w:r>
          </w:p>
        </w:tc>
      </w:tr>
      <w:tr w:rsidR="00371CD5" w:rsidRPr="00E66C26" w14:paraId="03B58CAC" w14:textId="77777777" w:rsidTr="00F729A2">
        <w:trPr>
          <w:jc w:val="center"/>
        </w:trPr>
        <w:tc>
          <w:tcPr>
            <w:tcW w:w="2552" w:type="dxa"/>
          </w:tcPr>
          <w:p w14:paraId="346B521E" w14:textId="180146DD" w:rsidR="00371CD5" w:rsidRPr="00E66C26" w:rsidRDefault="00F50F4E" w:rsidP="0029198E">
            <w:pPr>
              <w:pStyle w:val="Body"/>
              <w:jc w:val="left"/>
              <w:rPr>
                <w:rFonts w:ascii="Calibri" w:hAnsi="Calibri" w:cs="Calibri"/>
                <w:b/>
                <w:sz w:val="24"/>
              </w:rPr>
            </w:pPr>
            <w:proofErr w:type="spellStart"/>
            <w:r w:rsidRPr="00E66C26">
              <w:rPr>
                <w:rFonts w:ascii="Calibri" w:hAnsi="Calibri" w:cs="Calibri"/>
                <w:b/>
                <w:sz w:val="24"/>
              </w:rPr>
              <w:t>Escriturador</w:t>
            </w:r>
            <w:proofErr w:type="spellEnd"/>
          </w:p>
        </w:tc>
        <w:tc>
          <w:tcPr>
            <w:tcW w:w="5670" w:type="dxa"/>
          </w:tcPr>
          <w:p w14:paraId="6DEBA212" w14:textId="07161C00" w:rsidR="00371CD5" w:rsidRPr="00E66C26" w:rsidRDefault="00B33D36" w:rsidP="0029198E">
            <w:pPr>
              <w:pStyle w:val="Body"/>
              <w:rPr>
                <w:rFonts w:ascii="Calibri" w:hAnsi="Calibri" w:cs="Calibri"/>
                <w:sz w:val="24"/>
              </w:rPr>
            </w:pPr>
            <w:r w:rsidRPr="00E66C26">
              <w:rPr>
                <w:rFonts w:ascii="Calibri" w:hAnsi="Calibri" w:cs="Calibri"/>
                <w:sz w:val="24"/>
              </w:rPr>
              <w:t>O</w:t>
            </w:r>
            <w:r w:rsidR="00F50F4E" w:rsidRPr="00E66C26">
              <w:rPr>
                <w:rFonts w:ascii="Calibri" w:hAnsi="Calibri" w:cs="Calibri"/>
                <w:sz w:val="24"/>
              </w:rPr>
              <w:t xml:space="preserve"> </w:t>
            </w:r>
            <w:proofErr w:type="spellStart"/>
            <w:r w:rsidR="00F50F4E" w:rsidRPr="00E66C26">
              <w:rPr>
                <w:rFonts w:ascii="Calibri" w:hAnsi="Calibri" w:cs="Calibri"/>
                <w:sz w:val="24"/>
              </w:rPr>
              <w:t>escriturador</w:t>
            </w:r>
            <w:proofErr w:type="spellEnd"/>
            <w:r w:rsidR="00F50F4E" w:rsidRPr="00E66C26">
              <w:rPr>
                <w:rFonts w:ascii="Calibri" w:hAnsi="Calibri" w:cs="Calibri"/>
                <w:sz w:val="24"/>
              </w:rPr>
              <w:t xml:space="preserve"> da presente Emissão será a </w:t>
            </w:r>
            <w:r w:rsidR="00F50F4E" w:rsidRPr="00E66C26">
              <w:rPr>
                <w:rFonts w:ascii="Calibri" w:hAnsi="Calibri" w:cs="Calibri"/>
                <w:b/>
                <w:bCs/>
                <w:sz w:val="24"/>
              </w:rPr>
              <w:t>SIMPLIFIC PAVARINI DISTRIBUIDORA DE TÍTULOS E VALORES MOBILIÁRIOS LTDA</w:t>
            </w:r>
            <w:r w:rsidR="00F50F4E" w:rsidRPr="00E66C26">
              <w:rPr>
                <w:rFonts w:ascii="Calibri" w:hAnsi="Calibri" w:cs="Calibri"/>
                <w:sz w:val="24"/>
              </w:rPr>
              <w:t xml:space="preserve">., </w:t>
            </w:r>
            <w:r w:rsidR="0020368D" w:rsidRPr="00E66C26">
              <w:rPr>
                <w:rFonts w:ascii="Calibri" w:hAnsi="Calibri" w:cs="Calibri"/>
                <w:sz w:val="24"/>
              </w:rPr>
              <w:t xml:space="preserve">instituição financeira atuando por sua filial na cidade de São Paulo, Estado de São Paulo, na Rua Joaquim Floriano 466, bloco B, </w:t>
            </w:r>
            <w:proofErr w:type="spellStart"/>
            <w:r w:rsidR="0020368D" w:rsidRPr="00E66C26">
              <w:rPr>
                <w:rFonts w:ascii="Calibri" w:hAnsi="Calibri" w:cs="Calibri"/>
                <w:sz w:val="24"/>
              </w:rPr>
              <w:t>conj</w:t>
            </w:r>
            <w:proofErr w:type="spellEnd"/>
            <w:r w:rsidR="0020368D" w:rsidRPr="00E66C26">
              <w:rPr>
                <w:rFonts w:ascii="Calibri" w:hAnsi="Calibri" w:cs="Calibri"/>
                <w:sz w:val="24"/>
              </w:rPr>
              <w:t xml:space="preserve"> 1401, Itaim Bibi </w:t>
            </w:r>
            <w:r w:rsidR="0020368D" w:rsidRPr="00E66C26">
              <w:rPr>
                <w:rFonts w:ascii="Calibri" w:hAnsi="Calibri" w:cs="Calibri"/>
                <w:sz w:val="24"/>
              </w:rPr>
              <w:lastRenderedPageBreak/>
              <w:t>CEP 04534-002, inscrita no CNPJ sob o nº 15.227.994/0004-01</w:t>
            </w:r>
            <w:r w:rsidR="0020368D" w:rsidRPr="00E66C26" w:rsidDel="0020368D">
              <w:rPr>
                <w:rFonts w:ascii="Calibri" w:hAnsi="Calibri" w:cs="Calibri"/>
                <w:sz w:val="24"/>
              </w:rPr>
              <w:t xml:space="preserve"> </w:t>
            </w:r>
          </w:p>
        </w:tc>
      </w:tr>
      <w:tr w:rsidR="00F94F49" w:rsidRPr="00E66C26" w14:paraId="23FB1B1C" w14:textId="77777777" w:rsidTr="00F729A2">
        <w:trPr>
          <w:jc w:val="center"/>
        </w:trPr>
        <w:tc>
          <w:tcPr>
            <w:tcW w:w="2552" w:type="dxa"/>
          </w:tcPr>
          <w:p w14:paraId="66E246D3" w14:textId="08632296" w:rsidR="00F94F49" w:rsidRPr="00E66C26" w:rsidRDefault="001E14F2" w:rsidP="0029198E">
            <w:pPr>
              <w:pStyle w:val="Body"/>
              <w:jc w:val="left"/>
              <w:rPr>
                <w:rFonts w:ascii="Calibri" w:hAnsi="Calibri" w:cs="Calibri"/>
                <w:b/>
                <w:sz w:val="24"/>
              </w:rPr>
            </w:pPr>
            <w:r w:rsidRPr="00E66C26">
              <w:rPr>
                <w:rFonts w:ascii="Calibri" w:hAnsi="Calibri" w:cs="Calibri"/>
                <w:b/>
                <w:sz w:val="24"/>
              </w:rPr>
              <w:lastRenderedPageBreak/>
              <w:t>Formador de Mercado</w:t>
            </w:r>
          </w:p>
        </w:tc>
        <w:tc>
          <w:tcPr>
            <w:tcW w:w="5670" w:type="dxa"/>
          </w:tcPr>
          <w:p w14:paraId="6CF56D28" w14:textId="304685CA" w:rsidR="00D51B7A" w:rsidRPr="00E66C26" w:rsidRDefault="0045128C" w:rsidP="008279E1">
            <w:pPr>
              <w:pStyle w:val="Body"/>
              <w:rPr>
                <w:rFonts w:ascii="Calibri" w:hAnsi="Calibri" w:cs="Calibri"/>
                <w:sz w:val="24"/>
              </w:rPr>
            </w:pPr>
            <w:r w:rsidRPr="00E66C26">
              <w:rPr>
                <w:rFonts w:ascii="Calibri" w:hAnsi="Calibri" w:cs="Calibri"/>
                <w:sz w:val="24"/>
              </w:rPr>
              <w:t xml:space="preserve">Em conformidade com o disposto no Código ANBIMA, o Coordenador Líder recomendou à Emissora a contratação de instituição para desenvolver atividades de formador de mercado, </w:t>
            </w:r>
            <w:r w:rsidR="001E14F2" w:rsidRPr="00E66C26">
              <w:rPr>
                <w:rFonts w:ascii="Calibri" w:hAnsi="Calibri" w:cs="Calibri"/>
                <w:sz w:val="24"/>
              </w:rPr>
              <w:t xml:space="preserve">nos termos da Instrução da CVM n° 384, de 17 de março de 2003, conforme alterada, </w:t>
            </w:r>
            <w:r w:rsidRPr="00E66C26">
              <w:rPr>
                <w:rFonts w:ascii="Calibri" w:hAnsi="Calibri" w:cs="Calibri"/>
                <w:sz w:val="24"/>
              </w:rPr>
              <w:t>no entanto, não haverá contratação de formador de mercado.</w:t>
            </w:r>
          </w:p>
          <w:p w14:paraId="11C3EA2A" w14:textId="71984184" w:rsidR="00C37175" w:rsidRPr="00E66C26" w:rsidRDefault="00C37175" w:rsidP="008279E1">
            <w:pPr>
              <w:pStyle w:val="Body"/>
              <w:rPr>
                <w:rFonts w:ascii="Calibri" w:hAnsi="Calibri" w:cs="Calibri"/>
                <w:b/>
                <w:bCs/>
                <w:sz w:val="24"/>
              </w:rPr>
            </w:pPr>
            <w:r w:rsidRPr="00E66C26">
              <w:rPr>
                <w:rFonts w:ascii="Calibri" w:hAnsi="Calibri" w:cs="Calibri"/>
                <w:b/>
                <w:bCs/>
                <w:sz w:val="24"/>
              </w:rPr>
              <w:t xml:space="preserve">Para mais informações, veja a seção “Informações Relativas à Emissão, a Oferta e às Debêntures – Características da Emissão e das Debêntures – Formador de Mercado”, na página </w:t>
            </w:r>
            <w:r w:rsidR="008D678B">
              <w:rPr>
                <w:rFonts w:ascii="Calibri" w:hAnsi="Calibri" w:cs="Calibri"/>
                <w:b/>
                <w:bCs/>
                <w:sz w:val="24"/>
              </w:rPr>
              <w:t>74</w:t>
            </w:r>
            <w:r w:rsidRPr="00E66C26">
              <w:rPr>
                <w:rFonts w:ascii="Calibri" w:hAnsi="Calibri" w:cs="Calibri"/>
                <w:b/>
                <w:bCs/>
                <w:sz w:val="24"/>
              </w:rPr>
              <w:t xml:space="preserve"> do Prospecto Preliminar. </w:t>
            </w:r>
          </w:p>
        </w:tc>
      </w:tr>
      <w:tr w:rsidR="00D2653F" w:rsidRPr="00E66C26" w14:paraId="65931B07" w14:textId="77777777" w:rsidTr="00F729A2">
        <w:trPr>
          <w:jc w:val="center"/>
        </w:trPr>
        <w:tc>
          <w:tcPr>
            <w:tcW w:w="2552" w:type="dxa"/>
          </w:tcPr>
          <w:p w14:paraId="116F612E" w14:textId="018EEAF8" w:rsidR="00D2653F" w:rsidRPr="00E66C26" w:rsidRDefault="00C37175" w:rsidP="0029198E">
            <w:pPr>
              <w:pStyle w:val="Body"/>
              <w:jc w:val="left"/>
              <w:rPr>
                <w:rFonts w:ascii="Calibri" w:hAnsi="Calibri" w:cs="Calibri"/>
                <w:b/>
                <w:sz w:val="24"/>
              </w:rPr>
            </w:pPr>
            <w:r w:rsidRPr="00E66C26">
              <w:rPr>
                <w:rFonts w:ascii="Calibri" w:hAnsi="Calibri" w:cs="Calibri"/>
                <w:b/>
                <w:sz w:val="24"/>
              </w:rPr>
              <w:t>Destinação dos Recursos</w:t>
            </w:r>
          </w:p>
        </w:tc>
        <w:tc>
          <w:tcPr>
            <w:tcW w:w="5670" w:type="dxa"/>
          </w:tcPr>
          <w:p w14:paraId="3B5EF2AC" w14:textId="6C84AB4F" w:rsidR="00D2653F" w:rsidRPr="00C30EF8" w:rsidRDefault="00C37175" w:rsidP="0029198E">
            <w:pPr>
              <w:pStyle w:val="Body"/>
              <w:rPr>
                <w:rFonts w:ascii="Calibri" w:hAnsi="Calibri" w:cs="Calibri"/>
                <w:spacing w:val="-4"/>
                <w:sz w:val="24"/>
              </w:rPr>
            </w:pPr>
            <w:r w:rsidRPr="00C30EF8">
              <w:rPr>
                <w:rFonts w:ascii="Calibri" w:hAnsi="Calibri" w:cs="Calibri"/>
                <w:spacing w:val="-4"/>
                <w:sz w:val="24"/>
              </w:rPr>
              <w:t>Os recursos líquidos obtidos pela Emissora com as Debêntures (inclusive decorrentes das Debêntures Adicionais, caso emitidas) serão integralmente destinados ao desenvolvimento, construção e operação dos Projetos de Investimento, considerados prioritários nos termos do artigo 2º da Lei nº 12.431, do Decreto 8.874 e das Portarias do Ministério de Minas e Energia, respectivamente, que aprovaram o enquadramento dos Projetos de Investimento como prioritários, conforme detalhado abaixo:</w:t>
            </w:r>
          </w:p>
          <w:p w14:paraId="02F0413B" w14:textId="44A19A6D" w:rsidR="00C37175" w:rsidRPr="00C30EF8" w:rsidRDefault="00C37175" w:rsidP="00C37175">
            <w:pPr>
              <w:pStyle w:val="Level2"/>
              <w:rPr>
                <w:rFonts w:ascii="Calibri" w:hAnsi="Calibri" w:cs="Calibri"/>
                <w:spacing w:val="-4"/>
                <w:sz w:val="24"/>
                <w:szCs w:val="24"/>
              </w:rPr>
            </w:pPr>
            <w:r w:rsidRPr="00C30EF8">
              <w:rPr>
                <w:rFonts w:ascii="Calibri" w:hAnsi="Calibri" w:cs="Calibri"/>
                <w:spacing w:val="-4"/>
                <w:sz w:val="24"/>
                <w:szCs w:val="24"/>
              </w:rPr>
              <w:t xml:space="preserve">Portaria n° </w:t>
            </w:r>
            <w:r w:rsidR="00E92634" w:rsidRPr="00C30EF8">
              <w:rPr>
                <w:rFonts w:ascii="Calibri" w:hAnsi="Calibri" w:cs="Calibri"/>
                <w:spacing w:val="-4"/>
                <w:sz w:val="24"/>
                <w:szCs w:val="24"/>
              </w:rPr>
              <w:t xml:space="preserve">21, </w:t>
            </w:r>
            <w:r w:rsidRPr="00C30EF8">
              <w:rPr>
                <w:rFonts w:ascii="Calibri" w:hAnsi="Calibri" w:cs="Calibri"/>
                <w:spacing w:val="-4"/>
                <w:sz w:val="24"/>
                <w:szCs w:val="24"/>
              </w:rPr>
              <w:t xml:space="preserve">de </w:t>
            </w:r>
            <w:r w:rsidR="00E92634" w:rsidRPr="00C30EF8">
              <w:rPr>
                <w:rFonts w:ascii="Calibri" w:hAnsi="Calibri" w:cs="Calibri"/>
                <w:spacing w:val="-4"/>
                <w:sz w:val="24"/>
                <w:szCs w:val="24"/>
              </w:rPr>
              <w:t>04</w:t>
            </w:r>
            <w:r w:rsidRPr="00C30EF8">
              <w:rPr>
                <w:rFonts w:ascii="Calibri" w:hAnsi="Calibri" w:cs="Calibri"/>
                <w:spacing w:val="-4"/>
                <w:sz w:val="24"/>
                <w:szCs w:val="24"/>
              </w:rPr>
              <w:t xml:space="preserve"> de </w:t>
            </w:r>
            <w:r w:rsidR="00E92634" w:rsidRPr="00C30EF8">
              <w:rPr>
                <w:rFonts w:ascii="Calibri" w:hAnsi="Calibri" w:cs="Calibri"/>
                <w:spacing w:val="-4"/>
                <w:sz w:val="24"/>
                <w:szCs w:val="24"/>
              </w:rPr>
              <w:t>maio</w:t>
            </w:r>
            <w:r w:rsidRPr="00C30EF8">
              <w:rPr>
                <w:rFonts w:ascii="Calibri" w:hAnsi="Calibri" w:cs="Calibri"/>
                <w:spacing w:val="-4"/>
                <w:sz w:val="24"/>
                <w:szCs w:val="24"/>
              </w:rPr>
              <w:t xml:space="preserve"> de 2021:</w:t>
            </w:r>
          </w:p>
          <w:p w14:paraId="6ACB1157" w14:textId="7E95B2BE"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t xml:space="preserve">(a) Objetivo do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Boa Vista: </w:t>
            </w:r>
            <w:r w:rsidRPr="00C30EF8">
              <w:rPr>
                <w:rFonts w:ascii="Calibri" w:hAnsi="Calibri" w:cs="Calibri"/>
                <w:spacing w:val="-4"/>
                <w:sz w:val="24"/>
                <w:lang w:eastAsia="en-US"/>
              </w:rPr>
              <w:t>projeto de investimento na atividade de produção e estocagem de biocombustíveis e da sua biomassa denominado “</w:t>
            </w:r>
            <w:proofErr w:type="spellStart"/>
            <w:r w:rsidRPr="00C30EF8">
              <w:rPr>
                <w:rFonts w:ascii="Calibri" w:hAnsi="Calibri" w:cs="Calibri"/>
                <w:spacing w:val="-4"/>
                <w:sz w:val="24"/>
                <w:lang w:eastAsia="en-US"/>
              </w:rPr>
              <w:t>Capex</w:t>
            </w:r>
            <w:proofErr w:type="spellEnd"/>
            <w:r w:rsidRPr="00C30EF8">
              <w:rPr>
                <w:rFonts w:ascii="Calibri" w:hAnsi="Calibri" w:cs="Calibri"/>
                <w:spacing w:val="-4"/>
                <w:sz w:val="24"/>
                <w:lang w:eastAsia="en-US"/>
              </w:rPr>
              <w:t xml:space="preserve"> de Manutenção e Melhoria Operacional para produção de biocombustível na Usina Boa Vista” (“</w:t>
            </w:r>
            <w:r w:rsidRPr="00C30EF8">
              <w:rPr>
                <w:rFonts w:ascii="Calibri" w:hAnsi="Calibri" w:cs="Calibri"/>
                <w:bCs/>
                <w:spacing w:val="-4"/>
                <w:sz w:val="24"/>
                <w:u w:val="single"/>
                <w:lang w:eastAsia="en-US"/>
              </w:rPr>
              <w:t xml:space="preserve">Projeto </w:t>
            </w:r>
            <w:proofErr w:type="spellStart"/>
            <w:r w:rsidRPr="00C30EF8">
              <w:rPr>
                <w:rFonts w:ascii="Calibri" w:hAnsi="Calibri" w:cs="Calibri"/>
                <w:bCs/>
                <w:spacing w:val="-4"/>
                <w:sz w:val="24"/>
                <w:u w:val="single"/>
                <w:lang w:eastAsia="en-US"/>
              </w:rPr>
              <w:t>Capex</w:t>
            </w:r>
            <w:proofErr w:type="spellEnd"/>
            <w:r w:rsidRPr="00C30EF8">
              <w:rPr>
                <w:rFonts w:ascii="Calibri" w:hAnsi="Calibri" w:cs="Calibri"/>
                <w:bCs/>
                <w:spacing w:val="-4"/>
                <w:sz w:val="24"/>
                <w:u w:val="single"/>
                <w:lang w:eastAsia="en-US"/>
              </w:rPr>
              <w:t xml:space="preserve"> Boa Vista</w:t>
            </w:r>
            <w:r w:rsidRPr="00C30EF8">
              <w:rPr>
                <w:rFonts w:ascii="Calibri" w:hAnsi="Calibri" w:cs="Calibri"/>
                <w:spacing w:val="-4"/>
                <w:sz w:val="24"/>
                <w:lang w:eastAsia="en-US"/>
              </w:rPr>
              <w:t>”)</w:t>
            </w:r>
            <w:r w:rsidRPr="00C30EF8">
              <w:rPr>
                <w:rFonts w:ascii="Calibri" w:hAnsi="Calibri" w:cs="Calibri"/>
                <w:bCs/>
                <w:spacing w:val="-4"/>
                <w:sz w:val="24"/>
                <w:lang w:eastAsia="en-US"/>
              </w:rPr>
              <w:t>;</w:t>
            </w:r>
          </w:p>
          <w:p w14:paraId="0B652EDE" w14:textId="7A7FB9E8" w:rsidR="00E92634" w:rsidRPr="00C30EF8" w:rsidRDefault="00E92634" w:rsidP="00E92634">
            <w:pPr>
              <w:spacing w:after="140" w:line="290" w:lineRule="auto"/>
              <w:jc w:val="both"/>
              <w:rPr>
                <w:rFonts w:ascii="Calibri" w:hAnsi="Calibri" w:cs="Calibri"/>
                <w:spacing w:val="-4"/>
                <w:kern w:val="20"/>
                <w:sz w:val="24"/>
                <w:lang w:eastAsia="en-US"/>
              </w:rPr>
            </w:pPr>
            <w:r w:rsidRPr="00C30EF8">
              <w:rPr>
                <w:rFonts w:ascii="Calibri" w:hAnsi="Calibri" w:cs="Calibri"/>
                <w:spacing w:val="-4"/>
                <w:kern w:val="20"/>
                <w:sz w:val="24"/>
                <w:lang w:eastAsia="en-US"/>
              </w:rPr>
              <w:t xml:space="preserve">(b) Data estimada para início do Projeto </w:t>
            </w:r>
            <w:proofErr w:type="spellStart"/>
            <w:r w:rsidRPr="00C30EF8">
              <w:rPr>
                <w:rFonts w:ascii="Calibri" w:hAnsi="Calibri" w:cs="Calibri"/>
                <w:spacing w:val="-4"/>
                <w:kern w:val="20"/>
                <w:sz w:val="24"/>
                <w:lang w:eastAsia="en-US"/>
              </w:rPr>
              <w:t>Capex</w:t>
            </w:r>
            <w:proofErr w:type="spellEnd"/>
            <w:r w:rsidRPr="00C30EF8">
              <w:rPr>
                <w:rFonts w:ascii="Calibri" w:hAnsi="Calibri" w:cs="Calibri"/>
                <w:spacing w:val="-4"/>
                <w:kern w:val="20"/>
                <w:sz w:val="24"/>
                <w:lang w:eastAsia="en-US"/>
              </w:rPr>
              <w:t xml:space="preserve"> Boa Vista: 01 de abril de 2021;</w:t>
            </w:r>
          </w:p>
          <w:p w14:paraId="43C3C2A8" w14:textId="110BE0D6" w:rsidR="00E92634" w:rsidRPr="00C30EF8" w:rsidRDefault="00E92634" w:rsidP="00E92634">
            <w:pPr>
              <w:spacing w:after="140" w:line="290" w:lineRule="auto"/>
              <w:jc w:val="both"/>
              <w:rPr>
                <w:rFonts w:ascii="Calibri" w:hAnsi="Calibri" w:cs="Calibri"/>
                <w:bCs/>
                <w:spacing w:val="-4"/>
                <w:kern w:val="20"/>
                <w:sz w:val="24"/>
                <w:lang w:eastAsia="en-US"/>
              </w:rPr>
            </w:pPr>
            <w:r w:rsidRPr="00C30EF8">
              <w:rPr>
                <w:rFonts w:ascii="Calibri" w:hAnsi="Calibri" w:cs="Calibri"/>
                <w:bCs/>
                <w:spacing w:val="-4"/>
                <w:kern w:val="20"/>
                <w:sz w:val="24"/>
                <w:lang w:eastAsia="en-US"/>
              </w:rPr>
              <w:lastRenderedPageBreak/>
              <w:t xml:space="preserve">(c) Fase atual do Projeto </w:t>
            </w:r>
            <w:proofErr w:type="spellStart"/>
            <w:r w:rsidRPr="00C30EF8">
              <w:rPr>
                <w:rFonts w:ascii="Calibri" w:hAnsi="Calibri" w:cs="Calibri"/>
                <w:bCs/>
                <w:spacing w:val="-4"/>
                <w:kern w:val="20"/>
                <w:sz w:val="24"/>
                <w:lang w:eastAsia="en-US"/>
              </w:rPr>
              <w:t>Capex</w:t>
            </w:r>
            <w:proofErr w:type="spellEnd"/>
            <w:r w:rsidRPr="00C30EF8">
              <w:rPr>
                <w:rFonts w:ascii="Calibri" w:hAnsi="Calibri" w:cs="Calibri"/>
                <w:bCs/>
                <w:spacing w:val="-4"/>
                <w:kern w:val="20"/>
                <w:sz w:val="24"/>
                <w:lang w:eastAsia="en-US"/>
              </w:rPr>
              <w:t xml:space="preserve"> Boa Vista: </w:t>
            </w:r>
            <w:r w:rsidRPr="00C30EF8">
              <w:rPr>
                <w:rFonts w:ascii="Calibri" w:hAnsi="Calibri" w:cs="Calibri"/>
                <w:spacing w:val="-4"/>
                <w:kern w:val="20"/>
                <w:sz w:val="24"/>
                <w:lang w:eastAsia="en-US"/>
              </w:rPr>
              <w:t xml:space="preserve">o Projeto </w:t>
            </w:r>
            <w:proofErr w:type="spellStart"/>
            <w:r w:rsidRPr="00C30EF8">
              <w:rPr>
                <w:rFonts w:ascii="Calibri" w:hAnsi="Calibri" w:cs="Calibri"/>
                <w:spacing w:val="-4"/>
                <w:kern w:val="20"/>
                <w:sz w:val="24"/>
                <w:lang w:eastAsia="en-US"/>
              </w:rPr>
              <w:t>Capex</w:t>
            </w:r>
            <w:proofErr w:type="spellEnd"/>
            <w:r w:rsidRPr="00C30EF8">
              <w:rPr>
                <w:rFonts w:ascii="Calibri" w:hAnsi="Calibri" w:cs="Calibri"/>
                <w:spacing w:val="-4"/>
                <w:kern w:val="20"/>
                <w:sz w:val="24"/>
                <w:lang w:eastAsia="en-US"/>
              </w:rPr>
              <w:t xml:space="preserve"> Boa Vista encontra-se na fase de </w:t>
            </w:r>
            <w:r w:rsidR="00DD3D64" w:rsidRPr="00C30EF8">
              <w:rPr>
                <w:rFonts w:ascii="Calibri" w:hAnsi="Calibri" w:cs="Calibri"/>
                <w:spacing w:val="-4"/>
                <w:kern w:val="20"/>
                <w:sz w:val="24"/>
                <w:lang w:eastAsia="en-US"/>
              </w:rPr>
              <w:t>execução</w:t>
            </w:r>
            <w:r w:rsidRPr="00C30EF8">
              <w:rPr>
                <w:rFonts w:ascii="Calibri" w:hAnsi="Calibri" w:cs="Calibri"/>
                <w:bCs/>
                <w:spacing w:val="-4"/>
                <w:kern w:val="20"/>
                <w:sz w:val="24"/>
                <w:lang w:eastAsia="en-US"/>
              </w:rPr>
              <w:t>;</w:t>
            </w:r>
          </w:p>
          <w:p w14:paraId="480F6FDD" w14:textId="77777777" w:rsidR="00E92634" w:rsidRPr="00C30EF8" w:rsidRDefault="00E92634" w:rsidP="00E92634">
            <w:pPr>
              <w:spacing w:after="140" w:line="290" w:lineRule="auto"/>
              <w:jc w:val="both"/>
              <w:rPr>
                <w:rFonts w:ascii="Calibri" w:hAnsi="Calibri" w:cs="Calibri"/>
                <w:spacing w:val="-4"/>
                <w:kern w:val="20"/>
                <w:sz w:val="24"/>
                <w:lang w:eastAsia="en-US"/>
              </w:rPr>
            </w:pPr>
            <w:r w:rsidRPr="00C30EF8">
              <w:rPr>
                <w:rFonts w:ascii="Calibri" w:hAnsi="Calibri" w:cs="Calibri"/>
                <w:spacing w:val="-4"/>
                <w:kern w:val="20"/>
                <w:sz w:val="24"/>
                <w:lang w:eastAsia="en-US"/>
              </w:rPr>
              <w:t xml:space="preserve">(d) Data estimada para encerramento do Projeto </w:t>
            </w:r>
            <w:proofErr w:type="spellStart"/>
            <w:r w:rsidRPr="00C30EF8">
              <w:rPr>
                <w:rFonts w:ascii="Calibri" w:hAnsi="Calibri" w:cs="Calibri"/>
                <w:spacing w:val="-4"/>
                <w:kern w:val="20"/>
                <w:sz w:val="24"/>
                <w:lang w:eastAsia="en-US"/>
              </w:rPr>
              <w:t>Capex</w:t>
            </w:r>
            <w:proofErr w:type="spellEnd"/>
            <w:r w:rsidRPr="00C30EF8">
              <w:rPr>
                <w:rFonts w:ascii="Calibri" w:hAnsi="Calibri" w:cs="Calibri"/>
                <w:spacing w:val="-4"/>
                <w:kern w:val="20"/>
                <w:sz w:val="24"/>
                <w:lang w:eastAsia="en-US"/>
              </w:rPr>
              <w:t xml:space="preserve"> Boa Vista: 22 de novembro de 2023;</w:t>
            </w:r>
          </w:p>
          <w:p w14:paraId="13433A0B" w14:textId="77777777" w:rsidR="00E92634" w:rsidRPr="00C30EF8" w:rsidRDefault="00E92634" w:rsidP="00E92634">
            <w:pPr>
              <w:spacing w:after="140" w:line="290" w:lineRule="auto"/>
              <w:jc w:val="both"/>
              <w:rPr>
                <w:rFonts w:ascii="Calibri" w:hAnsi="Calibri" w:cs="Calibri"/>
                <w:spacing w:val="-4"/>
                <w:kern w:val="20"/>
                <w:sz w:val="24"/>
                <w:lang w:eastAsia="en-US"/>
              </w:rPr>
            </w:pPr>
            <w:r w:rsidRPr="00C30EF8">
              <w:rPr>
                <w:rFonts w:ascii="Calibri" w:hAnsi="Calibri" w:cs="Calibri"/>
                <w:spacing w:val="-4"/>
                <w:kern w:val="20"/>
                <w:sz w:val="24"/>
                <w:lang w:eastAsia="en-US"/>
              </w:rPr>
              <w:t xml:space="preserve">(e) Volume estimado de recursos financeiros necessários para a realização do Projeto </w:t>
            </w:r>
            <w:proofErr w:type="spellStart"/>
            <w:r w:rsidRPr="00C30EF8">
              <w:rPr>
                <w:rFonts w:ascii="Calibri" w:hAnsi="Calibri" w:cs="Calibri"/>
                <w:spacing w:val="-4"/>
                <w:kern w:val="20"/>
                <w:sz w:val="24"/>
                <w:lang w:eastAsia="en-US"/>
              </w:rPr>
              <w:t>Capex</w:t>
            </w:r>
            <w:proofErr w:type="spellEnd"/>
            <w:r w:rsidRPr="00C30EF8">
              <w:rPr>
                <w:rFonts w:ascii="Calibri" w:hAnsi="Calibri" w:cs="Calibri"/>
                <w:spacing w:val="-4"/>
                <w:kern w:val="20"/>
                <w:sz w:val="24"/>
                <w:lang w:eastAsia="en-US"/>
              </w:rPr>
              <w:t xml:space="preserve"> Boa Vista: R$ 500.000.000,00 (quinhentos milhões de reais);</w:t>
            </w:r>
          </w:p>
          <w:p w14:paraId="151679C9" w14:textId="0FBD266C" w:rsidR="00E92634" w:rsidRPr="00C30EF8" w:rsidRDefault="00E92634" w:rsidP="00E92634">
            <w:pPr>
              <w:spacing w:after="140" w:line="290" w:lineRule="auto"/>
              <w:jc w:val="both"/>
              <w:rPr>
                <w:rFonts w:ascii="Calibri" w:hAnsi="Calibri" w:cs="Calibri"/>
                <w:bCs/>
                <w:spacing w:val="-4"/>
                <w:kern w:val="20"/>
                <w:sz w:val="24"/>
                <w:lang w:eastAsia="en-US"/>
              </w:rPr>
            </w:pPr>
            <w:r w:rsidRPr="00C30EF8">
              <w:rPr>
                <w:rFonts w:ascii="Calibri" w:hAnsi="Calibri" w:cs="Calibri"/>
                <w:bCs/>
                <w:spacing w:val="-4"/>
                <w:kern w:val="20"/>
                <w:sz w:val="24"/>
                <w:lang w:eastAsia="en-US"/>
              </w:rPr>
              <w:t xml:space="preserve">(f) </w:t>
            </w:r>
            <w:r w:rsidRPr="00C30EF8">
              <w:rPr>
                <w:rFonts w:ascii="Calibri" w:hAnsi="Calibri" w:cs="Calibri"/>
                <w:spacing w:val="-4"/>
                <w:kern w:val="20"/>
                <w:sz w:val="24"/>
                <w:lang w:eastAsia="en-US"/>
              </w:rPr>
              <w:t xml:space="preserve">Valor da Emissão que será destinado ao Projeto </w:t>
            </w:r>
            <w:proofErr w:type="spellStart"/>
            <w:r w:rsidRPr="00C30EF8">
              <w:rPr>
                <w:rFonts w:ascii="Calibri" w:hAnsi="Calibri" w:cs="Calibri"/>
                <w:spacing w:val="-4"/>
                <w:kern w:val="20"/>
                <w:sz w:val="24"/>
                <w:lang w:eastAsia="en-US"/>
              </w:rPr>
              <w:t>Capex</w:t>
            </w:r>
            <w:proofErr w:type="spellEnd"/>
            <w:r w:rsidRPr="00C30EF8">
              <w:rPr>
                <w:rFonts w:ascii="Calibri" w:hAnsi="Calibri" w:cs="Calibri"/>
                <w:spacing w:val="-4"/>
                <w:kern w:val="20"/>
                <w:sz w:val="24"/>
                <w:lang w:eastAsia="en-US"/>
              </w:rPr>
              <w:t xml:space="preserve"> Boa Vista: R$ </w:t>
            </w:r>
            <w:r w:rsidR="00DD3D64" w:rsidRPr="00C30EF8">
              <w:rPr>
                <w:rFonts w:ascii="Calibri" w:hAnsi="Calibri" w:cs="Calibri"/>
                <w:spacing w:val="-4"/>
                <w:kern w:val="20"/>
                <w:sz w:val="24"/>
                <w:lang w:eastAsia="en-US"/>
              </w:rPr>
              <w:t>95.443.564,00 (noventa e cinco milhões e quatrocentos e quarenta e três mil e quinhentos e sessenta e quatro reais)</w:t>
            </w:r>
            <w:r w:rsidRPr="00C30EF8">
              <w:rPr>
                <w:rFonts w:ascii="Calibri" w:hAnsi="Calibri" w:cs="Calibri"/>
                <w:spacing w:val="-4"/>
                <w:kern w:val="20"/>
                <w:sz w:val="24"/>
                <w:lang w:eastAsia="en-US"/>
              </w:rPr>
              <w:t xml:space="preserve">; </w:t>
            </w:r>
          </w:p>
          <w:p w14:paraId="1A4AD9EE" w14:textId="77777777" w:rsidR="00E92634" w:rsidRPr="00C30EF8" w:rsidRDefault="00E92634" w:rsidP="00E92634">
            <w:pPr>
              <w:spacing w:after="140" w:line="290" w:lineRule="auto"/>
              <w:jc w:val="both"/>
              <w:rPr>
                <w:rFonts w:ascii="Calibri" w:hAnsi="Calibri" w:cs="Calibri"/>
                <w:bCs/>
                <w:spacing w:val="-4"/>
                <w:kern w:val="20"/>
                <w:sz w:val="24"/>
                <w:lang w:eastAsia="en-US"/>
              </w:rPr>
            </w:pPr>
            <w:r w:rsidRPr="00C30EF8">
              <w:rPr>
                <w:rFonts w:ascii="Calibri" w:hAnsi="Calibri" w:cs="Calibri"/>
                <w:bCs/>
                <w:spacing w:val="-4"/>
                <w:kern w:val="20"/>
                <w:sz w:val="24"/>
                <w:lang w:eastAsia="en-US"/>
              </w:rPr>
              <w:t xml:space="preserve">(g) </w:t>
            </w:r>
            <w:r w:rsidRPr="00C30EF8">
              <w:rPr>
                <w:rFonts w:ascii="Calibri" w:hAnsi="Calibri" w:cs="Calibri"/>
                <w:spacing w:val="-4"/>
                <w:kern w:val="20"/>
                <w:sz w:val="24"/>
                <w:lang w:eastAsia="en-US"/>
              </w:rPr>
              <w:t>Alocação dos recursos a serem captados por meio da Emissão: plantio de cana-de-açúcar, manutenção de entressafra, novos equipamentos, reposição de equipamentos tratos culturais, gatos ambientais e legais;</w:t>
            </w:r>
          </w:p>
          <w:p w14:paraId="449744FF" w14:textId="3C55EF14" w:rsidR="00E92634" w:rsidRPr="00C30EF8" w:rsidRDefault="00E92634" w:rsidP="00E92634">
            <w:pPr>
              <w:spacing w:after="140" w:line="290" w:lineRule="auto"/>
              <w:jc w:val="both"/>
              <w:rPr>
                <w:rFonts w:ascii="Calibri" w:hAnsi="Calibri" w:cs="Calibri"/>
                <w:spacing w:val="-4"/>
                <w:kern w:val="20"/>
                <w:sz w:val="24"/>
                <w:lang w:eastAsia="en-US"/>
              </w:rPr>
            </w:pPr>
            <w:r w:rsidRPr="00C30EF8">
              <w:rPr>
                <w:rFonts w:ascii="Calibri" w:hAnsi="Calibri" w:cs="Calibri"/>
                <w:bCs/>
                <w:spacing w:val="-4"/>
                <w:kern w:val="20"/>
                <w:sz w:val="24"/>
                <w:lang w:eastAsia="en-US"/>
              </w:rPr>
              <w:t xml:space="preserve">(h) </w:t>
            </w:r>
            <w:r w:rsidRPr="00C30EF8">
              <w:rPr>
                <w:rFonts w:ascii="Calibri" w:hAnsi="Calibri" w:cs="Calibri"/>
                <w:spacing w:val="-4"/>
                <w:kern w:val="20"/>
                <w:sz w:val="24"/>
                <w:lang w:eastAsia="en-US"/>
              </w:rPr>
              <w:t xml:space="preserve">Percentual dos recursos financeiros necessários ao Projeto </w:t>
            </w:r>
            <w:proofErr w:type="spellStart"/>
            <w:r w:rsidRPr="00C30EF8">
              <w:rPr>
                <w:rFonts w:ascii="Calibri" w:hAnsi="Calibri" w:cs="Calibri"/>
                <w:spacing w:val="-4"/>
                <w:kern w:val="20"/>
                <w:sz w:val="24"/>
                <w:lang w:eastAsia="en-US"/>
              </w:rPr>
              <w:t>Capex</w:t>
            </w:r>
            <w:proofErr w:type="spellEnd"/>
            <w:r w:rsidRPr="00C30EF8">
              <w:rPr>
                <w:rFonts w:ascii="Calibri" w:hAnsi="Calibri" w:cs="Calibri"/>
                <w:spacing w:val="-4"/>
                <w:kern w:val="20"/>
                <w:sz w:val="24"/>
                <w:lang w:eastAsia="en-US"/>
              </w:rPr>
              <w:t xml:space="preserve"> Boa Vista provenientes da Emissão: os recursos provenientes da Emissão correspondem a aproximadamente </w:t>
            </w:r>
            <w:r w:rsidR="00DD3D64" w:rsidRPr="00C30EF8">
              <w:rPr>
                <w:rFonts w:ascii="Calibri" w:hAnsi="Calibri" w:cs="Calibri"/>
                <w:spacing w:val="-4"/>
                <w:kern w:val="20"/>
                <w:sz w:val="24"/>
                <w:lang w:eastAsia="en-US"/>
              </w:rPr>
              <w:t>19,10</w:t>
            </w:r>
            <w:r w:rsidRPr="00C30EF8">
              <w:rPr>
                <w:rFonts w:ascii="Calibri" w:hAnsi="Calibri" w:cs="Calibri"/>
                <w:spacing w:val="-4"/>
                <w:kern w:val="20"/>
                <w:sz w:val="24"/>
                <w:lang w:eastAsia="en-US"/>
              </w:rPr>
              <w:t>% (</w:t>
            </w:r>
            <w:r w:rsidR="00DD3D64" w:rsidRPr="00C30EF8">
              <w:rPr>
                <w:rFonts w:ascii="Calibri" w:hAnsi="Calibri" w:cs="Calibri"/>
                <w:spacing w:val="-4"/>
                <w:kern w:val="20"/>
                <w:sz w:val="24"/>
                <w:lang w:eastAsia="en-US"/>
              </w:rPr>
              <w:t xml:space="preserve">dezenove inteiros e dez centésimos por cento) </w:t>
            </w:r>
            <w:r w:rsidRPr="00C30EF8">
              <w:rPr>
                <w:rFonts w:ascii="Calibri" w:hAnsi="Calibri" w:cs="Calibri"/>
                <w:spacing w:val="-4"/>
                <w:kern w:val="20"/>
                <w:sz w:val="24"/>
                <w:lang w:eastAsia="en-US"/>
              </w:rPr>
              <w:t xml:space="preserve">do valor total de recursos financeiros necessários a Projeto </w:t>
            </w:r>
            <w:proofErr w:type="spellStart"/>
            <w:r w:rsidRPr="00C30EF8">
              <w:rPr>
                <w:rFonts w:ascii="Calibri" w:hAnsi="Calibri" w:cs="Calibri"/>
                <w:spacing w:val="-4"/>
                <w:kern w:val="20"/>
                <w:sz w:val="24"/>
                <w:lang w:eastAsia="en-US"/>
              </w:rPr>
              <w:t>Capex</w:t>
            </w:r>
            <w:proofErr w:type="spellEnd"/>
            <w:r w:rsidRPr="00C30EF8">
              <w:rPr>
                <w:rFonts w:ascii="Calibri" w:hAnsi="Calibri" w:cs="Calibri"/>
                <w:spacing w:val="-4"/>
                <w:kern w:val="20"/>
                <w:sz w:val="24"/>
                <w:lang w:eastAsia="en-US"/>
              </w:rPr>
              <w:t xml:space="preserve"> Boa Vista.</w:t>
            </w:r>
          </w:p>
          <w:p w14:paraId="12C6C58B" w14:textId="2C583A57" w:rsidR="00C37175" w:rsidRPr="00C30EF8" w:rsidRDefault="00C37175" w:rsidP="00C37175">
            <w:pPr>
              <w:pStyle w:val="Level2"/>
              <w:rPr>
                <w:rFonts w:ascii="Calibri" w:hAnsi="Calibri" w:cs="Calibri"/>
                <w:spacing w:val="-4"/>
                <w:sz w:val="24"/>
              </w:rPr>
            </w:pPr>
            <w:r w:rsidRPr="00C30EF8">
              <w:rPr>
                <w:rFonts w:ascii="Calibri" w:hAnsi="Calibri" w:cs="Calibri"/>
                <w:spacing w:val="-4"/>
                <w:sz w:val="24"/>
                <w:szCs w:val="24"/>
              </w:rPr>
              <w:t xml:space="preserve">Portaria n° </w:t>
            </w:r>
            <w:r w:rsidR="00E92634" w:rsidRPr="00C30EF8">
              <w:rPr>
                <w:rFonts w:ascii="Calibri" w:hAnsi="Calibri" w:cs="Calibri"/>
                <w:spacing w:val="-4"/>
                <w:sz w:val="24"/>
                <w:szCs w:val="24"/>
              </w:rPr>
              <w:t>35/SPG/MME</w:t>
            </w:r>
            <w:r w:rsidRPr="00C30EF8">
              <w:rPr>
                <w:rFonts w:ascii="Calibri" w:hAnsi="Calibri" w:cs="Calibri"/>
                <w:spacing w:val="-4"/>
                <w:sz w:val="24"/>
                <w:szCs w:val="24"/>
              </w:rPr>
              <w:t xml:space="preserve">, de </w:t>
            </w:r>
            <w:r w:rsidR="00E92634" w:rsidRPr="00C30EF8">
              <w:rPr>
                <w:rFonts w:ascii="Calibri" w:hAnsi="Calibri" w:cs="Calibri"/>
                <w:spacing w:val="-4"/>
                <w:sz w:val="24"/>
                <w:szCs w:val="24"/>
              </w:rPr>
              <w:t>18</w:t>
            </w:r>
            <w:r w:rsidRPr="00C30EF8">
              <w:rPr>
                <w:rFonts w:ascii="Calibri" w:hAnsi="Calibri" w:cs="Calibri"/>
                <w:spacing w:val="-4"/>
                <w:sz w:val="24"/>
                <w:szCs w:val="24"/>
              </w:rPr>
              <w:t xml:space="preserve"> de </w:t>
            </w:r>
            <w:r w:rsidR="00E92634" w:rsidRPr="00C30EF8">
              <w:rPr>
                <w:rFonts w:ascii="Calibri" w:hAnsi="Calibri" w:cs="Calibri"/>
                <w:spacing w:val="-4"/>
                <w:sz w:val="24"/>
                <w:szCs w:val="24"/>
              </w:rPr>
              <w:t>outubro</w:t>
            </w:r>
            <w:r w:rsidRPr="00C30EF8">
              <w:rPr>
                <w:rFonts w:ascii="Calibri" w:hAnsi="Calibri" w:cs="Calibri"/>
                <w:spacing w:val="-4"/>
                <w:sz w:val="24"/>
                <w:szCs w:val="24"/>
              </w:rPr>
              <w:t xml:space="preserve"> de 2021:</w:t>
            </w:r>
          </w:p>
          <w:p w14:paraId="47E97F62" w14:textId="2B8B6A4D"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t xml:space="preserve">(a) Objetivo do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 projeto de investimento na atividade de produção de biocombustíveis e da sua biomassa denominado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de manutenção para produção de Biocombustível na Usina São Martinho, Usina Santa Cruz e Usina Iracema”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 e, em conjunto com 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Boa Vista, os “Projetos de Investimento”);</w:t>
            </w:r>
          </w:p>
          <w:p w14:paraId="63C8BF52" w14:textId="6BDFB8F0"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lastRenderedPageBreak/>
              <w:t xml:space="preserve">(b) Data estimada para início do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 </w:t>
            </w:r>
            <w:r w:rsidR="00DD3D64" w:rsidRPr="00C30EF8">
              <w:rPr>
                <w:rFonts w:ascii="Calibri" w:hAnsi="Calibri" w:cs="Calibri"/>
                <w:bCs/>
                <w:spacing w:val="-4"/>
                <w:sz w:val="24"/>
                <w:lang w:eastAsia="en-US"/>
              </w:rPr>
              <w:t>01 de abril de 2021</w:t>
            </w:r>
            <w:r w:rsidRPr="00C30EF8">
              <w:rPr>
                <w:rFonts w:ascii="Calibri" w:hAnsi="Calibri" w:cs="Calibri"/>
                <w:bCs/>
                <w:spacing w:val="-4"/>
                <w:sz w:val="24"/>
                <w:lang w:eastAsia="en-US"/>
              </w:rPr>
              <w:t>;</w:t>
            </w:r>
          </w:p>
          <w:p w14:paraId="27609C22" w14:textId="00C6AF53"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t xml:space="preserve">(c) Fase atual do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 </w:t>
            </w:r>
            <w:r w:rsidR="00DD3D64" w:rsidRPr="00C30EF8">
              <w:rPr>
                <w:rFonts w:ascii="Calibri" w:hAnsi="Calibri" w:cs="Calibri"/>
                <w:bCs/>
                <w:spacing w:val="-4"/>
                <w:sz w:val="24"/>
                <w:lang w:eastAsia="en-US"/>
              </w:rPr>
              <w:t xml:space="preserve">o Projeto </w:t>
            </w:r>
            <w:proofErr w:type="spellStart"/>
            <w:r w:rsidR="00DD3D64" w:rsidRPr="00C30EF8">
              <w:rPr>
                <w:rFonts w:ascii="Calibri" w:hAnsi="Calibri" w:cs="Calibri"/>
                <w:bCs/>
                <w:spacing w:val="-4"/>
                <w:sz w:val="24"/>
                <w:lang w:eastAsia="en-US"/>
              </w:rPr>
              <w:t>Capex</w:t>
            </w:r>
            <w:proofErr w:type="spellEnd"/>
            <w:r w:rsidR="00DD3D64" w:rsidRPr="00C30EF8">
              <w:rPr>
                <w:rFonts w:ascii="Calibri" w:hAnsi="Calibri" w:cs="Calibri"/>
                <w:bCs/>
                <w:spacing w:val="-4"/>
                <w:sz w:val="24"/>
                <w:lang w:eastAsia="en-US"/>
              </w:rPr>
              <w:t xml:space="preserve"> Usinas encontra-se na fase de execução</w:t>
            </w:r>
            <w:r w:rsidRPr="00C30EF8">
              <w:rPr>
                <w:rFonts w:ascii="Calibri" w:hAnsi="Calibri" w:cs="Calibri"/>
                <w:bCs/>
                <w:spacing w:val="-4"/>
                <w:sz w:val="24"/>
                <w:lang w:eastAsia="en-US"/>
              </w:rPr>
              <w:t>;</w:t>
            </w:r>
          </w:p>
          <w:p w14:paraId="40529B0B" w14:textId="6140B86D"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t xml:space="preserve">(d) Data estimada para encerramento do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 </w:t>
            </w:r>
            <w:r w:rsidR="00DD3D64" w:rsidRPr="00C30EF8">
              <w:rPr>
                <w:rFonts w:ascii="Calibri" w:hAnsi="Calibri" w:cs="Calibri"/>
                <w:bCs/>
                <w:spacing w:val="-4"/>
                <w:sz w:val="24"/>
                <w:lang w:eastAsia="en-US"/>
              </w:rPr>
              <w:t xml:space="preserve">31 </w:t>
            </w:r>
            <w:r w:rsidRPr="00C30EF8">
              <w:rPr>
                <w:rFonts w:ascii="Calibri" w:hAnsi="Calibri" w:cs="Calibri"/>
                <w:bCs/>
                <w:spacing w:val="-4"/>
                <w:sz w:val="24"/>
                <w:lang w:eastAsia="en-US"/>
              </w:rPr>
              <w:t>de março de 2023;</w:t>
            </w:r>
          </w:p>
          <w:p w14:paraId="3C12D4E8" w14:textId="0AF00D10"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t xml:space="preserve">(e) Volume estimado de recursos financeiros necessários para a realização do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 R$</w:t>
            </w:r>
            <w:r w:rsidR="00DD3D64" w:rsidRPr="00C30EF8">
              <w:rPr>
                <w:rFonts w:ascii="Calibri" w:hAnsi="Calibri" w:cs="Calibri"/>
                <w:bCs/>
                <w:spacing w:val="-4"/>
                <w:sz w:val="24"/>
                <w:lang w:eastAsia="en-US"/>
              </w:rPr>
              <w:t> 1.104.556.436,00 (um bilhão e cento e quatro milhões e quinhentos e cinquenta e seis mil e quatrocentos e trinta e seis reais)</w:t>
            </w:r>
            <w:r w:rsidRPr="00C30EF8">
              <w:rPr>
                <w:rFonts w:ascii="Calibri" w:hAnsi="Calibri" w:cs="Calibri"/>
                <w:bCs/>
                <w:spacing w:val="-4"/>
                <w:sz w:val="24"/>
                <w:lang w:eastAsia="en-US"/>
              </w:rPr>
              <w:t>;</w:t>
            </w:r>
          </w:p>
          <w:p w14:paraId="397E8EF0" w14:textId="2EB0E5D3"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t xml:space="preserve">(f) Valor da Emissão que será destinado ao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 R$</w:t>
            </w:r>
            <w:r w:rsidR="00DD3D64" w:rsidRPr="00C30EF8">
              <w:rPr>
                <w:rFonts w:ascii="Calibri" w:hAnsi="Calibri" w:cs="Calibri"/>
                <w:bCs/>
                <w:spacing w:val="-4"/>
                <w:sz w:val="24"/>
                <w:lang w:eastAsia="en-US"/>
              </w:rPr>
              <w:t> 904.556.436,00 (novecentos e quatro milhões e quinhentos e cinquenta e seis mil e quatrocentos e trinta e seis reais)</w:t>
            </w:r>
            <w:r w:rsidRPr="00C30EF8">
              <w:rPr>
                <w:rFonts w:ascii="Calibri" w:hAnsi="Calibri" w:cs="Calibri"/>
                <w:bCs/>
                <w:spacing w:val="-4"/>
                <w:sz w:val="24"/>
                <w:lang w:eastAsia="en-US"/>
              </w:rPr>
              <w:t xml:space="preserve">; </w:t>
            </w:r>
          </w:p>
          <w:p w14:paraId="473E720A" w14:textId="77777777" w:rsidR="00E92634" w:rsidRPr="00C30EF8" w:rsidRDefault="00E92634" w:rsidP="00E92634">
            <w:pPr>
              <w:spacing w:after="140" w:line="290" w:lineRule="auto"/>
              <w:jc w:val="both"/>
              <w:rPr>
                <w:rFonts w:ascii="Calibri" w:hAnsi="Calibri" w:cs="Calibri"/>
                <w:bCs/>
                <w:spacing w:val="-4"/>
                <w:sz w:val="24"/>
                <w:lang w:eastAsia="en-US"/>
              </w:rPr>
            </w:pPr>
            <w:r w:rsidRPr="00C30EF8">
              <w:rPr>
                <w:rFonts w:ascii="Calibri" w:hAnsi="Calibri" w:cs="Calibri"/>
                <w:bCs/>
                <w:spacing w:val="-4"/>
                <w:sz w:val="24"/>
                <w:lang w:eastAsia="en-US"/>
              </w:rPr>
              <w:t xml:space="preserve">(g) Alocação dos recursos a serem captados por meio da Emissão: manutenção dos canaviais e das indústrias, especificamente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1AB852AB" w14:textId="310378D6" w:rsidR="00E92634" w:rsidRPr="00C30EF8" w:rsidRDefault="00E92634" w:rsidP="00E92634">
            <w:pPr>
              <w:spacing w:after="140" w:line="290" w:lineRule="auto"/>
              <w:jc w:val="both"/>
              <w:rPr>
                <w:rFonts w:ascii="Calibri" w:hAnsi="Calibri" w:cs="Calibri"/>
                <w:spacing w:val="-4"/>
                <w:kern w:val="20"/>
                <w:sz w:val="24"/>
                <w:lang w:eastAsia="en-US"/>
              </w:rPr>
            </w:pPr>
            <w:r w:rsidRPr="00C30EF8">
              <w:rPr>
                <w:rFonts w:ascii="Calibri" w:hAnsi="Calibri" w:cs="Calibri"/>
                <w:bCs/>
                <w:spacing w:val="-4"/>
                <w:sz w:val="24"/>
                <w:lang w:eastAsia="en-US"/>
              </w:rPr>
              <w:t xml:space="preserve">(h) Percentual dos recursos financeiros necessários ao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provenientes da Emissão: os recursos provenientes da Emissão correspondem a aproximadamente </w:t>
            </w:r>
            <w:r w:rsidR="00DD3D64" w:rsidRPr="00C30EF8">
              <w:rPr>
                <w:rFonts w:ascii="Calibri" w:hAnsi="Calibri" w:cs="Calibri"/>
                <w:bCs/>
                <w:spacing w:val="-4"/>
                <w:sz w:val="24"/>
                <w:lang w:eastAsia="en-US"/>
              </w:rPr>
              <w:t>81,90</w:t>
            </w:r>
            <w:r w:rsidRPr="00C30EF8">
              <w:rPr>
                <w:rFonts w:ascii="Calibri" w:hAnsi="Calibri" w:cs="Calibri"/>
                <w:bCs/>
                <w:spacing w:val="-4"/>
                <w:sz w:val="24"/>
                <w:lang w:eastAsia="en-US"/>
              </w:rPr>
              <w:t>%</w:t>
            </w:r>
            <w:r w:rsidR="00DD3D64" w:rsidRPr="00C30EF8">
              <w:rPr>
                <w:rFonts w:ascii="Calibri" w:hAnsi="Calibri" w:cs="Calibri"/>
                <w:bCs/>
                <w:spacing w:val="-4"/>
                <w:sz w:val="24"/>
                <w:lang w:eastAsia="en-US"/>
              </w:rPr>
              <w:t xml:space="preserve"> (oitenta e um inteiros e noventa centésimos por cento)</w:t>
            </w:r>
            <w:r w:rsidRPr="00C30EF8">
              <w:rPr>
                <w:rFonts w:ascii="Calibri" w:hAnsi="Calibri" w:cs="Calibri"/>
                <w:bCs/>
                <w:spacing w:val="-4"/>
                <w:sz w:val="24"/>
                <w:lang w:eastAsia="en-US"/>
              </w:rPr>
              <w:t xml:space="preserve"> do valor total de recursos financeiros necessários a Projeto </w:t>
            </w:r>
            <w:proofErr w:type="spellStart"/>
            <w:r w:rsidRPr="00C30EF8">
              <w:rPr>
                <w:rFonts w:ascii="Calibri" w:hAnsi="Calibri" w:cs="Calibri"/>
                <w:bCs/>
                <w:spacing w:val="-4"/>
                <w:sz w:val="24"/>
                <w:lang w:eastAsia="en-US"/>
              </w:rPr>
              <w:t>Capex</w:t>
            </w:r>
            <w:proofErr w:type="spellEnd"/>
            <w:r w:rsidRPr="00C30EF8">
              <w:rPr>
                <w:rFonts w:ascii="Calibri" w:hAnsi="Calibri" w:cs="Calibri"/>
                <w:bCs/>
                <w:spacing w:val="-4"/>
                <w:sz w:val="24"/>
                <w:lang w:eastAsia="en-US"/>
              </w:rPr>
              <w:t xml:space="preserve"> Usinas</w:t>
            </w:r>
            <w:r w:rsidRPr="00C30EF8">
              <w:rPr>
                <w:rFonts w:ascii="Calibri" w:hAnsi="Calibri" w:cs="Calibri"/>
                <w:spacing w:val="-4"/>
                <w:kern w:val="20"/>
                <w:sz w:val="24"/>
                <w:lang w:eastAsia="en-US"/>
              </w:rPr>
              <w:t>;</w:t>
            </w:r>
          </w:p>
          <w:p w14:paraId="305A15AD" w14:textId="136AFC08" w:rsidR="00E92634" w:rsidRPr="00C30EF8" w:rsidRDefault="00E92634" w:rsidP="00C37175">
            <w:pPr>
              <w:pStyle w:val="Level2"/>
              <w:rPr>
                <w:rFonts w:ascii="Calibri" w:hAnsi="Calibri" w:cs="Calibri"/>
                <w:spacing w:val="-4"/>
                <w:sz w:val="24"/>
                <w:szCs w:val="24"/>
              </w:rPr>
            </w:pPr>
            <w:r w:rsidRPr="00C30EF8">
              <w:rPr>
                <w:rFonts w:ascii="Calibri" w:hAnsi="Calibri" w:cs="Calibri"/>
                <w:spacing w:val="-4"/>
                <w:sz w:val="24"/>
                <w:szCs w:val="24"/>
              </w:rPr>
              <w:lastRenderedPageBreak/>
              <w:t>Caso haja a emissão das Debêntures Adicionais, o montante dos recursos líquidos obtidos com a Oferta em decorrência de tal emissão será destinado integralmente aos Projetos de Investimento, conforme condições previstas na Cláusula 4ª da Escritura de Emissão.</w:t>
            </w:r>
          </w:p>
          <w:p w14:paraId="027F37FA" w14:textId="51EF489C" w:rsidR="00C37175" w:rsidRPr="00C30EF8" w:rsidRDefault="00E92634" w:rsidP="00C37175">
            <w:pPr>
              <w:pStyle w:val="Level2"/>
              <w:rPr>
                <w:rFonts w:ascii="Calibri" w:hAnsi="Calibri" w:cs="Calibri"/>
                <w:spacing w:val="-4"/>
                <w:sz w:val="24"/>
              </w:rPr>
            </w:pPr>
            <w:r w:rsidRPr="00C30EF8">
              <w:rPr>
                <w:rFonts w:ascii="Calibri" w:hAnsi="Calibri" w:cs="Calibri"/>
                <w:spacing w:val="-4"/>
                <w:sz w:val="24"/>
                <w:szCs w:val="24"/>
              </w:rPr>
              <w:t>Para o cumprimento, pelo Agente Fiduciário, do disposto na Resolução da CVM nº 17, de 9 de fevereiro de 2021, conforme alterada ("</w:t>
            </w:r>
            <w:r w:rsidRPr="00C30EF8">
              <w:rPr>
                <w:rFonts w:ascii="Calibri" w:hAnsi="Calibri" w:cs="Calibri"/>
                <w:spacing w:val="-4"/>
                <w:sz w:val="24"/>
                <w:szCs w:val="24"/>
                <w:u w:val="single"/>
              </w:rPr>
              <w:t>Resolução CVM 17"</w:t>
            </w:r>
            <w:r w:rsidRPr="00C30EF8">
              <w:rPr>
                <w:rFonts w:ascii="Calibri" w:hAnsi="Calibri" w:cs="Calibri"/>
                <w:spacing w:val="-4"/>
                <w:sz w:val="24"/>
                <w:szCs w:val="24"/>
              </w:rPr>
              <w:t>), a Emissora deverá enviar ao Agente Fiduciário, no prazo de até 15 (quinze) dias úteis, da solicitação pelo Agente Fiduciário, até a data em que ocorrer primeiro entre a Data de Vencimento e a data em que a Emissora comprove a aplicação da totalidade dos recursos obtidos com estas Debêntures: (i) declaração em papel timbrado na forma do Anexo II, assinada por representante legal com poderes para tanto nos termos do seu estatuto social, atestando que os recursos oriundos da Emissão foram aplicados na forma prevista na Cláusula 4.1 acima; ou (</w:t>
            </w:r>
            <w:proofErr w:type="spellStart"/>
            <w:r w:rsidRPr="00C30EF8">
              <w:rPr>
                <w:rFonts w:ascii="Calibri" w:hAnsi="Calibri" w:cs="Calibri"/>
                <w:spacing w:val="-4"/>
                <w:sz w:val="24"/>
                <w:szCs w:val="24"/>
              </w:rPr>
              <w:t>ii</w:t>
            </w:r>
            <w:proofErr w:type="spellEnd"/>
            <w:r w:rsidRPr="00C30EF8">
              <w:rPr>
                <w:rFonts w:ascii="Calibri" w:hAnsi="Calibri" w:cs="Calibri"/>
                <w:spacing w:val="-4"/>
                <w:sz w:val="24"/>
                <w:szCs w:val="24"/>
              </w:rPr>
              <w:t xml:space="preserve">) caso também seja solicitado pelo Agente Fiduciário, a seu exclusivo critério ou se assim exigido pelos Debenturistas, as notas fiscais relativas aos Projetos de Investimento, até o </w:t>
            </w:r>
            <w:r w:rsidR="00C62405" w:rsidRPr="00C30EF8">
              <w:rPr>
                <w:rFonts w:ascii="Calibri" w:hAnsi="Calibri" w:cs="Calibri"/>
                <w:spacing w:val="-4"/>
                <w:sz w:val="24"/>
                <w:szCs w:val="24"/>
              </w:rPr>
              <w:t>V</w:t>
            </w:r>
            <w:r w:rsidRPr="00C30EF8">
              <w:rPr>
                <w:rFonts w:ascii="Calibri" w:hAnsi="Calibri" w:cs="Calibri"/>
                <w:spacing w:val="-4"/>
                <w:sz w:val="24"/>
                <w:szCs w:val="24"/>
              </w:rPr>
              <w:t xml:space="preserve">alor </w:t>
            </w:r>
            <w:r w:rsidR="00C62405" w:rsidRPr="00C30EF8">
              <w:rPr>
                <w:rFonts w:ascii="Calibri" w:hAnsi="Calibri" w:cs="Calibri"/>
                <w:spacing w:val="-4"/>
                <w:sz w:val="24"/>
                <w:szCs w:val="24"/>
              </w:rPr>
              <w:t>T</w:t>
            </w:r>
            <w:r w:rsidRPr="00C30EF8">
              <w:rPr>
                <w:rFonts w:ascii="Calibri" w:hAnsi="Calibri" w:cs="Calibri"/>
                <w:spacing w:val="-4"/>
                <w:sz w:val="24"/>
                <w:szCs w:val="24"/>
              </w:rPr>
              <w:t>otal da Emissão</w:t>
            </w:r>
            <w:r w:rsidR="00FE0353" w:rsidRPr="00C30EF8">
              <w:rPr>
                <w:rFonts w:ascii="Calibri" w:hAnsi="Calibri" w:cs="Calibri"/>
                <w:spacing w:val="-4"/>
                <w:sz w:val="24"/>
                <w:szCs w:val="24"/>
              </w:rPr>
              <w:t>.</w:t>
            </w:r>
          </w:p>
        </w:tc>
      </w:tr>
      <w:tr w:rsidR="00F94F49" w:rsidRPr="00E66C26" w14:paraId="516BAC6E" w14:textId="77777777" w:rsidTr="00F729A2">
        <w:trPr>
          <w:jc w:val="center"/>
        </w:trPr>
        <w:tc>
          <w:tcPr>
            <w:tcW w:w="2552" w:type="dxa"/>
          </w:tcPr>
          <w:p w14:paraId="5780D800" w14:textId="396A4CF5" w:rsidR="00F94F49" w:rsidRPr="00E66C26" w:rsidRDefault="00C37175" w:rsidP="0029198E">
            <w:pPr>
              <w:pStyle w:val="Body"/>
              <w:jc w:val="left"/>
              <w:rPr>
                <w:rFonts w:ascii="Calibri" w:hAnsi="Calibri" w:cs="Calibri"/>
                <w:b/>
                <w:sz w:val="24"/>
              </w:rPr>
            </w:pPr>
            <w:r w:rsidRPr="00E66C26">
              <w:rPr>
                <w:rFonts w:ascii="Calibri" w:hAnsi="Calibri" w:cs="Calibri"/>
                <w:b/>
                <w:sz w:val="24"/>
              </w:rPr>
              <w:lastRenderedPageBreak/>
              <w:t>Data de Emissão</w:t>
            </w:r>
          </w:p>
        </w:tc>
        <w:tc>
          <w:tcPr>
            <w:tcW w:w="5670" w:type="dxa"/>
          </w:tcPr>
          <w:p w14:paraId="635510A0" w14:textId="486EF166" w:rsidR="00F94F49" w:rsidRPr="00E66C26" w:rsidRDefault="00C37175" w:rsidP="002457D1">
            <w:pPr>
              <w:pStyle w:val="Level4"/>
              <w:rPr>
                <w:rFonts w:ascii="Calibri" w:hAnsi="Calibri" w:cs="Calibri"/>
                <w:sz w:val="24"/>
              </w:rPr>
            </w:pPr>
            <w:r w:rsidRPr="00E66C26">
              <w:rPr>
                <w:rFonts w:ascii="Calibri" w:hAnsi="Calibri" w:cs="Calibri"/>
                <w:sz w:val="24"/>
              </w:rPr>
              <w:t xml:space="preserve">Para todos os fins e efeitos, a data de emissão das Debêntures será </w:t>
            </w:r>
            <w:r w:rsidR="004B001E" w:rsidRPr="00E66C26">
              <w:rPr>
                <w:rFonts w:ascii="Calibri" w:hAnsi="Calibri" w:cs="Calibri"/>
                <w:sz w:val="24"/>
              </w:rPr>
              <w:t xml:space="preserve">15 </w:t>
            </w:r>
            <w:r w:rsidRPr="00E66C26">
              <w:rPr>
                <w:rFonts w:ascii="Calibri" w:hAnsi="Calibri" w:cs="Calibri"/>
                <w:sz w:val="24"/>
              </w:rPr>
              <w:t xml:space="preserve">de </w:t>
            </w:r>
            <w:r w:rsidR="004B001E" w:rsidRPr="00E66C26">
              <w:rPr>
                <w:rFonts w:ascii="Calibri" w:hAnsi="Calibri" w:cs="Calibri"/>
                <w:sz w:val="24"/>
              </w:rPr>
              <w:t xml:space="preserve">janeiro </w:t>
            </w:r>
            <w:r w:rsidRPr="00E66C26">
              <w:rPr>
                <w:rFonts w:ascii="Calibri" w:hAnsi="Calibri" w:cs="Calibri"/>
                <w:sz w:val="24"/>
              </w:rPr>
              <w:t xml:space="preserve">de </w:t>
            </w:r>
            <w:r w:rsidR="004B001E" w:rsidRPr="00E66C26">
              <w:rPr>
                <w:rFonts w:ascii="Calibri" w:hAnsi="Calibri" w:cs="Calibri"/>
                <w:sz w:val="24"/>
              </w:rPr>
              <w:t xml:space="preserve">2022 </w:t>
            </w:r>
            <w:r w:rsidRPr="00E66C26">
              <w:rPr>
                <w:rFonts w:ascii="Calibri" w:hAnsi="Calibri" w:cs="Calibri"/>
                <w:sz w:val="24"/>
              </w:rPr>
              <w:t>(“</w:t>
            </w:r>
            <w:r w:rsidRPr="00E66C26">
              <w:rPr>
                <w:rFonts w:ascii="Calibri" w:hAnsi="Calibri" w:cs="Calibri"/>
                <w:sz w:val="24"/>
                <w:u w:val="single"/>
              </w:rPr>
              <w:t>Data de Emissão</w:t>
            </w:r>
            <w:r w:rsidRPr="00E66C26">
              <w:rPr>
                <w:rFonts w:ascii="Calibri" w:hAnsi="Calibri" w:cs="Calibri"/>
                <w:sz w:val="24"/>
              </w:rPr>
              <w:t>”).</w:t>
            </w:r>
          </w:p>
        </w:tc>
      </w:tr>
      <w:tr w:rsidR="00F94F49" w:rsidRPr="00E66C26" w14:paraId="32A4CE57" w14:textId="77777777" w:rsidTr="00F729A2">
        <w:trPr>
          <w:jc w:val="center"/>
        </w:trPr>
        <w:tc>
          <w:tcPr>
            <w:tcW w:w="2552" w:type="dxa"/>
          </w:tcPr>
          <w:p w14:paraId="2AC2DDCA" w14:textId="3DB2531A" w:rsidR="00F94F49" w:rsidRPr="00E66C26" w:rsidRDefault="00C37175" w:rsidP="0029198E">
            <w:pPr>
              <w:pStyle w:val="Body"/>
              <w:jc w:val="left"/>
              <w:rPr>
                <w:rFonts w:ascii="Calibri" w:hAnsi="Calibri" w:cs="Calibri"/>
                <w:b/>
                <w:sz w:val="24"/>
              </w:rPr>
            </w:pPr>
            <w:r w:rsidRPr="00E66C26">
              <w:rPr>
                <w:rFonts w:ascii="Calibri" w:hAnsi="Calibri" w:cs="Calibri"/>
                <w:b/>
                <w:sz w:val="24"/>
              </w:rPr>
              <w:t>Conversibilidade, Tipo e Forma</w:t>
            </w:r>
          </w:p>
        </w:tc>
        <w:tc>
          <w:tcPr>
            <w:tcW w:w="5670" w:type="dxa"/>
          </w:tcPr>
          <w:p w14:paraId="10C36275" w14:textId="2E2E7865" w:rsidR="00F94F49" w:rsidRPr="00E66C26" w:rsidRDefault="00C37175" w:rsidP="00C30EF8">
            <w:pPr>
              <w:pStyle w:val="Body"/>
              <w:widowControl w:val="0"/>
              <w:rPr>
                <w:rFonts w:ascii="Calibri" w:hAnsi="Calibri" w:cs="Calibri"/>
                <w:sz w:val="24"/>
              </w:rPr>
            </w:pPr>
            <w:r w:rsidRPr="00E66C26">
              <w:rPr>
                <w:rFonts w:ascii="Calibri" w:hAnsi="Calibri" w:cs="Calibri"/>
                <w:sz w:val="24"/>
              </w:rPr>
              <w:t>As Debêntures serão simples, ou seja, não conversíveis em ações, escriturais e nominativas, sem emissão de cautelas e certificados.</w:t>
            </w:r>
          </w:p>
        </w:tc>
      </w:tr>
      <w:tr w:rsidR="00F94F49" w:rsidRPr="00E66C26" w14:paraId="6C0A8CE5" w14:textId="77777777" w:rsidTr="00F729A2">
        <w:trPr>
          <w:jc w:val="center"/>
        </w:trPr>
        <w:tc>
          <w:tcPr>
            <w:tcW w:w="2552" w:type="dxa"/>
          </w:tcPr>
          <w:p w14:paraId="778C9D0B" w14:textId="7D16000E" w:rsidR="00F94F49" w:rsidRPr="00E66C26" w:rsidRDefault="00C37175" w:rsidP="0029198E">
            <w:pPr>
              <w:pStyle w:val="Body"/>
              <w:jc w:val="left"/>
              <w:rPr>
                <w:rFonts w:ascii="Calibri" w:hAnsi="Calibri" w:cs="Calibri"/>
                <w:b/>
                <w:sz w:val="24"/>
              </w:rPr>
            </w:pPr>
            <w:r w:rsidRPr="00E66C26">
              <w:rPr>
                <w:rFonts w:ascii="Calibri" w:hAnsi="Calibri" w:cs="Calibri"/>
                <w:b/>
                <w:sz w:val="24"/>
              </w:rPr>
              <w:t>Espécie</w:t>
            </w:r>
          </w:p>
        </w:tc>
        <w:tc>
          <w:tcPr>
            <w:tcW w:w="5670" w:type="dxa"/>
          </w:tcPr>
          <w:p w14:paraId="6E864179" w14:textId="113104AB" w:rsidR="00F94F49" w:rsidRPr="00E66C26" w:rsidRDefault="00C37175" w:rsidP="00647181">
            <w:pPr>
              <w:pStyle w:val="Body"/>
              <w:rPr>
                <w:rFonts w:ascii="Calibri" w:hAnsi="Calibri" w:cs="Calibri"/>
                <w:sz w:val="24"/>
              </w:rPr>
            </w:pPr>
            <w:r w:rsidRPr="00E66C26">
              <w:rPr>
                <w:rFonts w:ascii="Calibri" w:hAnsi="Calibri" w:cs="Calibri"/>
                <w:sz w:val="24"/>
              </w:rPr>
              <w:t xml:space="preserve">As Debêntures serão da espécie quirografária, nos termos do artigo 58, </w:t>
            </w:r>
            <w:r w:rsidRPr="00E66C26">
              <w:rPr>
                <w:rFonts w:ascii="Calibri" w:hAnsi="Calibri" w:cs="Calibri"/>
                <w:i/>
                <w:iCs/>
                <w:sz w:val="24"/>
              </w:rPr>
              <w:t>caput</w:t>
            </w:r>
            <w:r w:rsidRPr="00E66C26">
              <w:rPr>
                <w:rFonts w:ascii="Calibri" w:hAnsi="Calibri" w:cs="Calibri"/>
                <w:sz w:val="24"/>
              </w:rPr>
              <w:t>, da Lei das Sociedades por Ações</w:t>
            </w:r>
            <w:r w:rsidR="004B001E" w:rsidRPr="00E66C26">
              <w:rPr>
                <w:rFonts w:ascii="Calibri" w:hAnsi="Calibri" w:cs="Calibri"/>
                <w:sz w:val="24"/>
              </w:rPr>
              <w:t>, sem preferência</w:t>
            </w:r>
            <w:r w:rsidRPr="00E66C26">
              <w:rPr>
                <w:rFonts w:ascii="Calibri" w:hAnsi="Calibri" w:cs="Calibri"/>
                <w:sz w:val="24"/>
              </w:rPr>
              <w:t>.</w:t>
            </w:r>
          </w:p>
          <w:p w14:paraId="6871AD19" w14:textId="26C0F3F1" w:rsidR="001E314A" w:rsidRPr="00E66C26" w:rsidRDefault="001E314A" w:rsidP="00647181">
            <w:pPr>
              <w:pStyle w:val="Body"/>
              <w:rPr>
                <w:rFonts w:ascii="Calibri" w:hAnsi="Calibri" w:cs="Calibri"/>
                <w:b/>
                <w:bCs/>
                <w:sz w:val="24"/>
              </w:rPr>
            </w:pPr>
            <w:r w:rsidRPr="00E66C26">
              <w:rPr>
                <w:rFonts w:ascii="Calibri" w:hAnsi="Calibri" w:cs="Calibri"/>
                <w:b/>
                <w:bCs/>
                <w:sz w:val="24"/>
              </w:rPr>
              <w:lastRenderedPageBreak/>
              <w:t xml:space="preserve">Para mais informações sobre a espécie das Debêntures, consulte a seção “Fatores de Risco Relacionados à Oferta e às Debêntures – </w:t>
            </w:r>
            <w:r w:rsidR="001E5C3B" w:rsidRPr="005E35B5">
              <w:rPr>
                <w:rFonts w:ascii="Calibri" w:hAnsi="Calibri"/>
                <w:b/>
                <w:sz w:val="24"/>
              </w:rPr>
              <w:t xml:space="preserve">As Debêntures são da espécie quirografária, sem </w:t>
            </w:r>
            <w:r w:rsidR="001E5C3B" w:rsidRPr="001E5C3B">
              <w:rPr>
                <w:rFonts w:ascii="Calibri" w:hAnsi="Calibri" w:cs="Calibri"/>
                <w:b/>
                <w:bCs/>
                <w:sz w:val="24"/>
              </w:rPr>
              <w:t>quaisquer garantias reais, fidejussórias</w:t>
            </w:r>
            <w:r w:rsidR="001E5C3B" w:rsidRPr="005E35B5">
              <w:rPr>
                <w:rFonts w:ascii="Calibri" w:hAnsi="Calibri"/>
                <w:b/>
                <w:sz w:val="24"/>
              </w:rPr>
              <w:t xml:space="preserve"> e sem preferência</w:t>
            </w:r>
            <w:r w:rsidRPr="00E66C26">
              <w:rPr>
                <w:rFonts w:ascii="Calibri" w:hAnsi="Calibri" w:cs="Calibri"/>
                <w:b/>
                <w:bCs/>
                <w:sz w:val="24"/>
              </w:rPr>
              <w:t xml:space="preserve">”, na página </w:t>
            </w:r>
            <w:r w:rsidR="003A453C">
              <w:rPr>
                <w:rFonts w:ascii="Calibri" w:hAnsi="Calibri" w:cs="Calibri"/>
                <w:b/>
                <w:bCs/>
                <w:sz w:val="24"/>
              </w:rPr>
              <w:t>12</w:t>
            </w:r>
            <w:r w:rsidR="00CE613F">
              <w:rPr>
                <w:rFonts w:ascii="Calibri" w:hAnsi="Calibri" w:cs="Calibri"/>
                <w:b/>
                <w:bCs/>
                <w:sz w:val="24"/>
              </w:rPr>
              <w:t>5</w:t>
            </w:r>
            <w:r w:rsidRPr="00E66C26">
              <w:rPr>
                <w:rFonts w:ascii="Calibri" w:hAnsi="Calibri" w:cs="Calibri"/>
                <w:b/>
                <w:bCs/>
                <w:sz w:val="24"/>
              </w:rPr>
              <w:t xml:space="preserve"> do Prospecto Preliminar.</w:t>
            </w:r>
          </w:p>
        </w:tc>
      </w:tr>
      <w:tr w:rsidR="00F94F49" w:rsidRPr="00E66C26" w14:paraId="34369E48" w14:textId="77777777" w:rsidTr="00F729A2">
        <w:trPr>
          <w:jc w:val="center"/>
        </w:trPr>
        <w:tc>
          <w:tcPr>
            <w:tcW w:w="2552" w:type="dxa"/>
          </w:tcPr>
          <w:p w14:paraId="6BCC0DD9" w14:textId="195916AC" w:rsidR="00F94F49" w:rsidRPr="00E66C26" w:rsidRDefault="001E314A" w:rsidP="0029198E">
            <w:pPr>
              <w:pStyle w:val="Body"/>
              <w:jc w:val="left"/>
              <w:rPr>
                <w:rFonts w:ascii="Calibri" w:hAnsi="Calibri" w:cs="Calibri"/>
                <w:b/>
                <w:sz w:val="24"/>
              </w:rPr>
            </w:pPr>
            <w:r w:rsidRPr="00E66C26">
              <w:rPr>
                <w:rFonts w:ascii="Calibri" w:hAnsi="Calibri" w:cs="Calibri"/>
                <w:b/>
                <w:sz w:val="24"/>
              </w:rPr>
              <w:lastRenderedPageBreak/>
              <w:t>Privilégios</w:t>
            </w:r>
          </w:p>
        </w:tc>
        <w:tc>
          <w:tcPr>
            <w:tcW w:w="5670" w:type="dxa"/>
          </w:tcPr>
          <w:p w14:paraId="0E3C23D0" w14:textId="46BD2044" w:rsidR="00F94F49" w:rsidRPr="00E66C26" w:rsidRDefault="001E314A" w:rsidP="0029198E">
            <w:pPr>
              <w:pStyle w:val="Body"/>
              <w:rPr>
                <w:rFonts w:ascii="Calibri" w:hAnsi="Calibri" w:cs="Calibri"/>
                <w:sz w:val="24"/>
              </w:rPr>
            </w:pPr>
            <w:r w:rsidRPr="00E66C26">
              <w:rPr>
                <w:rFonts w:ascii="Calibri" w:hAnsi="Calibri" w:cs="Calibri"/>
                <w:sz w:val="24"/>
              </w:rPr>
              <w:t>As Debêntures não conferem qualquer privilégio especial ou geral aos Debenturistas nem especificam bens para garantir eventual execução</w:t>
            </w:r>
            <w:r w:rsidR="00DD3D64" w:rsidRPr="00E66C26">
              <w:rPr>
                <w:rFonts w:ascii="Calibri" w:hAnsi="Calibri" w:cs="Calibri"/>
                <w:sz w:val="24"/>
              </w:rPr>
              <w:t>.</w:t>
            </w:r>
          </w:p>
        </w:tc>
      </w:tr>
      <w:tr w:rsidR="00F94F49" w:rsidRPr="00E66C26" w14:paraId="469F5D74" w14:textId="77777777" w:rsidTr="00F729A2">
        <w:trPr>
          <w:jc w:val="center"/>
        </w:trPr>
        <w:tc>
          <w:tcPr>
            <w:tcW w:w="2552" w:type="dxa"/>
          </w:tcPr>
          <w:p w14:paraId="2E630115" w14:textId="01882A63" w:rsidR="00F94F49" w:rsidRPr="00E66C26" w:rsidRDefault="001E314A" w:rsidP="0029198E">
            <w:pPr>
              <w:pStyle w:val="Body"/>
              <w:jc w:val="left"/>
              <w:rPr>
                <w:rFonts w:ascii="Calibri" w:hAnsi="Calibri" w:cs="Calibri"/>
                <w:b/>
                <w:sz w:val="24"/>
              </w:rPr>
            </w:pPr>
            <w:r w:rsidRPr="00E66C26">
              <w:rPr>
                <w:rFonts w:ascii="Calibri" w:hAnsi="Calibri" w:cs="Calibri"/>
                <w:b/>
                <w:sz w:val="24"/>
              </w:rPr>
              <w:t>Prazo e Data de Vencimento</w:t>
            </w:r>
          </w:p>
        </w:tc>
        <w:tc>
          <w:tcPr>
            <w:tcW w:w="5670" w:type="dxa"/>
          </w:tcPr>
          <w:p w14:paraId="0D7E701A" w14:textId="258F29BF" w:rsidR="00F94F49" w:rsidRPr="00E66C26" w:rsidRDefault="001E314A" w:rsidP="0029198E">
            <w:pPr>
              <w:pStyle w:val="Body"/>
              <w:rPr>
                <w:rFonts w:ascii="Calibri" w:hAnsi="Calibri" w:cs="Calibri"/>
                <w:sz w:val="24"/>
              </w:rPr>
            </w:pPr>
            <w:r w:rsidRPr="00E66C26">
              <w:rPr>
                <w:rFonts w:ascii="Calibri" w:hAnsi="Calibri" w:cs="Calibri"/>
                <w:sz w:val="24"/>
              </w:rPr>
              <w:t xml:space="preserve">Observado o disposto na Escritura de Emissão, o prazo das: </w:t>
            </w:r>
            <w:r w:rsidRPr="00E66C26">
              <w:rPr>
                <w:rFonts w:ascii="Calibri" w:hAnsi="Calibri" w:cs="Calibri"/>
                <w:b/>
                <w:bCs/>
                <w:sz w:val="24"/>
              </w:rPr>
              <w:t>(i)</w:t>
            </w:r>
            <w:r w:rsidRPr="00E66C26">
              <w:rPr>
                <w:rFonts w:ascii="Calibri" w:hAnsi="Calibri" w:cs="Calibri"/>
                <w:sz w:val="24"/>
              </w:rPr>
              <w:t xml:space="preserve"> Debêntures da Primeira Série será de 10 (dez) anos contados da Data de Emissão, vencendo-se, portanto, em 15 de janeiro de 2032 (“</w:t>
            </w:r>
            <w:r w:rsidRPr="00E66C26">
              <w:rPr>
                <w:rFonts w:ascii="Calibri" w:hAnsi="Calibri" w:cs="Calibri"/>
                <w:sz w:val="24"/>
                <w:u w:val="single"/>
              </w:rPr>
              <w:t>Data de Vencimento da Primeira Série</w:t>
            </w:r>
            <w:r w:rsidRPr="00E66C26">
              <w:rPr>
                <w:rFonts w:ascii="Calibri" w:hAnsi="Calibri" w:cs="Calibri"/>
                <w:sz w:val="24"/>
              </w:rPr>
              <w:t xml:space="preserve">”); e </w:t>
            </w:r>
            <w:r w:rsidRPr="00E66C26">
              <w:rPr>
                <w:rFonts w:ascii="Calibri" w:hAnsi="Calibri" w:cs="Calibri"/>
                <w:b/>
                <w:bCs/>
                <w:sz w:val="24"/>
              </w:rPr>
              <w:t>(</w:t>
            </w:r>
            <w:proofErr w:type="spellStart"/>
            <w:r w:rsidRPr="00E66C26">
              <w:rPr>
                <w:rFonts w:ascii="Calibri" w:hAnsi="Calibri" w:cs="Calibri"/>
                <w:b/>
                <w:bCs/>
                <w:sz w:val="24"/>
              </w:rPr>
              <w:t>ii</w:t>
            </w:r>
            <w:proofErr w:type="spellEnd"/>
            <w:r w:rsidRPr="00E66C26">
              <w:rPr>
                <w:rFonts w:ascii="Calibri" w:hAnsi="Calibri" w:cs="Calibri"/>
                <w:b/>
                <w:bCs/>
                <w:sz w:val="24"/>
              </w:rPr>
              <w:t>)</w:t>
            </w:r>
            <w:r w:rsidRPr="00E66C26">
              <w:rPr>
                <w:rFonts w:ascii="Calibri" w:hAnsi="Calibri" w:cs="Calibri"/>
                <w:sz w:val="24"/>
              </w:rPr>
              <w:t xml:space="preserve"> Debêntures da Segunda Série será de 15 (quinze) anos contados da Data de Emissão, vencendo-se, portanto, em 15 de janeiro de 2037 (“</w:t>
            </w:r>
            <w:r w:rsidRPr="00E66C26">
              <w:rPr>
                <w:rFonts w:ascii="Calibri" w:hAnsi="Calibri" w:cs="Calibri"/>
                <w:sz w:val="24"/>
                <w:u w:val="single"/>
              </w:rPr>
              <w:t>Data de Vencimento da Segunda Série</w:t>
            </w:r>
            <w:r w:rsidRPr="00E66C26">
              <w:rPr>
                <w:rFonts w:ascii="Calibri" w:hAnsi="Calibri" w:cs="Calibri"/>
                <w:sz w:val="24"/>
              </w:rPr>
              <w:t>” e, em conjunto com a Data de Vencimento da Primeira Série, “</w:t>
            </w:r>
            <w:r w:rsidRPr="00E66C26">
              <w:rPr>
                <w:rFonts w:ascii="Calibri" w:hAnsi="Calibri" w:cs="Calibri"/>
                <w:sz w:val="24"/>
                <w:u w:val="single"/>
              </w:rPr>
              <w:t>Data de Vencimento</w:t>
            </w:r>
            <w:r w:rsidRPr="00E66C26">
              <w:rPr>
                <w:rFonts w:ascii="Calibri" w:hAnsi="Calibri" w:cs="Calibri"/>
                <w:sz w:val="24"/>
              </w:rPr>
              <w:t>”).</w:t>
            </w:r>
          </w:p>
        </w:tc>
      </w:tr>
      <w:tr w:rsidR="00F94F49" w:rsidRPr="00E66C26" w14:paraId="1D054BB6" w14:textId="77777777" w:rsidTr="00F729A2">
        <w:trPr>
          <w:jc w:val="center"/>
        </w:trPr>
        <w:tc>
          <w:tcPr>
            <w:tcW w:w="2552" w:type="dxa"/>
          </w:tcPr>
          <w:p w14:paraId="2A5F2E6C" w14:textId="0F9DBA28" w:rsidR="00F94F49" w:rsidRPr="00E66C26" w:rsidRDefault="00883F2F" w:rsidP="0029198E">
            <w:pPr>
              <w:pStyle w:val="Body"/>
              <w:jc w:val="left"/>
              <w:rPr>
                <w:rFonts w:ascii="Calibri" w:hAnsi="Calibri" w:cs="Calibri"/>
                <w:b/>
                <w:sz w:val="24"/>
              </w:rPr>
            </w:pPr>
            <w:r w:rsidRPr="00E66C26">
              <w:rPr>
                <w:rFonts w:ascii="Calibri" w:hAnsi="Calibri" w:cs="Calibri"/>
                <w:b/>
                <w:sz w:val="24"/>
              </w:rPr>
              <w:t>Atualização Monetária</w:t>
            </w:r>
          </w:p>
        </w:tc>
        <w:tc>
          <w:tcPr>
            <w:tcW w:w="5670" w:type="dxa"/>
          </w:tcPr>
          <w:p w14:paraId="2084AD9E" w14:textId="5BDC9B19" w:rsidR="00F94F49" w:rsidRPr="00E66C26" w:rsidRDefault="00883F2F" w:rsidP="0029198E">
            <w:pPr>
              <w:pStyle w:val="Body"/>
              <w:rPr>
                <w:rFonts w:ascii="Calibri" w:hAnsi="Calibri" w:cs="Calibri"/>
                <w:sz w:val="24"/>
              </w:rPr>
            </w:pPr>
            <w:r w:rsidRPr="00E66C26">
              <w:rPr>
                <w:rFonts w:ascii="Calibri" w:hAnsi="Calibri" w:cs="Calibri"/>
                <w:sz w:val="24"/>
              </w:rPr>
              <w:t>Atualização monetária do Valor Nominal Unitário das Debêntures ou do saldo do Valor Nominal Unitário das Debêntures, conforme o caso, pela variação acumulada do Índice Nacional de Preços ao Consumidor Amplo (“</w:t>
            </w:r>
            <w:r w:rsidRPr="00E66C26">
              <w:rPr>
                <w:rFonts w:ascii="Calibri" w:hAnsi="Calibri" w:cs="Calibri"/>
                <w:sz w:val="24"/>
                <w:u w:val="single"/>
              </w:rPr>
              <w:t>IPCA</w:t>
            </w:r>
            <w:r w:rsidRPr="00E66C26">
              <w:rPr>
                <w:rFonts w:ascii="Calibri" w:hAnsi="Calibri" w:cs="Calibri"/>
                <w:sz w:val="24"/>
              </w:rPr>
              <w:t>”), divulgado mensalmente pelo Instituto Brasileiro de Geografia e Estatística (“</w:t>
            </w:r>
            <w:r w:rsidRPr="00E66C26">
              <w:rPr>
                <w:rFonts w:ascii="Calibri" w:hAnsi="Calibri" w:cs="Calibri"/>
                <w:sz w:val="24"/>
                <w:u w:val="single"/>
              </w:rPr>
              <w:t>IBGE</w:t>
            </w:r>
            <w:r w:rsidRPr="00E66C26">
              <w:rPr>
                <w:rFonts w:ascii="Calibri" w:hAnsi="Calibri" w:cs="Calibri"/>
                <w:sz w:val="24"/>
              </w:rPr>
              <w:t xml:space="preserve">”), calculado de forma exponencial e cumulativa </w:t>
            </w:r>
            <w:r w:rsidRPr="00E66C26">
              <w:rPr>
                <w:rFonts w:ascii="Calibri" w:hAnsi="Calibri" w:cs="Calibri"/>
                <w:i/>
                <w:iCs/>
                <w:sz w:val="24"/>
              </w:rPr>
              <w:t xml:space="preserve">pro rata </w:t>
            </w:r>
            <w:proofErr w:type="spellStart"/>
            <w:r w:rsidRPr="00E66C26">
              <w:rPr>
                <w:rFonts w:ascii="Calibri" w:hAnsi="Calibri" w:cs="Calibri"/>
                <w:i/>
                <w:iCs/>
                <w:sz w:val="24"/>
              </w:rPr>
              <w:t>temporis</w:t>
            </w:r>
            <w:proofErr w:type="spellEnd"/>
            <w:r w:rsidRPr="00E66C26">
              <w:rPr>
                <w:rFonts w:ascii="Calibri" w:hAnsi="Calibri" w:cs="Calibri"/>
                <w:sz w:val="24"/>
              </w:rPr>
              <w:t xml:space="preserve"> por Dias Úteis, desde a primeira Data de Integralização </w:t>
            </w:r>
            <w:r w:rsidR="004B001E" w:rsidRPr="00E66C26">
              <w:rPr>
                <w:rFonts w:ascii="Calibri" w:hAnsi="Calibri" w:cs="Calibri"/>
                <w:sz w:val="24"/>
              </w:rPr>
              <w:t>até a data de seu efetivo pagamento</w:t>
            </w:r>
            <w:r w:rsidRPr="00E66C26">
              <w:rPr>
                <w:rFonts w:ascii="Calibri" w:hAnsi="Calibri" w:cs="Calibri"/>
                <w:sz w:val="24"/>
              </w:rPr>
              <w:t xml:space="preserve">, ressalvadas as hipóteses de vencimento antecipado e a hipótese de Oferta de Resgate Antecipado Facultativo descritas na Escritura de Emissão, sendo o produto da atualização incorporado ao Valor Nominal Unitário ou ao saldo do Valor Nominal Unitário </w:t>
            </w:r>
            <w:r w:rsidRPr="00E66C26">
              <w:rPr>
                <w:rFonts w:ascii="Calibri" w:hAnsi="Calibri" w:cs="Calibri"/>
                <w:sz w:val="24"/>
              </w:rPr>
              <w:lastRenderedPageBreak/>
              <w:t>das Debêntures automaticamente, e calculado de acordo a fórmula descrita na Escritura de Emissão e no Prospecto</w:t>
            </w:r>
          </w:p>
        </w:tc>
      </w:tr>
      <w:tr w:rsidR="00F94F49" w:rsidRPr="00E66C26" w14:paraId="4110ED4F" w14:textId="77777777" w:rsidTr="00F729A2">
        <w:trPr>
          <w:jc w:val="center"/>
        </w:trPr>
        <w:tc>
          <w:tcPr>
            <w:tcW w:w="2552" w:type="dxa"/>
          </w:tcPr>
          <w:p w14:paraId="6F363944" w14:textId="24BEC1C8" w:rsidR="00F94F49" w:rsidRPr="00E66C26" w:rsidRDefault="00883F2F" w:rsidP="0029198E">
            <w:pPr>
              <w:pStyle w:val="Body"/>
              <w:jc w:val="left"/>
              <w:rPr>
                <w:rFonts w:ascii="Calibri" w:hAnsi="Calibri" w:cs="Calibri"/>
                <w:b/>
                <w:sz w:val="24"/>
              </w:rPr>
            </w:pPr>
            <w:r w:rsidRPr="00E66C26">
              <w:rPr>
                <w:rFonts w:ascii="Calibri" w:hAnsi="Calibri" w:cs="Calibri"/>
                <w:b/>
                <w:sz w:val="24"/>
              </w:rPr>
              <w:lastRenderedPageBreak/>
              <w:t>Indisponibilidade do IPCA</w:t>
            </w:r>
          </w:p>
        </w:tc>
        <w:tc>
          <w:tcPr>
            <w:tcW w:w="5670" w:type="dxa"/>
          </w:tcPr>
          <w:p w14:paraId="4C10F638" w14:textId="77777777" w:rsidR="00F94F49" w:rsidRPr="00E66C26" w:rsidRDefault="00883F2F" w:rsidP="0029198E">
            <w:pPr>
              <w:pStyle w:val="Body"/>
              <w:rPr>
                <w:rFonts w:ascii="Calibri" w:hAnsi="Calibri" w:cs="Calibri"/>
                <w:sz w:val="24"/>
              </w:rPr>
            </w:pPr>
            <w:r w:rsidRPr="00E66C26">
              <w:rPr>
                <w:rFonts w:ascii="Calibri" w:hAnsi="Calibri" w:cs="Calibri"/>
                <w:sz w:val="24"/>
              </w:rPr>
              <w:t>Observado o disposto na Escritura de Emissão, no caso de indisponibilidade temporária do IPCA quando do pagamento de qualquer obrigação pecuniária prevista na Escritura de Emissão para as Debêntures, será utilizada, em sua substituição, a mesma variação produzida pelo último IPCA divulgado até a data do cálculo, não sendo devidas quaisquer compensações financeiras, tanto por parte da Emissora quanto pelos Debenturistas, quando da divulgação posterior do IPCA.</w:t>
            </w:r>
          </w:p>
          <w:p w14:paraId="4E7B499B" w14:textId="7D9DC79E" w:rsidR="00883F2F" w:rsidRPr="00E66C26" w:rsidRDefault="00F729A2" w:rsidP="0029198E">
            <w:pPr>
              <w:pStyle w:val="Body"/>
              <w:rPr>
                <w:rFonts w:ascii="Calibri" w:hAnsi="Calibri" w:cs="Calibri"/>
                <w:sz w:val="24"/>
              </w:rPr>
            </w:pPr>
            <w:r w:rsidRPr="00E66C26">
              <w:rPr>
                <w:rFonts w:ascii="Calibri" w:hAnsi="Calibri" w:cs="Calibri"/>
                <w:sz w:val="24"/>
              </w:rPr>
              <w:t>Na ausência de apuração e/ou divulgação do IPCA por prazo superior a 30 (trinta) dias contados da data esperada para sua apuração e/ou divulgação (“</w:t>
            </w:r>
            <w:r w:rsidRPr="00E66C26">
              <w:rPr>
                <w:rFonts w:ascii="Calibri" w:hAnsi="Calibri" w:cs="Calibri"/>
                <w:sz w:val="24"/>
                <w:u w:val="single"/>
              </w:rPr>
              <w:t>Período de Ausência do IPCA</w:t>
            </w:r>
            <w:r w:rsidRPr="00E66C26">
              <w:rPr>
                <w:rFonts w:ascii="Calibri" w:hAnsi="Calibri" w:cs="Calibri"/>
                <w:sz w:val="24"/>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na Escritura de Emissão, para os Debenturistas definirem, de comum acordo com a Emissora, observada a regulamentação aplicável, o novo parâmetro a ser aplicado, o qual deverá refletir parâmetros utilizados em operações similares existentes à época (“</w:t>
            </w:r>
            <w:r w:rsidRPr="00E66C26">
              <w:rPr>
                <w:rFonts w:ascii="Calibri" w:hAnsi="Calibri" w:cs="Calibri"/>
                <w:sz w:val="24"/>
                <w:u w:val="single"/>
              </w:rPr>
              <w:t>Taxa Substitutiva</w:t>
            </w:r>
            <w:r w:rsidRPr="00E66C26">
              <w:rPr>
                <w:rFonts w:ascii="Calibri" w:hAnsi="Calibri" w:cs="Calibri"/>
                <w:sz w:val="24"/>
              </w:rPr>
              <w:t xml:space="preserve">”). Até a deliberação desse parâmetro será utilizada, para o cálculo do valor de quaisquer obrigações pecuniárias previstas na Escritura de Emissão, a mesma </w:t>
            </w:r>
            <w:r w:rsidRPr="00E66C26">
              <w:rPr>
                <w:rFonts w:ascii="Calibri" w:hAnsi="Calibri" w:cs="Calibri"/>
                <w:sz w:val="24"/>
              </w:rPr>
              <w:lastRenderedPageBreak/>
              <w:t>variação produzida pelo último IPCA divulgado até a data do cálculo, não sendo devidas quaisquer compensações financeiras, multas ou penalidades, tanto por parte da Emissora quanto pelos Debenturistas, quando da divulgação posterior do IPCA.</w:t>
            </w:r>
          </w:p>
          <w:p w14:paraId="5EC385B6" w14:textId="77777777" w:rsidR="00F729A2" w:rsidRPr="00E66C26" w:rsidRDefault="00F729A2" w:rsidP="0029198E">
            <w:pPr>
              <w:pStyle w:val="Body"/>
              <w:rPr>
                <w:rFonts w:ascii="Calibri" w:hAnsi="Calibri" w:cs="Calibri"/>
                <w:sz w:val="24"/>
              </w:rPr>
            </w:pPr>
            <w:r w:rsidRPr="00E66C26">
              <w:rPr>
                <w:rFonts w:ascii="Calibri" w:hAnsi="Calibri" w:cs="Calibri"/>
                <w:sz w:val="24"/>
              </w:rPr>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7C30923E" w14:textId="77777777" w:rsidR="00F729A2" w:rsidRPr="00C30EF8" w:rsidRDefault="00F729A2" w:rsidP="0029198E">
            <w:pPr>
              <w:pStyle w:val="Body"/>
              <w:rPr>
                <w:rFonts w:ascii="Calibri" w:hAnsi="Calibri" w:cs="Calibri"/>
                <w:spacing w:val="-4"/>
                <w:sz w:val="24"/>
              </w:rPr>
            </w:pPr>
            <w:r w:rsidRPr="00C30EF8">
              <w:rPr>
                <w:rFonts w:ascii="Calibri" w:hAnsi="Calibri" w:cs="Calibri"/>
                <w:spacing w:val="-4"/>
                <w:sz w:val="24"/>
              </w:rPr>
              <w:t xml:space="preserve">Caso não haja acordo sobre a Taxa Substitutiva entre a Emissora e os Debenturistas representando, no mínimo, 50% (cinquenta por cento) mais uma 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caso seja legalmente permitido à Emissora realizar o resgate antecipado das Debêntures, nos termos da Lei 12.431, da Resolução CMN 4.751 e das demais disposições legais e regulamentares aplicáveis, sem multa ou prêmio de qualquer natureza, no prazo de 30 (trinta) dias contados da data da realização da respectiva Assembleia Geral de Debenturistas ou da data em que deveria ter sido realizada a respectiva Assembleia Geral de Debenturista, pelo seu Valor Nominal Unitário Atualizado, acrescido da Remuneração das Debêntures devida calculada </w:t>
            </w:r>
            <w:r w:rsidRPr="00C30EF8">
              <w:rPr>
                <w:rFonts w:ascii="Calibri" w:hAnsi="Calibri" w:cs="Calibri"/>
                <w:i/>
                <w:iCs/>
                <w:spacing w:val="-4"/>
                <w:sz w:val="24"/>
              </w:rPr>
              <w:t xml:space="preserve">pro rata </w:t>
            </w:r>
            <w:proofErr w:type="spellStart"/>
            <w:r w:rsidRPr="00C30EF8">
              <w:rPr>
                <w:rFonts w:ascii="Calibri" w:hAnsi="Calibri" w:cs="Calibri"/>
                <w:i/>
                <w:iCs/>
                <w:spacing w:val="-4"/>
                <w:sz w:val="24"/>
              </w:rPr>
              <w:t>temporis</w:t>
            </w:r>
            <w:proofErr w:type="spellEnd"/>
            <w:r w:rsidRPr="00C30EF8">
              <w:rPr>
                <w:rFonts w:ascii="Calibri" w:hAnsi="Calibri" w:cs="Calibri"/>
                <w:spacing w:val="-4"/>
                <w:sz w:val="24"/>
              </w:rPr>
              <w:t xml:space="preserve"> desde a primeira Data de Integralização ou data de pagamento da Remuneração das Debêntures imediatamente anterior, conforme o caso, até a data do </w:t>
            </w:r>
            <w:r w:rsidRPr="00C30EF8">
              <w:rPr>
                <w:rFonts w:ascii="Calibri" w:hAnsi="Calibri" w:cs="Calibri"/>
                <w:spacing w:val="-4"/>
                <w:sz w:val="24"/>
              </w:rPr>
              <w:lastRenderedPageBreak/>
              <w:t>efetivo pagamento. Para cálculo da Remuneração das Debêntures aplicável às Debêntures a serem resgatadas e, consequentemente, canceladas, para cada dia do Período de Ausência do IPCA será utilizada a mesma variação produzida pelo último IPCA divulgado até a data do cálculo.</w:t>
            </w:r>
          </w:p>
          <w:p w14:paraId="0E3FCFBB" w14:textId="6A9BDE67" w:rsidR="00F729A2" w:rsidRPr="00E66C26" w:rsidRDefault="00F729A2" w:rsidP="0029198E">
            <w:pPr>
              <w:pStyle w:val="Body"/>
              <w:rPr>
                <w:rFonts w:ascii="Calibri" w:hAnsi="Calibri" w:cs="Calibri"/>
                <w:b/>
                <w:bCs/>
                <w:sz w:val="24"/>
              </w:rPr>
            </w:pPr>
            <w:r w:rsidRPr="00E66C26">
              <w:rPr>
                <w:rFonts w:ascii="Calibri" w:hAnsi="Calibri" w:cs="Calibri"/>
                <w:b/>
                <w:bCs/>
                <w:sz w:val="24"/>
              </w:rPr>
              <w:t xml:space="preserve">Para mais informações, consulte a Seção “Informações Relativas à Emissão, à Oferta e às Debêntures – Característica da Emissão e das Debêntures – Atualização Monetária”, na página </w:t>
            </w:r>
            <w:r w:rsidR="008D678B">
              <w:rPr>
                <w:rFonts w:ascii="Calibri" w:hAnsi="Calibri" w:cs="Calibri"/>
                <w:b/>
                <w:bCs/>
                <w:sz w:val="24"/>
              </w:rPr>
              <w:t>77</w:t>
            </w:r>
            <w:r w:rsidRPr="00E66C26">
              <w:rPr>
                <w:rFonts w:ascii="Calibri" w:hAnsi="Calibri" w:cs="Calibri"/>
                <w:b/>
                <w:bCs/>
                <w:sz w:val="24"/>
              </w:rPr>
              <w:t xml:space="preserve"> do Prospecto Preliminar.</w:t>
            </w:r>
          </w:p>
        </w:tc>
      </w:tr>
      <w:tr w:rsidR="008474EE" w:rsidRPr="00E66C26" w14:paraId="776DA7D8" w14:textId="77777777" w:rsidTr="00F729A2">
        <w:trPr>
          <w:jc w:val="center"/>
        </w:trPr>
        <w:tc>
          <w:tcPr>
            <w:tcW w:w="2552" w:type="dxa"/>
          </w:tcPr>
          <w:p w14:paraId="416CC844" w14:textId="5B2C6AB8" w:rsidR="008474EE" w:rsidRPr="00E66C26" w:rsidRDefault="00F729A2" w:rsidP="0029198E">
            <w:pPr>
              <w:pStyle w:val="Body"/>
              <w:jc w:val="left"/>
              <w:rPr>
                <w:rFonts w:ascii="Calibri" w:hAnsi="Calibri" w:cs="Calibri"/>
                <w:b/>
                <w:sz w:val="24"/>
              </w:rPr>
            </w:pPr>
            <w:r w:rsidRPr="00E66C26">
              <w:rPr>
                <w:rFonts w:ascii="Calibri" w:hAnsi="Calibri" w:cs="Calibri"/>
                <w:b/>
                <w:sz w:val="24"/>
              </w:rPr>
              <w:lastRenderedPageBreak/>
              <w:t>Juros Remuneratórios das Debêntures da Primeira Série</w:t>
            </w:r>
          </w:p>
        </w:tc>
        <w:tc>
          <w:tcPr>
            <w:tcW w:w="5670" w:type="dxa"/>
          </w:tcPr>
          <w:p w14:paraId="22BEDAF0" w14:textId="76A2333E" w:rsidR="00B94099" w:rsidRPr="00E66C26" w:rsidRDefault="00F729A2" w:rsidP="0029198E">
            <w:pPr>
              <w:pStyle w:val="Body"/>
              <w:rPr>
                <w:rFonts w:ascii="Calibri" w:hAnsi="Calibri" w:cs="Calibri"/>
                <w:sz w:val="24"/>
              </w:rPr>
            </w:pPr>
            <w:r w:rsidRPr="00E66C26">
              <w:rPr>
                <w:rFonts w:ascii="Calibri" w:hAnsi="Calibri" w:cs="Calibri"/>
                <w:sz w:val="24"/>
              </w:rPr>
              <w:t>Sobre o Valor Nominal</w:t>
            </w:r>
            <w:r w:rsidR="00940C98" w:rsidRPr="00E66C26">
              <w:rPr>
                <w:rFonts w:ascii="Calibri" w:hAnsi="Calibri" w:cs="Calibri"/>
                <w:sz w:val="24"/>
              </w:rPr>
              <w:t xml:space="preserve"> Unitário</w:t>
            </w:r>
            <w:r w:rsidRPr="00E66C26">
              <w:rPr>
                <w:rFonts w:ascii="Calibri" w:hAnsi="Calibri" w:cs="Calibri"/>
                <w:sz w:val="24"/>
              </w:rPr>
              <w:t xml:space="preserve"> Atualizado das Debêntures da Primeira Série, incidirão juros remuneratórios correspondentes a um determinado percentual ao ano, base 252 Dias Úteis, a ser definido de acordo com o Procedimento de </w:t>
            </w:r>
            <w:proofErr w:type="spellStart"/>
            <w:r w:rsidRPr="00E66C26">
              <w:rPr>
                <w:rFonts w:ascii="Calibri" w:hAnsi="Calibri" w:cs="Calibri"/>
                <w:i/>
                <w:iCs/>
                <w:sz w:val="24"/>
              </w:rPr>
              <w:t>Bookbuilding</w:t>
            </w:r>
            <w:proofErr w:type="spellEnd"/>
            <w:r w:rsidRPr="00E66C26">
              <w:rPr>
                <w:rFonts w:ascii="Calibri" w:hAnsi="Calibri" w:cs="Calibri"/>
                <w:sz w:val="24"/>
              </w:rPr>
              <w:t xml:space="preserve">, e, em qualquer caso, limitados a </w:t>
            </w:r>
            <w:r w:rsidRPr="00E66C26">
              <w:rPr>
                <w:rFonts w:ascii="Calibri" w:hAnsi="Calibri" w:cs="Calibri"/>
                <w:b/>
                <w:bCs/>
                <w:sz w:val="24"/>
              </w:rPr>
              <w:t>(i)</w:t>
            </w:r>
            <w:r w:rsidRPr="00E66C26">
              <w:rPr>
                <w:rFonts w:ascii="Calibri" w:hAnsi="Calibri" w:cs="Calibri"/>
                <w:sz w:val="24"/>
              </w:rPr>
              <w:t xml:space="preserve"> 0,40% (quarenta centésimos por cento) ao ano, acrescidos exponencialmente à taxa interna de retorno do Tesouro IPCA+ com Juros Semestrais, com vencimento em 2030 divulgada pela ANBIMA no fechamento do Dia Útil imediatamente anterior à data de realização do Procedimento de </w:t>
            </w:r>
            <w:proofErr w:type="spellStart"/>
            <w:r w:rsidRPr="00E66C26">
              <w:rPr>
                <w:rFonts w:ascii="Calibri" w:hAnsi="Calibri" w:cs="Calibri"/>
                <w:i/>
                <w:iCs/>
                <w:sz w:val="24"/>
              </w:rPr>
              <w:t>Bookbuilding</w:t>
            </w:r>
            <w:proofErr w:type="spellEnd"/>
            <w:r w:rsidRPr="00E66C26">
              <w:rPr>
                <w:rFonts w:ascii="Calibri" w:hAnsi="Calibri" w:cs="Calibri"/>
                <w:sz w:val="24"/>
              </w:rPr>
              <w:t xml:space="preserve"> (“</w:t>
            </w:r>
            <w:r w:rsidRPr="00E66C26">
              <w:rPr>
                <w:rFonts w:ascii="Calibri" w:hAnsi="Calibri" w:cs="Calibri"/>
                <w:sz w:val="24"/>
                <w:u w:val="single"/>
              </w:rPr>
              <w:t>Data de Apuração</w:t>
            </w:r>
            <w:r w:rsidRPr="00E66C26">
              <w:rPr>
                <w:rFonts w:ascii="Calibri" w:hAnsi="Calibri" w:cs="Calibri"/>
                <w:sz w:val="24"/>
              </w:rPr>
              <w:t xml:space="preserve">”); ou </w:t>
            </w:r>
            <w:r w:rsidRPr="00E66C26">
              <w:rPr>
                <w:rFonts w:ascii="Calibri" w:hAnsi="Calibri" w:cs="Calibri"/>
                <w:b/>
                <w:bCs/>
                <w:sz w:val="24"/>
              </w:rPr>
              <w:t>(</w:t>
            </w:r>
            <w:proofErr w:type="spellStart"/>
            <w:r w:rsidRPr="00E66C26">
              <w:rPr>
                <w:rFonts w:ascii="Calibri" w:hAnsi="Calibri" w:cs="Calibri"/>
                <w:b/>
                <w:bCs/>
                <w:sz w:val="24"/>
              </w:rPr>
              <w:t>ii</w:t>
            </w:r>
            <w:proofErr w:type="spellEnd"/>
            <w:r w:rsidRPr="00E66C26">
              <w:rPr>
                <w:rFonts w:ascii="Calibri" w:hAnsi="Calibri" w:cs="Calibri"/>
                <w:b/>
                <w:bCs/>
                <w:sz w:val="24"/>
              </w:rPr>
              <w:t>)</w:t>
            </w:r>
            <w:r w:rsidRPr="00E66C26">
              <w:rPr>
                <w:rFonts w:ascii="Calibri" w:hAnsi="Calibri" w:cs="Calibri"/>
                <w:sz w:val="24"/>
              </w:rPr>
              <w:t xml:space="preserve"> 5,15% (cinco inteiros e quinze centésimos por cento) ao ano</w:t>
            </w:r>
            <w:r w:rsidR="00940C98" w:rsidRPr="00E66C26">
              <w:rPr>
                <w:rFonts w:ascii="Calibri" w:hAnsi="Calibri" w:cs="Calibri"/>
                <w:sz w:val="24"/>
              </w:rPr>
              <w:t>, base 252 Dias Úteis</w:t>
            </w:r>
            <w:r w:rsidRPr="00E66C26">
              <w:rPr>
                <w:rFonts w:ascii="Calibri" w:hAnsi="Calibri" w:cs="Calibri"/>
                <w:sz w:val="24"/>
              </w:rPr>
              <w:t>, entre os itens (i) e (</w:t>
            </w:r>
            <w:proofErr w:type="spellStart"/>
            <w:r w:rsidRPr="00E66C26">
              <w:rPr>
                <w:rFonts w:ascii="Calibri" w:hAnsi="Calibri" w:cs="Calibri"/>
                <w:sz w:val="24"/>
              </w:rPr>
              <w:t>ii</w:t>
            </w:r>
            <w:proofErr w:type="spellEnd"/>
            <w:r w:rsidRPr="00E66C26">
              <w:rPr>
                <w:rFonts w:ascii="Calibri" w:hAnsi="Calibri" w:cs="Calibri"/>
                <w:sz w:val="24"/>
              </w:rPr>
              <w:t>) o que for maior na Data de Apuração (“</w:t>
            </w:r>
            <w:r w:rsidRPr="00E66C26">
              <w:rPr>
                <w:rFonts w:ascii="Calibri" w:hAnsi="Calibri" w:cs="Calibri"/>
                <w:sz w:val="24"/>
                <w:u w:val="single"/>
              </w:rPr>
              <w:t>Juros Remuneratórios da Primeira Série</w:t>
            </w:r>
            <w:r w:rsidRPr="00E66C26">
              <w:rPr>
                <w:rFonts w:ascii="Calibri" w:hAnsi="Calibri" w:cs="Calibri"/>
                <w:sz w:val="24"/>
              </w:rPr>
              <w:t>” e, em conjunto com a Atualização Monetária, a “</w:t>
            </w:r>
            <w:r w:rsidRPr="00E66C26">
              <w:rPr>
                <w:rFonts w:ascii="Calibri" w:hAnsi="Calibri" w:cs="Calibri"/>
                <w:sz w:val="24"/>
                <w:u w:val="single"/>
              </w:rPr>
              <w:t>Remuneração da Primeira Série</w:t>
            </w:r>
            <w:r w:rsidRPr="00E66C26">
              <w:rPr>
                <w:rFonts w:ascii="Calibri" w:hAnsi="Calibri" w:cs="Calibri"/>
                <w:sz w:val="24"/>
              </w:rPr>
              <w:t>”).</w:t>
            </w:r>
          </w:p>
          <w:p w14:paraId="4252A416" w14:textId="360F5786" w:rsidR="00F729A2" w:rsidRPr="00E66C26" w:rsidRDefault="00F729A2" w:rsidP="0029198E">
            <w:pPr>
              <w:pStyle w:val="Body"/>
              <w:rPr>
                <w:rFonts w:ascii="Calibri" w:hAnsi="Calibri" w:cs="Calibri"/>
                <w:sz w:val="24"/>
              </w:rPr>
            </w:pPr>
            <w:r w:rsidRPr="00E66C26">
              <w:rPr>
                <w:rFonts w:ascii="Calibri" w:hAnsi="Calibri" w:cs="Calibri"/>
                <w:b/>
                <w:bCs/>
                <w:sz w:val="24"/>
              </w:rPr>
              <w:t xml:space="preserve">Para mais informações, consulte a Seção “Informações Relativas à Emissão, à Oferta e às Debêntures – Características </w:t>
            </w:r>
            <w:r w:rsidR="001E5C3B">
              <w:rPr>
                <w:rFonts w:ascii="Calibri" w:hAnsi="Calibri" w:cs="Calibri"/>
                <w:b/>
                <w:bCs/>
                <w:sz w:val="24"/>
              </w:rPr>
              <w:t>Gerais</w:t>
            </w:r>
            <w:r w:rsidRPr="00E66C26">
              <w:rPr>
                <w:rFonts w:ascii="Calibri" w:hAnsi="Calibri" w:cs="Calibri"/>
                <w:b/>
                <w:bCs/>
                <w:sz w:val="24"/>
              </w:rPr>
              <w:t xml:space="preserve"> das Debêntures – </w:t>
            </w:r>
            <w:r w:rsidR="001E5C3B">
              <w:rPr>
                <w:rFonts w:ascii="Calibri" w:hAnsi="Calibri" w:cs="Calibri"/>
                <w:b/>
                <w:bCs/>
                <w:sz w:val="24"/>
              </w:rPr>
              <w:t>Remuneração</w:t>
            </w:r>
            <w:r w:rsidR="001E5C3B" w:rsidRPr="005E35B5">
              <w:rPr>
                <w:rFonts w:ascii="Calibri" w:hAnsi="Calibri"/>
                <w:b/>
                <w:sz w:val="24"/>
              </w:rPr>
              <w:t xml:space="preserve"> </w:t>
            </w:r>
            <w:r w:rsidR="001E5C3B" w:rsidRPr="005E35B5">
              <w:rPr>
                <w:rFonts w:ascii="Calibri" w:hAnsi="Calibri"/>
                <w:b/>
                <w:sz w:val="24"/>
              </w:rPr>
              <w:lastRenderedPageBreak/>
              <w:t xml:space="preserve">das Debêntures </w:t>
            </w:r>
            <w:r w:rsidR="001E5C3B">
              <w:rPr>
                <w:rFonts w:ascii="Calibri" w:hAnsi="Calibri" w:cs="Calibri"/>
                <w:b/>
                <w:bCs/>
                <w:sz w:val="24"/>
              </w:rPr>
              <w:t>da Primeira Série</w:t>
            </w:r>
            <w:r w:rsidRPr="00E66C26">
              <w:rPr>
                <w:rFonts w:ascii="Calibri" w:hAnsi="Calibri" w:cs="Calibri"/>
                <w:b/>
                <w:bCs/>
                <w:sz w:val="24"/>
              </w:rPr>
              <w:t xml:space="preserve">”, na página </w:t>
            </w:r>
            <w:r w:rsidR="00543A37">
              <w:rPr>
                <w:rFonts w:ascii="Calibri" w:hAnsi="Calibri" w:cs="Calibri"/>
                <w:b/>
                <w:bCs/>
                <w:sz w:val="24"/>
              </w:rPr>
              <w:t>79</w:t>
            </w:r>
            <w:r w:rsidRPr="00E66C26">
              <w:rPr>
                <w:rFonts w:ascii="Calibri" w:hAnsi="Calibri" w:cs="Calibri"/>
                <w:b/>
                <w:bCs/>
                <w:sz w:val="24"/>
              </w:rPr>
              <w:t xml:space="preserve"> do Prospecto Preliminar</w:t>
            </w:r>
            <w:r w:rsidRPr="00E66C26">
              <w:rPr>
                <w:rFonts w:ascii="Calibri" w:hAnsi="Calibri" w:cs="Calibri"/>
                <w:sz w:val="24"/>
              </w:rPr>
              <w:t>.</w:t>
            </w:r>
          </w:p>
        </w:tc>
      </w:tr>
      <w:tr w:rsidR="00F94F49" w:rsidRPr="00E66C26" w14:paraId="2D03D009" w14:textId="77777777" w:rsidTr="00F729A2">
        <w:trPr>
          <w:jc w:val="center"/>
        </w:trPr>
        <w:tc>
          <w:tcPr>
            <w:tcW w:w="2552" w:type="dxa"/>
          </w:tcPr>
          <w:p w14:paraId="44CD1117" w14:textId="28505567" w:rsidR="00F94F49" w:rsidRPr="00E66C26" w:rsidRDefault="00F729A2" w:rsidP="0029198E">
            <w:pPr>
              <w:pStyle w:val="Body"/>
              <w:jc w:val="left"/>
              <w:rPr>
                <w:rFonts w:ascii="Calibri" w:hAnsi="Calibri" w:cs="Calibri"/>
                <w:b/>
                <w:sz w:val="24"/>
              </w:rPr>
            </w:pPr>
            <w:r w:rsidRPr="00E66C26">
              <w:rPr>
                <w:rFonts w:ascii="Calibri" w:hAnsi="Calibri" w:cs="Calibri"/>
                <w:b/>
                <w:sz w:val="24"/>
              </w:rPr>
              <w:lastRenderedPageBreak/>
              <w:t>Juros Remuneratórios das Debêntures da Segunda Série</w:t>
            </w:r>
            <w:r w:rsidR="0011689C" w:rsidRPr="00E66C26">
              <w:rPr>
                <w:rFonts w:ascii="Calibri" w:hAnsi="Calibri" w:cs="Calibri"/>
                <w:b/>
                <w:sz w:val="24"/>
              </w:rPr>
              <w:t xml:space="preserve"> </w:t>
            </w:r>
          </w:p>
        </w:tc>
        <w:tc>
          <w:tcPr>
            <w:tcW w:w="5670" w:type="dxa"/>
          </w:tcPr>
          <w:p w14:paraId="352F110F" w14:textId="7538C284" w:rsidR="00BD65AA" w:rsidRPr="00C30EF8" w:rsidRDefault="00F729A2" w:rsidP="0029198E">
            <w:pPr>
              <w:pStyle w:val="Body"/>
              <w:rPr>
                <w:rFonts w:ascii="Calibri" w:hAnsi="Calibri" w:cs="Calibri"/>
                <w:spacing w:val="-4"/>
                <w:sz w:val="24"/>
              </w:rPr>
            </w:pPr>
            <w:r w:rsidRPr="00C30EF8">
              <w:rPr>
                <w:rFonts w:ascii="Calibri" w:hAnsi="Calibri" w:cs="Calibri"/>
                <w:spacing w:val="-4"/>
                <w:sz w:val="24"/>
              </w:rPr>
              <w:t>Sobre o Valor Nominal</w:t>
            </w:r>
            <w:r w:rsidR="00940C98" w:rsidRPr="00C30EF8">
              <w:rPr>
                <w:rFonts w:ascii="Calibri" w:hAnsi="Calibri" w:cs="Calibri"/>
                <w:spacing w:val="-4"/>
                <w:sz w:val="24"/>
              </w:rPr>
              <w:t xml:space="preserve"> Unitário</w:t>
            </w:r>
            <w:r w:rsidRPr="00C30EF8">
              <w:rPr>
                <w:rFonts w:ascii="Calibri" w:hAnsi="Calibri" w:cs="Calibri"/>
                <w:spacing w:val="-4"/>
                <w:sz w:val="24"/>
              </w:rPr>
              <w:t xml:space="preserve"> Atualizado das Debêntures da Segunda Série, incidirão juros remuneratórios correspondentes a um determinado percentual ao ano, base 252 Dias Úteis, a ser definido de acordo com o Procedimento de </w:t>
            </w:r>
            <w:proofErr w:type="spellStart"/>
            <w:r w:rsidRPr="00C30EF8">
              <w:rPr>
                <w:rFonts w:ascii="Calibri" w:hAnsi="Calibri" w:cs="Calibri"/>
                <w:i/>
                <w:iCs/>
                <w:spacing w:val="-4"/>
                <w:sz w:val="24"/>
              </w:rPr>
              <w:t>Bookbuilding</w:t>
            </w:r>
            <w:proofErr w:type="spellEnd"/>
            <w:r w:rsidRPr="00C30EF8">
              <w:rPr>
                <w:rFonts w:ascii="Calibri" w:hAnsi="Calibri" w:cs="Calibri"/>
                <w:spacing w:val="-4"/>
                <w:sz w:val="24"/>
              </w:rPr>
              <w:t xml:space="preserve">, e, em qualquer caso, limitados a </w:t>
            </w:r>
            <w:r w:rsidRPr="00C30EF8">
              <w:rPr>
                <w:rFonts w:ascii="Calibri" w:hAnsi="Calibri" w:cs="Calibri"/>
                <w:b/>
                <w:bCs/>
                <w:spacing w:val="-4"/>
                <w:sz w:val="24"/>
              </w:rPr>
              <w:t>(i)</w:t>
            </w:r>
            <w:r w:rsidRPr="00C30EF8">
              <w:rPr>
                <w:rFonts w:ascii="Calibri" w:hAnsi="Calibri" w:cs="Calibri"/>
                <w:spacing w:val="-4"/>
                <w:sz w:val="24"/>
              </w:rPr>
              <w:t xml:space="preserve"> 0,65% (sessenta e cinco centésimos por cento) ao ano, acrescidos exponencialmente à taxa interna de retorno do Tesouro IPCA+ com Juros Semestrais, com vencimento em 2035, pela ANBIMA na Data de Apuração ou </w:t>
            </w:r>
            <w:r w:rsidRPr="00C30EF8">
              <w:rPr>
                <w:rFonts w:ascii="Calibri" w:hAnsi="Calibri" w:cs="Calibri"/>
                <w:b/>
                <w:bCs/>
                <w:spacing w:val="-4"/>
                <w:sz w:val="24"/>
              </w:rPr>
              <w:t>(</w:t>
            </w:r>
            <w:proofErr w:type="spellStart"/>
            <w:r w:rsidRPr="00C30EF8">
              <w:rPr>
                <w:rFonts w:ascii="Calibri" w:hAnsi="Calibri" w:cs="Calibri"/>
                <w:b/>
                <w:bCs/>
                <w:spacing w:val="-4"/>
                <w:sz w:val="24"/>
              </w:rPr>
              <w:t>ii</w:t>
            </w:r>
            <w:proofErr w:type="spellEnd"/>
            <w:r w:rsidRPr="00C30EF8">
              <w:rPr>
                <w:rFonts w:ascii="Calibri" w:hAnsi="Calibri" w:cs="Calibri"/>
                <w:b/>
                <w:bCs/>
                <w:spacing w:val="-4"/>
                <w:sz w:val="24"/>
              </w:rPr>
              <w:t>)</w:t>
            </w:r>
            <w:r w:rsidRPr="00C30EF8">
              <w:rPr>
                <w:rFonts w:ascii="Calibri" w:hAnsi="Calibri" w:cs="Calibri"/>
                <w:spacing w:val="-4"/>
                <w:sz w:val="24"/>
              </w:rPr>
              <w:t xml:space="preserve"> 5,35% (cinco inteiros e trinta e cinco centésimos por cento) ao ano</w:t>
            </w:r>
            <w:r w:rsidR="00940C98" w:rsidRPr="00C30EF8">
              <w:rPr>
                <w:rFonts w:ascii="Calibri" w:hAnsi="Calibri" w:cs="Calibri"/>
                <w:spacing w:val="-4"/>
                <w:sz w:val="24"/>
              </w:rPr>
              <w:t>, base 252 Dias Úteis</w:t>
            </w:r>
            <w:r w:rsidRPr="00C30EF8">
              <w:rPr>
                <w:rFonts w:ascii="Calibri" w:hAnsi="Calibri" w:cs="Calibri"/>
                <w:spacing w:val="-4"/>
                <w:sz w:val="24"/>
              </w:rPr>
              <w:t xml:space="preserve">, entre os itens (i) e </w:t>
            </w:r>
            <w:r w:rsidRPr="00C30EF8">
              <w:rPr>
                <w:rFonts w:ascii="Calibri" w:hAnsi="Calibri" w:cs="Calibri"/>
                <w:b/>
                <w:bCs/>
                <w:spacing w:val="-4"/>
                <w:sz w:val="24"/>
              </w:rPr>
              <w:t>(</w:t>
            </w:r>
            <w:proofErr w:type="spellStart"/>
            <w:r w:rsidRPr="00C30EF8">
              <w:rPr>
                <w:rFonts w:ascii="Calibri" w:hAnsi="Calibri" w:cs="Calibri"/>
                <w:b/>
                <w:bCs/>
                <w:spacing w:val="-4"/>
                <w:sz w:val="24"/>
              </w:rPr>
              <w:t>ii</w:t>
            </w:r>
            <w:proofErr w:type="spellEnd"/>
            <w:r w:rsidRPr="00C30EF8">
              <w:rPr>
                <w:rFonts w:ascii="Calibri" w:hAnsi="Calibri" w:cs="Calibri"/>
                <w:b/>
                <w:bCs/>
                <w:spacing w:val="-4"/>
                <w:sz w:val="24"/>
              </w:rPr>
              <w:t>)</w:t>
            </w:r>
            <w:r w:rsidRPr="00C30EF8">
              <w:rPr>
                <w:rFonts w:ascii="Calibri" w:hAnsi="Calibri" w:cs="Calibri"/>
                <w:spacing w:val="-4"/>
                <w:sz w:val="24"/>
              </w:rPr>
              <w:t xml:space="preserve"> o que for maior na Data de Apuração (“</w:t>
            </w:r>
            <w:r w:rsidRPr="00C30EF8">
              <w:rPr>
                <w:rFonts w:ascii="Calibri" w:hAnsi="Calibri" w:cs="Calibri"/>
                <w:spacing w:val="-4"/>
                <w:sz w:val="24"/>
                <w:u w:val="single"/>
              </w:rPr>
              <w:t>Juros Remuneratórios da Segunda Série</w:t>
            </w:r>
            <w:r w:rsidRPr="00C30EF8">
              <w:rPr>
                <w:rFonts w:ascii="Calibri" w:hAnsi="Calibri" w:cs="Calibri"/>
                <w:spacing w:val="-4"/>
                <w:sz w:val="24"/>
              </w:rPr>
              <w:t>” e, em conjunto com a Atualização Monetária, a “</w:t>
            </w:r>
            <w:r w:rsidRPr="00C30EF8">
              <w:rPr>
                <w:rFonts w:ascii="Calibri" w:hAnsi="Calibri" w:cs="Calibri"/>
                <w:spacing w:val="-4"/>
                <w:sz w:val="24"/>
                <w:u w:val="single"/>
              </w:rPr>
              <w:t>Remuneração da Segunda Série</w:t>
            </w:r>
            <w:r w:rsidRPr="00C30EF8">
              <w:rPr>
                <w:rFonts w:ascii="Calibri" w:hAnsi="Calibri" w:cs="Calibri"/>
                <w:spacing w:val="-4"/>
                <w:sz w:val="24"/>
              </w:rPr>
              <w:t xml:space="preserve">”). Para fins </w:t>
            </w:r>
            <w:r w:rsidR="002B0445" w:rsidRPr="00C30EF8">
              <w:rPr>
                <w:rFonts w:ascii="Calibri" w:hAnsi="Calibri" w:cs="Calibri"/>
                <w:spacing w:val="-4"/>
                <w:sz w:val="24"/>
              </w:rPr>
              <w:t>deste Aviso ao Mercado</w:t>
            </w:r>
            <w:r w:rsidRPr="00C30EF8">
              <w:rPr>
                <w:rFonts w:ascii="Calibri" w:hAnsi="Calibri" w:cs="Calibri"/>
                <w:spacing w:val="-4"/>
                <w:sz w:val="24"/>
              </w:rPr>
              <w:t>, a Remuneração da Primeira Série e a Remuneração da Segunda Série, quando consideradas em conjunto, serão referidas apenas como “</w:t>
            </w:r>
            <w:r w:rsidRPr="00C30EF8">
              <w:rPr>
                <w:rFonts w:ascii="Calibri" w:hAnsi="Calibri" w:cs="Calibri"/>
                <w:spacing w:val="-4"/>
                <w:sz w:val="24"/>
                <w:u w:val="single"/>
              </w:rPr>
              <w:t>Remuneração</w:t>
            </w:r>
            <w:r w:rsidRPr="00C30EF8">
              <w:rPr>
                <w:rFonts w:ascii="Calibri" w:hAnsi="Calibri" w:cs="Calibri"/>
                <w:spacing w:val="-4"/>
                <w:sz w:val="24"/>
              </w:rPr>
              <w:t>” ou “</w:t>
            </w:r>
            <w:r w:rsidRPr="00C30EF8">
              <w:rPr>
                <w:rFonts w:ascii="Calibri" w:hAnsi="Calibri" w:cs="Calibri"/>
                <w:spacing w:val="-4"/>
                <w:sz w:val="24"/>
                <w:u w:val="single"/>
              </w:rPr>
              <w:t>Remunerações</w:t>
            </w:r>
            <w:r w:rsidRPr="00C30EF8">
              <w:rPr>
                <w:rFonts w:ascii="Calibri" w:hAnsi="Calibri" w:cs="Calibri"/>
                <w:spacing w:val="-4"/>
                <w:sz w:val="24"/>
              </w:rPr>
              <w:t>”.</w:t>
            </w:r>
          </w:p>
          <w:p w14:paraId="73841418" w14:textId="695B65DE" w:rsidR="00F729A2" w:rsidRPr="00C30EF8" w:rsidRDefault="00F729A2" w:rsidP="00FC387C">
            <w:pPr>
              <w:pStyle w:val="Body"/>
              <w:rPr>
                <w:rFonts w:ascii="Calibri" w:hAnsi="Calibri" w:cs="Calibri"/>
                <w:b/>
                <w:bCs/>
                <w:spacing w:val="-4"/>
                <w:sz w:val="24"/>
              </w:rPr>
            </w:pPr>
            <w:r w:rsidRPr="00C30EF8">
              <w:rPr>
                <w:rFonts w:ascii="Calibri" w:hAnsi="Calibri" w:cs="Calibri"/>
                <w:b/>
                <w:bCs/>
                <w:spacing w:val="-4"/>
                <w:sz w:val="24"/>
              </w:rPr>
              <w:t xml:space="preserve">Para mais informações, consulte a Seção “Informações Relativas à Emissão, à Oferta e às Debêntures – </w:t>
            </w:r>
            <w:r w:rsidR="001E5C3B" w:rsidRPr="005E35B5">
              <w:rPr>
                <w:rFonts w:ascii="Calibri" w:hAnsi="Calibri"/>
                <w:b/>
                <w:sz w:val="24"/>
              </w:rPr>
              <w:t xml:space="preserve">Características </w:t>
            </w:r>
            <w:r w:rsidR="001E5C3B">
              <w:rPr>
                <w:rFonts w:ascii="Calibri" w:hAnsi="Calibri" w:cs="Calibri"/>
                <w:b/>
                <w:bCs/>
                <w:sz w:val="24"/>
              </w:rPr>
              <w:t>Gerais</w:t>
            </w:r>
            <w:r w:rsidR="001E5C3B" w:rsidRPr="005E35B5">
              <w:rPr>
                <w:rFonts w:ascii="Calibri" w:hAnsi="Calibri"/>
                <w:b/>
                <w:sz w:val="24"/>
              </w:rPr>
              <w:t xml:space="preserve"> das Debêntures – </w:t>
            </w:r>
            <w:r w:rsidR="001E5C3B">
              <w:rPr>
                <w:rFonts w:ascii="Calibri" w:hAnsi="Calibri" w:cs="Calibri"/>
                <w:b/>
                <w:bCs/>
                <w:sz w:val="24"/>
              </w:rPr>
              <w:t>Remuneração</w:t>
            </w:r>
            <w:r w:rsidR="001E5C3B" w:rsidRPr="005E35B5">
              <w:rPr>
                <w:rFonts w:ascii="Calibri" w:hAnsi="Calibri"/>
                <w:b/>
                <w:sz w:val="24"/>
              </w:rPr>
              <w:t xml:space="preserve"> das Debêntures </w:t>
            </w:r>
            <w:r w:rsidR="001E5C3B">
              <w:rPr>
                <w:rFonts w:ascii="Calibri" w:hAnsi="Calibri" w:cs="Calibri"/>
                <w:b/>
                <w:bCs/>
                <w:sz w:val="24"/>
              </w:rPr>
              <w:t>da Segunda Série</w:t>
            </w:r>
            <w:r w:rsidRPr="00C30EF8">
              <w:rPr>
                <w:rFonts w:ascii="Calibri" w:hAnsi="Calibri" w:cs="Calibri"/>
                <w:b/>
                <w:bCs/>
                <w:spacing w:val="-4"/>
                <w:sz w:val="24"/>
              </w:rPr>
              <w:t xml:space="preserve">”, na página </w:t>
            </w:r>
            <w:r w:rsidR="003A453C">
              <w:rPr>
                <w:rFonts w:ascii="Calibri" w:hAnsi="Calibri" w:cs="Calibri"/>
                <w:b/>
                <w:bCs/>
                <w:spacing w:val="-4"/>
                <w:sz w:val="24"/>
              </w:rPr>
              <w:t>80</w:t>
            </w:r>
            <w:r w:rsidRPr="00C30EF8">
              <w:rPr>
                <w:rFonts w:ascii="Calibri" w:hAnsi="Calibri" w:cs="Calibri"/>
                <w:b/>
                <w:bCs/>
                <w:spacing w:val="-4"/>
                <w:sz w:val="24"/>
              </w:rPr>
              <w:t xml:space="preserve"> do Prospecto Preliminar</w:t>
            </w:r>
          </w:p>
        </w:tc>
      </w:tr>
      <w:tr w:rsidR="00113253" w:rsidRPr="00E66C26" w14:paraId="195D733A" w14:textId="77777777" w:rsidTr="00F729A2">
        <w:trPr>
          <w:jc w:val="center"/>
        </w:trPr>
        <w:tc>
          <w:tcPr>
            <w:tcW w:w="2552" w:type="dxa"/>
          </w:tcPr>
          <w:p w14:paraId="0650B1BB" w14:textId="0E2826F4" w:rsidR="00113253" w:rsidRPr="00E66C26" w:rsidRDefault="00F729A2" w:rsidP="0029198E">
            <w:pPr>
              <w:pStyle w:val="Body"/>
              <w:jc w:val="left"/>
              <w:rPr>
                <w:rFonts w:ascii="Calibri" w:hAnsi="Calibri" w:cs="Calibri"/>
                <w:b/>
                <w:sz w:val="24"/>
              </w:rPr>
            </w:pPr>
            <w:r w:rsidRPr="00E66C26">
              <w:rPr>
                <w:rFonts w:ascii="Calibri" w:hAnsi="Calibri" w:cs="Calibri"/>
                <w:b/>
                <w:sz w:val="24"/>
              </w:rPr>
              <w:t>Pagamento da Remuneração da Primeira Série</w:t>
            </w:r>
          </w:p>
        </w:tc>
        <w:tc>
          <w:tcPr>
            <w:tcW w:w="5670" w:type="dxa"/>
          </w:tcPr>
          <w:p w14:paraId="62D3D2A7" w14:textId="00556DA9" w:rsidR="00113253" w:rsidRPr="00C30EF8" w:rsidRDefault="00F729A2" w:rsidP="0029198E">
            <w:pPr>
              <w:pStyle w:val="Body"/>
              <w:rPr>
                <w:rFonts w:ascii="Calibri" w:hAnsi="Calibri" w:cs="Calibri"/>
                <w:spacing w:val="-4"/>
                <w:sz w:val="24"/>
              </w:rPr>
            </w:pPr>
            <w:r w:rsidRPr="00C30EF8">
              <w:rPr>
                <w:rFonts w:ascii="Calibri" w:hAnsi="Calibri" w:cs="Calibri"/>
                <w:spacing w:val="-4"/>
                <w:sz w:val="24"/>
              </w:rPr>
              <w:t xml:space="preserve">Sem prejuízo dos pagamentos em decorrência de vencimento antecipado das obrigações decorrentes das Debêntures, nos termos previstos na Escritura de Emissão, os Juros Remuneratórios da Primeira Série serão pagos pela Emissora aos Debenturistas semestralmente a partir da Data de Emissão, sendo, portanto, os pagamentos devidos </w:t>
            </w:r>
            <w:r w:rsidRPr="00C30EF8">
              <w:rPr>
                <w:rFonts w:ascii="Calibri" w:hAnsi="Calibri" w:cs="Calibri"/>
                <w:spacing w:val="-4"/>
                <w:sz w:val="24"/>
              </w:rPr>
              <w:lastRenderedPageBreak/>
              <w:t xml:space="preserve">no dia </w:t>
            </w:r>
            <w:r w:rsidR="008065FA" w:rsidRPr="00C30EF8">
              <w:rPr>
                <w:rFonts w:ascii="Calibri" w:hAnsi="Calibri" w:cs="Calibri"/>
                <w:spacing w:val="-4"/>
                <w:sz w:val="24"/>
              </w:rPr>
              <w:t xml:space="preserve">15 </w:t>
            </w:r>
            <w:r w:rsidRPr="00C30EF8">
              <w:rPr>
                <w:rFonts w:ascii="Calibri" w:hAnsi="Calibri" w:cs="Calibri"/>
                <w:spacing w:val="-4"/>
                <w:sz w:val="24"/>
              </w:rPr>
              <w:t xml:space="preserve">dos meses </w:t>
            </w:r>
            <w:r w:rsidR="008065FA" w:rsidRPr="00C30EF8">
              <w:rPr>
                <w:rFonts w:ascii="Calibri" w:hAnsi="Calibri" w:cs="Calibri"/>
                <w:spacing w:val="-4"/>
                <w:sz w:val="24"/>
              </w:rPr>
              <w:t xml:space="preserve">julho </w:t>
            </w:r>
            <w:r w:rsidRPr="00C30EF8">
              <w:rPr>
                <w:rFonts w:ascii="Calibri" w:hAnsi="Calibri" w:cs="Calibri"/>
                <w:spacing w:val="-4"/>
                <w:sz w:val="24"/>
              </w:rPr>
              <w:t xml:space="preserve">e </w:t>
            </w:r>
            <w:r w:rsidR="008065FA" w:rsidRPr="00C30EF8">
              <w:rPr>
                <w:rFonts w:ascii="Calibri" w:hAnsi="Calibri" w:cs="Calibri"/>
                <w:spacing w:val="-4"/>
                <w:sz w:val="24"/>
              </w:rPr>
              <w:t xml:space="preserve">janeiro </w:t>
            </w:r>
            <w:r w:rsidRPr="00C30EF8">
              <w:rPr>
                <w:rFonts w:ascii="Calibri" w:hAnsi="Calibri" w:cs="Calibri"/>
                <w:spacing w:val="-4"/>
                <w:sz w:val="24"/>
              </w:rPr>
              <w:t xml:space="preserve">de cada ano. O primeiro pagamento ocorrerá na Data de Vencimento da Primeira Série (cada uma dessas datas, uma </w:t>
            </w:r>
            <w:r w:rsidRPr="00C30EF8">
              <w:rPr>
                <w:rFonts w:ascii="Calibri" w:hAnsi="Calibri" w:cs="Calibri"/>
                <w:spacing w:val="-4"/>
                <w:sz w:val="24"/>
                <w:u w:val="single"/>
              </w:rPr>
              <w:t>Data de Pagamento de Juros Remuneratórios da Primeira Série</w:t>
            </w:r>
            <w:r w:rsidRPr="00C30EF8">
              <w:rPr>
                <w:rFonts w:ascii="Calibri" w:hAnsi="Calibri" w:cs="Calibri"/>
                <w:spacing w:val="-4"/>
                <w:sz w:val="24"/>
              </w:rPr>
              <w:t>):</w:t>
            </w:r>
          </w:p>
          <w:tbl>
            <w:tblPr>
              <w:tblW w:w="5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3963"/>
            </w:tblGrid>
            <w:tr w:rsidR="00F729A2" w:rsidRPr="00E66C26" w14:paraId="1F79BA27" w14:textId="77777777" w:rsidTr="00C30EF8">
              <w:trPr>
                <w:trHeight w:val="406"/>
                <w:tblHeader/>
              </w:trPr>
              <w:tc>
                <w:tcPr>
                  <w:tcW w:w="1644" w:type="dxa"/>
                  <w:shd w:val="clear" w:color="auto" w:fill="D9D9D9" w:themeFill="background1" w:themeFillShade="D9"/>
                  <w:vAlign w:val="center"/>
                </w:tcPr>
                <w:p w14:paraId="32CD8C09" w14:textId="77777777" w:rsidR="00F729A2" w:rsidRPr="00E66C26" w:rsidRDefault="00F729A2" w:rsidP="00F729A2">
                  <w:pPr>
                    <w:pStyle w:val="p0"/>
                    <w:suppressAutoHyphens/>
                    <w:spacing w:before="60" w:after="60" w:line="240" w:lineRule="auto"/>
                    <w:jc w:val="center"/>
                    <w:rPr>
                      <w:rFonts w:ascii="Calibri" w:hAnsi="Calibri" w:cs="Calibri"/>
                      <w:b/>
                      <w:bCs/>
                      <w:color w:val="000000"/>
                      <w:szCs w:val="16"/>
                    </w:rPr>
                  </w:pPr>
                  <w:r w:rsidRPr="00E66C26">
                    <w:rPr>
                      <w:rFonts w:ascii="Calibri" w:hAnsi="Calibri" w:cs="Calibri"/>
                      <w:b/>
                      <w:bCs/>
                      <w:color w:val="000000"/>
                      <w:szCs w:val="16"/>
                    </w:rPr>
                    <w:t>Parcelas</w:t>
                  </w:r>
                </w:p>
              </w:tc>
              <w:tc>
                <w:tcPr>
                  <w:tcW w:w="3963" w:type="dxa"/>
                  <w:shd w:val="clear" w:color="auto" w:fill="D9D9D9" w:themeFill="background1" w:themeFillShade="D9"/>
                  <w:vAlign w:val="center"/>
                </w:tcPr>
                <w:p w14:paraId="1281FAA8" w14:textId="77777777" w:rsidR="00F729A2" w:rsidRPr="00E66C26" w:rsidRDefault="00F729A2" w:rsidP="00F729A2">
                  <w:pPr>
                    <w:pStyle w:val="p0"/>
                    <w:suppressAutoHyphens/>
                    <w:spacing w:before="60" w:after="60" w:line="240" w:lineRule="auto"/>
                    <w:jc w:val="center"/>
                    <w:rPr>
                      <w:rFonts w:ascii="Calibri" w:hAnsi="Calibri" w:cs="Calibri"/>
                      <w:b/>
                      <w:bCs/>
                      <w:color w:val="000000"/>
                      <w:szCs w:val="16"/>
                    </w:rPr>
                  </w:pPr>
                  <w:r w:rsidRPr="00E66C26">
                    <w:rPr>
                      <w:rFonts w:ascii="Calibri" w:hAnsi="Calibri" w:cs="Calibri"/>
                      <w:b/>
                      <w:bCs/>
                      <w:color w:val="000000"/>
                      <w:szCs w:val="16"/>
                    </w:rPr>
                    <w:t>Data de Pagamento da Remuneração</w:t>
                  </w:r>
                </w:p>
              </w:tc>
            </w:tr>
            <w:tr w:rsidR="008065FA" w:rsidRPr="00E66C26" w14:paraId="10913CD3" w14:textId="77777777" w:rsidTr="00C30EF8">
              <w:trPr>
                <w:trHeight w:val="126"/>
              </w:trPr>
              <w:tc>
                <w:tcPr>
                  <w:tcW w:w="1644" w:type="dxa"/>
                </w:tcPr>
                <w:p w14:paraId="1BE729B6"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w:t>
                  </w:r>
                </w:p>
              </w:tc>
              <w:tc>
                <w:tcPr>
                  <w:tcW w:w="3963" w:type="dxa"/>
                  <w:vAlign w:val="center"/>
                </w:tcPr>
                <w:p w14:paraId="0E37DFCC" w14:textId="66141092"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15/07/2022</w:t>
                  </w:r>
                </w:p>
              </w:tc>
            </w:tr>
            <w:tr w:rsidR="008065FA" w:rsidRPr="00E66C26" w14:paraId="7F8DA6B1" w14:textId="77777777" w:rsidTr="00C30EF8">
              <w:trPr>
                <w:trHeight w:val="126"/>
              </w:trPr>
              <w:tc>
                <w:tcPr>
                  <w:tcW w:w="1644" w:type="dxa"/>
                </w:tcPr>
                <w:p w14:paraId="2ED72878"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w:t>
                  </w:r>
                </w:p>
              </w:tc>
              <w:tc>
                <w:tcPr>
                  <w:tcW w:w="3963" w:type="dxa"/>
                  <w:vAlign w:val="center"/>
                </w:tcPr>
                <w:p w14:paraId="0F3857D1" w14:textId="08B894B5"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w:t>
                  </w:r>
                  <w:r w:rsidR="005F199D" w:rsidRPr="00E66C26">
                    <w:rPr>
                      <w:rFonts w:ascii="Calibri" w:hAnsi="Calibri" w:cs="Calibri"/>
                      <w:color w:val="000000"/>
                      <w:szCs w:val="16"/>
                    </w:rPr>
                    <w:t>5</w:t>
                  </w:r>
                  <w:r w:rsidRPr="00E66C26">
                    <w:rPr>
                      <w:rFonts w:ascii="Calibri" w:hAnsi="Calibri" w:cs="Calibri"/>
                      <w:color w:val="000000"/>
                      <w:szCs w:val="16"/>
                    </w:rPr>
                    <w:t>/01/2023</w:t>
                  </w:r>
                </w:p>
              </w:tc>
            </w:tr>
            <w:tr w:rsidR="008065FA" w:rsidRPr="00E66C26" w14:paraId="1736E677" w14:textId="77777777" w:rsidTr="00C30EF8">
              <w:trPr>
                <w:trHeight w:val="131"/>
              </w:trPr>
              <w:tc>
                <w:tcPr>
                  <w:tcW w:w="1644" w:type="dxa"/>
                </w:tcPr>
                <w:p w14:paraId="7840D639"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3</w:t>
                  </w:r>
                </w:p>
              </w:tc>
              <w:tc>
                <w:tcPr>
                  <w:tcW w:w="3963" w:type="dxa"/>
                  <w:vAlign w:val="center"/>
                </w:tcPr>
                <w:p w14:paraId="6A6747B5" w14:textId="6F373FC3"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w:t>
                  </w:r>
                  <w:r w:rsidR="005F199D" w:rsidRPr="00E66C26">
                    <w:rPr>
                      <w:rFonts w:ascii="Calibri" w:hAnsi="Calibri" w:cs="Calibri"/>
                      <w:color w:val="000000"/>
                      <w:szCs w:val="16"/>
                    </w:rPr>
                    <w:t>5</w:t>
                  </w:r>
                  <w:r w:rsidRPr="00E66C26">
                    <w:rPr>
                      <w:rFonts w:ascii="Calibri" w:hAnsi="Calibri" w:cs="Calibri"/>
                      <w:color w:val="000000"/>
                      <w:szCs w:val="16"/>
                    </w:rPr>
                    <w:t>/07/2023</w:t>
                  </w:r>
                </w:p>
              </w:tc>
            </w:tr>
            <w:tr w:rsidR="008065FA" w:rsidRPr="00E66C26" w14:paraId="0FDB6E39" w14:textId="77777777" w:rsidTr="00C30EF8">
              <w:trPr>
                <w:trHeight w:val="131"/>
              </w:trPr>
              <w:tc>
                <w:tcPr>
                  <w:tcW w:w="1644" w:type="dxa"/>
                </w:tcPr>
                <w:p w14:paraId="30341270"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4</w:t>
                  </w:r>
                </w:p>
              </w:tc>
              <w:tc>
                <w:tcPr>
                  <w:tcW w:w="3963" w:type="dxa"/>
                  <w:vAlign w:val="center"/>
                </w:tcPr>
                <w:p w14:paraId="58B416CC" w14:textId="3596147A"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15/01/2024</w:t>
                  </w:r>
                </w:p>
              </w:tc>
            </w:tr>
            <w:tr w:rsidR="008065FA" w:rsidRPr="00E66C26" w14:paraId="0383010F" w14:textId="77777777" w:rsidTr="00C30EF8">
              <w:trPr>
                <w:trHeight w:val="131"/>
              </w:trPr>
              <w:tc>
                <w:tcPr>
                  <w:tcW w:w="1644" w:type="dxa"/>
                </w:tcPr>
                <w:p w14:paraId="70203993"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5</w:t>
                  </w:r>
                </w:p>
              </w:tc>
              <w:tc>
                <w:tcPr>
                  <w:tcW w:w="3963" w:type="dxa"/>
                  <w:vAlign w:val="center"/>
                </w:tcPr>
                <w:p w14:paraId="1F4DB770" w14:textId="599C50E1"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15/07/2024</w:t>
                  </w:r>
                </w:p>
              </w:tc>
            </w:tr>
            <w:tr w:rsidR="008065FA" w:rsidRPr="00E66C26" w14:paraId="1BCC3A30" w14:textId="77777777" w:rsidTr="00C30EF8">
              <w:trPr>
                <w:trHeight w:val="131"/>
              </w:trPr>
              <w:tc>
                <w:tcPr>
                  <w:tcW w:w="1644" w:type="dxa"/>
                </w:tcPr>
                <w:p w14:paraId="53CC46DC"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6</w:t>
                  </w:r>
                </w:p>
              </w:tc>
              <w:tc>
                <w:tcPr>
                  <w:tcW w:w="3963" w:type="dxa"/>
                  <w:vAlign w:val="center"/>
                </w:tcPr>
                <w:p w14:paraId="5EC7386B" w14:textId="5CD7A94B" w:rsidR="008065FA" w:rsidRPr="00E66C26" w:rsidRDefault="008065FA" w:rsidP="008065FA">
                  <w:pPr>
                    <w:pStyle w:val="p0"/>
                    <w:suppressAutoHyphens/>
                    <w:spacing w:before="60" w:after="60" w:line="240" w:lineRule="auto"/>
                    <w:jc w:val="center"/>
                    <w:rPr>
                      <w:rFonts w:ascii="Calibri" w:hAnsi="Calibri" w:cs="Calibri"/>
                      <w:color w:val="000000"/>
                      <w:szCs w:val="16"/>
                      <w:lang w:val="x-none"/>
                    </w:rPr>
                  </w:pPr>
                  <w:r w:rsidRPr="00E66C26">
                    <w:rPr>
                      <w:rFonts w:ascii="Calibri" w:hAnsi="Calibri" w:cs="Calibri"/>
                      <w:color w:val="000000"/>
                      <w:szCs w:val="16"/>
                    </w:rPr>
                    <w:t>15/01/2025</w:t>
                  </w:r>
                </w:p>
              </w:tc>
            </w:tr>
            <w:tr w:rsidR="008065FA" w:rsidRPr="00E66C26" w14:paraId="43F45FBC" w14:textId="77777777" w:rsidTr="00C30EF8">
              <w:trPr>
                <w:trHeight w:val="131"/>
              </w:trPr>
              <w:tc>
                <w:tcPr>
                  <w:tcW w:w="1644" w:type="dxa"/>
                </w:tcPr>
                <w:p w14:paraId="04E10AB3"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7</w:t>
                  </w:r>
                </w:p>
              </w:tc>
              <w:tc>
                <w:tcPr>
                  <w:tcW w:w="3963" w:type="dxa"/>
                  <w:vAlign w:val="center"/>
                </w:tcPr>
                <w:p w14:paraId="48641E8A" w14:textId="58868F1E" w:rsidR="008065FA" w:rsidRPr="00E66C26" w:rsidRDefault="008065FA" w:rsidP="008065FA">
                  <w:pPr>
                    <w:pStyle w:val="p0"/>
                    <w:suppressAutoHyphens/>
                    <w:spacing w:before="60" w:after="60" w:line="240" w:lineRule="auto"/>
                    <w:jc w:val="center"/>
                    <w:rPr>
                      <w:rFonts w:ascii="Calibri" w:hAnsi="Calibri" w:cs="Calibri"/>
                      <w:color w:val="000000"/>
                      <w:szCs w:val="16"/>
                      <w:lang w:val="x-none"/>
                    </w:rPr>
                  </w:pPr>
                  <w:r w:rsidRPr="00E66C26">
                    <w:rPr>
                      <w:rFonts w:ascii="Calibri" w:hAnsi="Calibri" w:cs="Calibri"/>
                      <w:color w:val="000000"/>
                      <w:szCs w:val="16"/>
                    </w:rPr>
                    <w:t>15/07/2025</w:t>
                  </w:r>
                </w:p>
              </w:tc>
            </w:tr>
            <w:tr w:rsidR="008065FA" w:rsidRPr="00E66C26" w14:paraId="7D7562EF" w14:textId="77777777" w:rsidTr="00C30EF8">
              <w:trPr>
                <w:trHeight w:val="131"/>
              </w:trPr>
              <w:tc>
                <w:tcPr>
                  <w:tcW w:w="1644" w:type="dxa"/>
                </w:tcPr>
                <w:p w14:paraId="110993B4"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8</w:t>
                  </w:r>
                </w:p>
              </w:tc>
              <w:tc>
                <w:tcPr>
                  <w:tcW w:w="3963" w:type="dxa"/>
                  <w:vAlign w:val="center"/>
                </w:tcPr>
                <w:p w14:paraId="37742327" w14:textId="3D2D48D1"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15/01/2026</w:t>
                  </w:r>
                </w:p>
              </w:tc>
            </w:tr>
            <w:tr w:rsidR="008065FA" w:rsidRPr="00E66C26" w14:paraId="1D055817" w14:textId="77777777" w:rsidTr="00C30EF8">
              <w:trPr>
                <w:trHeight w:val="131"/>
              </w:trPr>
              <w:tc>
                <w:tcPr>
                  <w:tcW w:w="1644" w:type="dxa"/>
                </w:tcPr>
                <w:p w14:paraId="1B616DE0"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9</w:t>
                  </w:r>
                </w:p>
              </w:tc>
              <w:tc>
                <w:tcPr>
                  <w:tcW w:w="3963" w:type="dxa"/>
                  <w:vAlign w:val="center"/>
                </w:tcPr>
                <w:p w14:paraId="03C0F861" w14:textId="0D4F4861"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15/07/2026</w:t>
                  </w:r>
                </w:p>
              </w:tc>
            </w:tr>
            <w:tr w:rsidR="008065FA" w:rsidRPr="00E66C26" w14:paraId="0CB5F474" w14:textId="77777777" w:rsidTr="00C30EF8">
              <w:trPr>
                <w:trHeight w:val="131"/>
              </w:trPr>
              <w:tc>
                <w:tcPr>
                  <w:tcW w:w="1644" w:type="dxa"/>
                </w:tcPr>
                <w:p w14:paraId="71111C54"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10</w:t>
                  </w:r>
                </w:p>
              </w:tc>
              <w:tc>
                <w:tcPr>
                  <w:tcW w:w="3963" w:type="dxa"/>
                  <w:vAlign w:val="center"/>
                </w:tcPr>
                <w:p w14:paraId="3878C8A3" w14:textId="35986B89"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15/01/2027</w:t>
                  </w:r>
                </w:p>
              </w:tc>
            </w:tr>
            <w:tr w:rsidR="008065FA" w:rsidRPr="00E66C26" w14:paraId="567E6579"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3B6FB472"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11</w:t>
                  </w:r>
                </w:p>
              </w:tc>
              <w:tc>
                <w:tcPr>
                  <w:tcW w:w="3963" w:type="dxa"/>
                  <w:tcBorders>
                    <w:top w:val="single" w:sz="4" w:space="0" w:color="auto"/>
                    <w:left w:val="single" w:sz="4" w:space="0" w:color="auto"/>
                    <w:bottom w:val="single" w:sz="4" w:space="0" w:color="auto"/>
                    <w:right w:val="single" w:sz="4" w:space="0" w:color="auto"/>
                  </w:tcBorders>
                  <w:vAlign w:val="center"/>
                </w:tcPr>
                <w:p w14:paraId="476A5CFE" w14:textId="33622662"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15/07/2027</w:t>
                  </w:r>
                </w:p>
              </w:tc>
            </w:tr>
            <w:tr w:rsidR="008065FA" w:rsidRPr="00E66C26" w14:paraId="33EECBBC"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4A07ADB2"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12</w:t>
                  </w:r>
                </w:p>
              </w:tc>
              <w:tc>
                <w:tcPr>
                  <w:tcW w:w="3963" w:type="dxa"/>
                  <w:tcBorders>
                    <w:top w:val="single" w:sz="4" w:space="0" w:color="auto"/>
                    <w:left w:val="single" w:sz="4" w:space="0" w:color="auto"/>
                    <w:bottom w:val="single" w:sz="4" w:space="0" w:color="auto"/>
                    <w:right w:val="single" w:sz="4" w:space="0" w:color="auto"/>
                  </w:tcBorders>
                  <w:vAlign w:val="center"/>
                </w:tcPr>
                <w:p w14:paraId="239F5E3B" w14:textId="33CBADA1"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w:t>
                  </w:r>
                  <w:r w:rsidR="005F199D" w:rsidRPr="00E66C26">
                    <w:rPr>
                      <w:rFonts w:ascii="Calibri" w:hAnsi="Calibri" w:cs="Calibri"/>
                      <w:color w:val="000000"/>
                      <w:szCs w:val="16"/>
                    </w:rPr>
                    <w:t>5</w:t>
                  </w:r>
                  <w:r w:rsidRPr="00E66C26">
                    <w:rPr>
                      <w:rFonts w:ascii="Calibri" w:hAnsi="Calibri" w:cs="Calibri"/>
                      <w:color w:val="000000"/>
                      <w:szCs w:val="16"/>
                    </w:rPr>
                    <w:t>/01/2028</w:t>
                  </w:r>
                </w:p>
              </w:tc>
            </w:tr>
            <w:tr w:rsidR="008065FA" w:rsidRPr="00E66C26" w14:paraId="2CCFE0D1"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6B0ABE04"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13</w:t>
                  </w:r>
                </w:p>
              </w:tc>
              <w:tc>
                <w:tcPr>
                  <w:tcW w:w="3963" w:type="dxa"/>
                  <w:tcBorders>
                    <w:top w:val="single" w:sz="4" w:space="0" w:color="auto"/>
                    <w:left w:val="single" w:sz="4" w:space="0" w:color="auto"/>
                    <w:bottom w:val="single" w:sz="4" w:space="0" w:color="auto"/>
                    <w:right w:val="single" w:sz="4" w:space="0" w:color="auto"/>
                  </w:tcBorders>
                  <w:vAlign w:val="center"/>
                </w:tcPr>
                <w:p w14:paraId="16288DAD" w14:textId="0D235EEA"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w:t>
                  </w:r>
                  <w:r w:rsidR="005F199D" w:rsidRPr="00E66C26">
                    <w:rPr>
                      <w:rFonts w:ascii="Calibri" w:hAnsi="Calibri" w:cs="Calibri"/>
                      <w:color w:val="000000"/>
                      <w:szCs w:val="16"/>
                    </w:rPr>
                    <w:t>5</w:t>
                  </w:r>
                  <w:r w:rsidRPr="00E66C26">
                    <w:rPr>
                      <w:rFonts w:ascii="Calibri" w:hAnsi="Calibri" w:cs="Calibri"/>
                      <w:color w:val="000000"/>
                      <w:szCs w:val="16"/>
                    </w:rPr>
                    <w:t>/07/2028</w:t>
                  </w:r>
                </w:p>
              </w:tc>
            </w:tr>
            <w:tr w:rsidR="008065FA" w:rsidRPr="00E66C26" w14:paraId="653DA67F"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3DF089E4"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14</w:t>
                  </w:r>
                </w:p>
              </w:tc>
              <w:tc>
                <w:tcPr>
                  <w:tcW w:w="3963" w:type="dxa"/>
                  <w:tcBorders>
                    <w:top w:val="single" w:sz="4" w:space="0" w:color="auto"/>
                    <w:left w:val="single" w:sz="4" w:space="0" w:color="auto"/>
                    <w:bottom w:val="single" w:sz="4" w:space="0" w:color="auto"/>
                    <w:right w:val="single" w:sz="4" w:space="0" w:color="auto"/>
                  </w:tcBorders>
                  <w:vAlign w:val="center"/>
                </w:tcPr>
                <w:p w14:paraId="4FE6D31C" w14:textId="20FCDC2D"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15/01/2029</w:t>
                  </w:r>
                </w:p>
              </w:tc>
            </w:tr>
            <w:tr w:rsidR="008065FA" w:rsidRPr="00E66C26" w14:paraId="0CECC0CD"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0929415D"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15</w:t>
                  </w:r>
                </w:p>
              </w:tc>
              <w:tc>
                <w:tcPr>
                  <w:tcW w:w="3963" w:type="dxa"/>
                  <w:tcBorders>
                    <w:top w:val="single" w:sz="4" w:space="0" w:color="auto"/>
                    <w:left w:val="single" w:sz="4" w:space="0" w:color="auto"/>
                    <w:bottom w:val="single" w:sz="4" w:space="0" w:color="auto"/>
                    <w:right w:val="single" w:sz="4" w:space="0" w:color="auto"/>
                  </w:tcBorders>
                  <w:vAlign w:val="center"/>
                </w:tcPr>
                <w:p w14:paraId="0EBD3D7E" w14:textId="0D81331F"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w:t>
                  </w:r>
                  <w:r w:rsidR="005F199D" w:rsidRPr="00E66C26">
                    <w:rPr>
                      <w:rFonts w:ascii="Calibri" w:hAnsi="Calibri" w:cs="Calibri"/>
                      <w:color w:val="000000"/>
                      <w:szCs w:val="16"/>
                    </w:rPr>
                    <w:t>5</w:t>
                  </w:r>
                  <w:r w:rsidRPr="00E66C26">
                    <w:rPr>
                      <w:rFonts w:ascii="Calibri" w:hAnsi="Calibri" w:cs="Calibri"/>
                      <w:color w:val="000000"/>
                      <w:szCs w:val="16"/>
                    </w:rPr>
                    <w:t>/07/2029</w:t>
                  </w:r>
                </w:p>
              </w:tc>
            </w:tr>
            <w:tr w:rsidR="008065FA" w:rsidRPr="00E66C26" w14:paraId="4A5199D2"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71AD2A86"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16</w:t>
                  </w:r>
                </w:p>
              </w:tc>
              <w:tc>
                <w:tcPr>
                  <w:tcW w:w="3963" w:type="dxa"/>
                  <w:tcBorders>
                    <w:top w:val="single" w:sz="4" w:space="0" w:color="auto"/>
                    <w:left w:val="single" w:sz="4" w:space="0" w:color="auto"/>
                    <w:bottom w:val="single" w:sz="4" w:space="0" w:color="auto"/>
                    <w:right w:val="single" w:sz="4" w:space="0" w:color="auto"/>
                  </w:tcBorders>
                  <w:vAlign w:val="center"/>
                </w:tcPr>
                <w:p w14:paraId="1B453D69" w14:textId="3092D94B"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15/01/2030</w:t>
                  </w:r>
                </w:p>
              </w:tc>
            </w:tr>
            <w:tr w:rsidR="008065FA" w:rsidRPr="00E66C26" w14:paraId="7CD371F2"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3786DB5D"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17</w:t>
                  </w:r>
                </w:p>
              </w:tc>
              <w:tc>
                <w:tcPr>
                  <w:tcW w:w="3963" w:type="dxa"/>
                  <w:tcBorders>
                    <w:top w:val="single" w:sz="4" w:space="0" w:color="auto"/>
                    <w:left w:val="single" w:sz="4" w:space="0" w:color="auto"/>
                    <w:bottom w:val="single" w:sz="4" w:space="0" w:color="auto"/>
                    <w:right w:val="single" w:sz="4" w:space="0" w:color="auto"/>
                  </w:tcBorders>
                  <w:vAlign w:val="center"/>
                </w:tcPr>
                <w:p w14:paraId="4B9A62F7" w14:textId="0CA6F275"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15/07/2030</w:t>
                  </w:r>
                </w:p>
              </w:tc>
            </w:tr>
            <w:tr w:rsidR="008065FA" w:rsidRPr="00E66C26" w14:paraId="69B6021D"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56C75769"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18</w:t>
                  </w:r>
                </w:p>
              </w:tc>
              <w:tc>
                <w:tcPr>
                  <w:tcW w:w="3963" w:type="dxa"/>
                  <w:tcBorders>
                    <w:top w:val="single" w:sz="4" w:space="0" w:color="auto"/>
                    <w:left w:val="single" w:sz="4" w:space="0" w:color="auto"/>
                    <w:bottom w:val="single" w:sz="4" w:space="0" w:color="auto"/>
                    <w:right w:val="single" w:sz="4" w:space="0" w:color="auto"/>
                  </w:tcBorders>
                  <w:vAlign w:val="center"/>
                </w:tcPr>
                <w:p w14:paraId="387132C8" w14:textId="7BB02EAB"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15/01/2031</w:t>
                  </w:r>
                </w:p>
              </w:tc>
            </w:tr>
            <w:tr w:rsidR="008065FA" w:rsidRPr="00E66C26" w14:paraId="1C06E14A"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067BFC1D"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19</w:t>
                  </w:r>
                </w:p>
              </w:tc>
              <w:tc>
                <w:tcPr>
                  <w:tcW w:w="3963" w:type="dxa"/>
                  <w:tcBorders>
                    <w:top w:val="single" w:sz="4" w:space="0" w:color="auto"/>
                    <w:left w:val="single" w:sz="4" w:space="0" w:color="auto"/>
                    <w:bottom w:val="single" w:sz="4" w:space="0" w:color="auto"/>
                    <w:right w:val="single" w:sz="4" w:space="0" w:color="auto"/>
                  </w:tcBorders>
                  <w:vAlign w:val="center"/>
                </w:tcPr>
                <w:p w14:paraId="5D839563" w14:textId="30FB50DB"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15/07/2031</w:t>
                  </w:r>
                </w:p>
              </w:tc>
            </w:tr>
            <w:tr w:rsidR="00F729A2" w:rsidRPr="00E66C26" w14:paraId="4CCF2C3B" w14:textId="77777777" w:rsidTr="00C30EF8">
              <w:trPr>
                <w:trHeight w:val="131"/>
              </w:trPr>
              <w:tc>
                <w:tcPr>
                  <w:tcW w:w="1644" w:type="dxa"/>
                  <w:tcBorders>
                    <w:top w:val="single" w:sz="4" w:space="0" w:color="auto"/>
                    <w:left w:val="single" w:sz="4" w:space="0" w:color="auto"/>
                    <w:bottom w:val="single" w:sz="4" w:space="0" w:color="auto"/>
                    <w:right w:val="single" w:sz="4" w:space="0" w:color="auto"/>
                  </w:tcBorders>
                </w:tcPr>
                <w:p w14:paraId="4EFDA40E" w14:textId="77777777" w:rsidR="00F729A2" w:rsidRPr="00E66C26" w:rsidRDefault="00F729A2" w:rsidP="00F729A2">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20</w:t>
                  </w:r>
                </w:p>
              </w:tc>
              <w:tc>
                <w:tcPr>
                  <w:tcW w:w="3963" w:type="dxa"/>
                  <w:tcBorders>
                    <w:top w:val="single" w:sz="4" w:space="0" w:color="auto"/>
                    <w:left w:val="single" w:sz="4" w:space="0" w:color="auto"/>
                    <w:bottom w:val="single" w:sz="4" w:space="0" w:color="auto"/>
                    <w:right w:val="single" w:sz="4" w:space="0" w:color="auto"/>
                  </w:tcBorders>
                </w:tcPr>
                <w:p w14:paraId="738B948F" w14:textId="77777777" w:rsidR="00F729A2" w:rsidRPr="00E66C26" w:rsidRDefault="00F729A2" w:rsidP="00F729A2">
                  <w:pPr>
                    <w:pStyle w:val="p0"/>
                    <w:suppressAutoHyphens/>
                    <w:spacing w:before="60" w:after="60" w:line="240" w:lineRule="auto"/>
                    <w:jc w:val="center"/>
                    <w:rPr>
                      <w:rFonts w:ascii="Calibri" w:hAnsi="Calibri" w:cs="Calibri"/>
                      <w:szCs w:val="16"/>
                    </w:rPr>
                  </w:pPr>
                  <w:r w:rsidRPr="00E66C26">
                    <w:rPr>
                      <w:rFonts w:ascii="Calibri" w:hAnsi="Calibri" w:cs="Calibri"/>
                      <w:szCs w:val="16"/>
                    </w:rPr>
                    <w:t>Data de Vencimento da Primeira Série</w:t>
                  </w:r>
                </w:p>
              </w:tc>
            </w:tr>
          </w:tbl>
          <w:p w14:paraId="60BEF8D8" w14:textId="73453AFD" w:rsidR="00F729A2" w:rsidRPr="00E66C26" w:rsidRDefault="00F729A2" w:rsidP="0029198E">
            <w:pPr>
              <w:pStyle w:val="Body"/>
              <w:rPr>
                <w:rFonts w:ascii="Calibri" w:hAnsi="Calibri" w:cs="Calibri"/>
                <w:sz w:val="24"/>
              </w:rPr>
            </w:pPr>
          </w:p>
        </w:tc>
      </w:tr>
    </w:tbl>
    <w:p w14:paraId="41EFE795" w14:textId="77777777" w:rsidR="00C30EF8" w:rsidRDefault="00C30EF8">
      <w:r>
        <w:lastRenderedPageBreak/>
        <w:br w:type="page"/>
      </w:r>
    </w:p>
    <w:tbl>
      <w:tblPr>
        <w:tblW w:w="8222" w:type="dxa"/>
        <w:jc w:val="center"/>
        <w:tblLayout w:type="fixed"/>
        <w:tblCellMar>
          <w:top w:w="57" w:type="dxa"/>
          <w:left w:w="57" w:type="dxa"/>
          <w:bottom w:w="57" w:type="dxa"/>
          <w:right w:w="57" w:type="dxa"/>
        </w:tblCellMar>
        <w:tblLook w:val="0000" w:firstRow="0" w:lastRow="0" w:firstColumn="0" w:lastColumn="0" w:noHBand="0" w:noVBand="0"/>
      </w:tblPr>
      <w:tblGrid>
        <w:gridCol w:w="2552"/>
        <w:gridCol w:w="5670"/>
      </w:tblGrid>
      <w:tr w:rsidR="00F94F49" w:rsidRPr="00E66C26" w14:paraId="1D506C41" w14:textId="77777777" w:rsidTr="00F729A2">
        <w:trPr>
          <w:jc w:val="center"/>
        </w:trPr>
        <w:tc>
          <w:tcPr>
            <w:tcW w:w="2552" w:type="dxa"/>
          </w:tcPr>
          <w:p w14:paraId="0AFAB226" w14:textId="77B3A5E3" w:rsidR="00F94F49" w:rsidRPr="00E66C26" w:rsidRDefault="00F729A2" w:rsidP="0029198E">
            <w:pPr>
              <w:pStyle w:val="Body"/>
              <w:jc w:val="left"/>
              <w:rPr>
                <w:rFonts w:ascii="Calibri" w:hAnsi="Calibri" w:cs="Calibri"/>
                <w:b/>
                <w:sz w:val="24"/>
              </w:rPr>
            </w:pPr>
            <w:r w:rsidRPr="00E66C26">
              <w:rPr>
                <w:rFonts w:ascii="Calibri" w:hAnsi="Calibri" w:cs="Calibri"/>
                <w:b/>
                <w:sz w:val="24"/>
              </w:rPr>
              <w:lastRenderedPageBreak/>
              <w:t>Pagamento da Remuneração da Segunda Série</w:t>
            </w:r>
          </w:p>
        </w:tc>
        <w:tc>
          <w:tcPr>
            <w:tcW w:w="5670" w:type="dxa"/>
          </w:tcPr>
          <w:p w14:paraId="14FDCBC9" w14:textId="5AA3BE81" w:rsidR="003C0053" w:rsidRPr="00E66C26" w:rsidRDefault="00F729A2" w:rsidP="0029198E">
            <w:pPr>
              <w:pStyle w:val="Body"/>
              <w:rPr>
                <w:rFonts w:ascii="Calibri" w:hAnsi="Calibri" w:cs="Calibri"/>
                <w:color w:val="000000"/>
                <w:kern w:val="0"/>
                <w:sz w:val="24"/>
              </w:rPr>
            </w:pPr>
            <w:r w:rsidRPr="00E66C26">
              <w:rPr>
                <w:rFonts w:ascii="Calibri" w:hAnsi="Calibri" w:cs="Calibri"/>
                <w:color w:val="000000"/>
                <w:kern w:val="0"/>
                <w:sz w:val="24"/>
              </w:rPr>
              <w:t xml:space="preserve">Sem prejuízo dos pagamentos em decorrência de vencimento antecipado das obrigações decorrentes das Debêntures, nos termos previstos na Escritura de Emissão, os Juros Remuneratórios da Segunda Série serão pagos pela Emissora aos Debenturistas semestralmente a partir da Data de Emissão, sendo, portanto, os pagamentos devidos no dia </w:t>
            </w:r>
            <w:r w:rsidR="008065FA" w:rsidRPr="00E66C26">
              <w:rPr>
                <w:rFonts w:ascii="Calibri" w:hAnsi="Calibri" w:cs="Calibri"/>
                <w:color w:val="000000"/>
                <w:kern w:val="0"/>
                <w:sz w:val="24"/>
              </w:rPr>
              <w:t xml:space="preserve">15 </w:t>
            </w:r>
            <w:r w:rsidRPr="00E66C26">
              <w:rPr>
                <w:rFonts w:ascii="Calibri" w:hAnsi="Calibri" w:cs="Calibri"/>
                <w:color w:val="000000"/>
                <w:kern w:val="0"/>
                <w:sz w:val="24"/>
              </w:rPr>
              <w:t xml:space="preserve">dos meses </w:t>
            </w:r>
            <w:r w:rsidR="008065FA" w:rsidRPr="00E66C26">
              <w:rPr>
                <w:rFonts w:ascii="Calibri" w:hAnsi="Calibri" w:cs="Calibri"/>
                <w:color w:val="000000"/>
                <w:kern w:val="0"/>
                <w:sz w:val="24"/>
              </w:rPr>
              <w:t xml:space="preserve">julho </w:t>
            </w:r>
            <w:r w:rsidRPr="00E66C26">
              <w:rPr>
                <w:rFonts w:ascii="Calibri" w:hAnsi="Calibri" w:cs="Calibri"/>
                <w:color w:val="000000"/>
                <w:kern w:val="0"/>
                <w:sz w:val="24"/>
              </w:rPr>
              <w:t xml:space="preserve">e </w:t>
            </w:r>
            <w:r w:rsidR="008065FA" w:rsidRPr="00E66C26">
              <w:rPr>
                <w:rFonts w:ascii="Calibri" w:hAnsi="Calibri" w:cs="Calibri"/>
                <w:color w:val="000000"/>
                <w:kern w:val="0"/>
                <w:sz w:val="24"/>
              </w:rPr>
              <w:t xml:space="preserve">janeiro </w:t>
            </w:r>
            <w:r w:rsidRPr="00E66C26">
              <w:rPr>
                <w:rFonts w:ascii="Calibri" w:hAnsi="Calibri" w:cs="Calibri"/>
                <w:color w:val="000000"/>
                <w:kern w:val="0"/>
                <w:sz w:val="24"/>
              </w:rPr>
              <w:t xml:space="preserve">de cada ano. O primeiro pagamento ocorrerá em </w:t>
            </w:r>
            <w:r w:rsidR="008065FA" w:rsidRPr="00E66C26">
              <w:rPr>
                <w:rFonts w:ascii="Calibri" w:hAnsi="Calibri" w:cs="Calibri"/>
                <w:color w:val="000000"/>
                <w:kern w:val="0"/>
                <w:sz w:val="24"/>
              </w:rPr>
              <w:t xml:space="preserve">15 </w:t>
            </w:r>
            <w:r w:rsidRPr="00E66C26">
              <w:rPr>
                <w:rFonts w:ascii="Calibri" w:hAnsi="Calibri" w:cs="Calibri"/>
                <w:color w:val="000000"/>
                <w:kern w:val="0"/>
                <w:sz w:val="24"/>
              </w:rPr>
              <w:t xml:space="preserve">de </w:t>
            </w:r>
            <w:r w:rsidR="008065FA" w:rsidRPr="00E66C26">
              <w:rPr>
                <w:rFonts w:ascii="Calibri" w:hAnsi="Calibri" w:cs="Calibri"/>
                <w:color w:val="000000"/>
                <w:kern w:val="0"/>
                <w:sz w:val="24"/>
              </w:rPr>
              <w:t xml:space="preserve">julho </w:t>
            </w:r>
            <w:r w:rsidRPr="00E66C26">
              <w:rPr>
                <w:rFonts w:ascii="Calibri" w:hAnsi="Calibri" w:cs="Calibri"/>
                <w:color w:val="000000"/>
                <w:kern w:val="0"/>
                <w:sz w:val="24"/>
              </w:rPr>
              <w:t>de 2022 e o último pagamento ocorrerá na Data de Vencimento da Segunda Série (cada uma dessas datas, uma Data de Pagamento de Juros Remuneratórios da Segunda Série e, em conjunto com cada uma das Datas de Pagamento de Juros Remuneratórios da Primeira Série, referidos como “</w:t>
            </w:r>
            <w:r w:rsidRPr="00E66C26">
              <w:rPr>
                <w:rFonts w:ascii="Calibri" w:hAnsi="Calibri" w:cs="Calibri"/>
                <w:color w:val="000000"/>
                <w:kern w:val="0"/>
                <w:sz w:val="24"/>
                <w:u w:val="single"/>
              </w:rPr>
              <w:t>Data de Pagamento de Juros Remuneratórios</w:t>
            </w:r>
            <w:r w:rsidRPr="00E66C26">
              <w:rPr>
                <w:rFonts w:ascii="Calibri" w:hAnsi="Calibri" w:cs="Calibri"/>
                <w:color w:val="000000"/>
                <w:kern w:val="0"/>
                <w:sz w:val="24"/>
              </w:rPr>
              <w:t xml:space="preserve">”): </w:t>
            </w:r>
          </w:p>
          <w:tbl>
            <w:tblPr>
              <w:tblW w:w="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3300"/>
            </w:tblGrid>
            <w:tr w:rsidR="00F729A2" w:rsidRPr="00E66C26" w14:paraId="12876E43" w14:textId="77777777" w:rsidTr="008065FA">
              <w:trPr>
                <w:trHeight w:val="406"/>
                <w:tblHeader/>
              </w:trPr>
              <w:tc>
                <w:tcPr>
                  <w:tcW w:w="1644" w:type="dxa"/>
                  <w:shd w:val="clear" w:color="auto" w:fill="D9D9D9" w:themeFill="background1" w:themeFillShade="D9"/>
                  <w:vAlign w:val="center"/>
                </w:tcPr>
                <w:p w14:paraId="677FA905" w14:textId="77777777" w:rsidR="00F729A2" w:rsidRPr="00E66C26" w:rsidRDefault="00F729A2" w:rsidP="00F729A2">
                  <w:pPr>
                    <w:pStyle w:val="p0"/>
                    <w:suppressAutoHyphens/>
                    <w:spacing w:before="60" w:after="60" w:line="240" w:lineRule="auto"/>
                    <w:jc w:val="center"/>
                    <w:rPr>
                      <w:rFonts w:ascii="Calibri" w:hAnsi="Calibri" w:cs="Calibri"/>
                      <w:b/>
                      <w:bCs/>
                      <w:color w:val="000000"/>
                      <w:szCs w:val="16"/>
                    </w:rPr>
                  </w:pPr>
                  <w:r w:rsidRPr="00E66C26">
                    <w:rPr>
                      <w:rFonts w:ascii="Calibri" w:hAnsi="Calibri" w:cs="Calibri"/>
                      <w:b/>
                      <w:bCs/>
                      <w:color w:val="000000"/>
                      <w:szCs w:val="16"/>
                    </w:rPr>
                    <w:t>Parcelas</w:t>
                  </w:r>
                </w:p>
              </w:tc>
              <w:tc>
                <w:tcPr>
                  <w:tcW w:w="3300" w:type="dxa"/>
                  <w:shd w:val="clear" w:color="auto" w:fill="D9D9D9" w:themeFill="background1" w:themeFillShade="D9"/>
                  <w:vAlign w:val="center"/>
                </w:tcPr>
                <w:p w14:paraId="27841E34" w14:textId="77777777" w:rsidR="00F729A2" w:rsidRPr="00E66C26" w:rsidRDefault="00F729A2" w:rsidP="00F729A2">
                  <w:pPr>
                    <w:pStyle w:val="p0"/>
                    <w:suppressAutoHyphens/>
                    <w:spacing w:before="60" w:after="60" w:line="240" w:lineRule="auto"/>
                    <w:jc w:val="center"/>
                    <w:rPr>
                      <w:rFonts w:ascii="Calibri" w:hAnsi="Calibri" w:cs="Calibri"/>
                      <w:b/>
                      <w:bCs/>
                      <w:color w:val="000000"/>
                      <w:szCs w:val="16"/>
                    </w:rPr>
                  </w:pPr>
                  <w:r w:rsidRPr="00E66C26">
                    <w:rPr>
                      <w:rFonts w:ascii="Calibri" w:hAnsi="Calibri" w:cs="Calibri"/>
                      <w:b/>
                      <w:bCs/>
                      <w:color w:val="000000"/>
                      <w:szCs w:val="16"/>
                    </w:rPr>
                    <w:t>Data de Pagamento da Remuneração</w:t>
                  </w:r>
                </w:p>
              </w:tc>
            </w:tr>
            <w:tr w:rsidR="008065FA" w:rsidRPr="00E66C26" w14:paraId="4E0EFC47" w14:textId="77777777" w:rsidTr="00FE0353">
              <w:trPr>
                <w:trHeight w:val="126"/>
              </w:trPr>
              <w:tc>
                <w:tcPr>
                  <w:tcW w:w="1644" w:type="dxa"/>
                </w:tcPr>
                <w:p w14:paraId="709DAABF"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w:t>
                  </w:r>
                </w:p>
              </w:tc>
              <w:tc>
                <w:tcPr>
                  <w:tcW w:w="3300" w:type="dxa"/>
                  <w:vAlign w:val="center"/>
                </w:tcPr>
                <w:p w14:paraId="6BAC5A3E" w14:textId="0DC90AC8"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15/07/2022</w:t>
                  </w:r>
                </w:p>
              </w:tc>
            </w:tr>
            <w:tr w:rsidR="008065FA" w:rsidRPr="00E66C26" w14:paraId="71B403E8" w14:textId="77777777" w:rsidTr="00FE0353">
              <w:trPr>
                <w:trHeight w:val="126"/>
              </w:trPr>
              <w:tc>
                <w:tcPr>
                  <w:tcW w:w="1644" w:type="dxa"/>
                </w:tcPr>
                <w:p w14:paraId="2FF0FE18"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w:t>
                  </w:r>
                </w:p>
              </w:tc>
              <w:tc>
                <w:tcPr>
                  <w:tcW w:w="3300" w:type="dxa"/>
                  <w:vAlign w:val="center"/>
                </w:tcPr>
                <w:p w14:paraId="4B50B170" w14:textId="74AF6069"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16/01/2023</w:t>
                  </w:r>
                </w:p>
              </w:tc>
            </w:tr>
            <w:tr w:rsidR="008065FA" w:rsidRPr="00E66C26" w14:paraId="63325821" w14:textId="77777777" w:rsidTr="00FE0353">
              <w:trPr>
                <w:trHeight w:val="131"/>
              </w:trPr>
              <w:tc>
                <w:tcPr>
                  <w:tcW w:w="1644" w:type="dxa"/>
                </w:tcPr>
                <w:p w14:paraId="2206BC8A"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3</w:t>
                  </w:r>
                </w:p>
              </w:tc>
              <w:tc>
                <w:tcPr>
                  <w:tcW w:w="3300" w:type="dxa"/>
                  <w:vAlign w:val="center"/>
                </w:tcPr>
                <w:p w14:paraId="777BCB47" w14:textId="0712A079"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17/07/2023</w:t>
                  </w:r>
                </w:p>
              </w:tc>
            </w:tr>
            <w:tr w:rsidR="008065FA" w:rsidRPr="00E66C26" w14:paraId="2E00C8F6" w14:textId="77777777" w:rsidTr="00FE0353">
              <w:trPr>
                <w:trHeight w:val="131"/>
              </w:trPr>
              <w:tc>
                <w:tcPr>
                  <w:tcW w:w="1644" w:type="dxa"/>
                </w:tcPr>
                <w:p w14:paraId="1D6BD537"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4</w:t>
                  </w:r>
                </w:p>
              </w:tc>
              <w:tc>
                <w:tcPr>
                  <w:tcW w:w="3300" w:type="dxa"/>
                  <w:vAlign w:val="center"/>
                </w:tcPr>
                <w:p w14:paraId="4CDF4FAF" w14:textId="70A2ED0A"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15/01/2024</w:t>
                  </w:r>
                </w:p>
              </w:tc>
            </w:tr>
            <w:tr w:rsidR="008065FA" w:rsidRPr="00E66C26" w14:paraId="48B492A4" w14:textId="77777777" w:rsidTr="00FE0353">
              <w:trPr>
                <w:trHeight w:val="131"/>
              </w:trPr>
              <w:tc>
                <w:tcPr>
                  <w:tcW w:w="1644" w:type="dxa"/>
                </w:tcPr>
                <w:p w14:paraId="6F2A5DC8"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5</w:t>
                  </w:r>
                </w:p>
              </w:tc>
              <w:tc>
                <w:tcPr>
                  <w:tcW w:w="3300" w:type="dxa"/>
                  <w:vAlign w:val="center"/>
                </w:tcPr>
                <w:p w14:paraId="475CA862" w14:textId="356C837B"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15/07/2024</w:t>
                  </w:r>
                </w:p>
              </w:tc>
            </w:tr>
            <w:tr w:rsidR="008065FA" w:rsidRPr="00E66C26" w14:paraId="343C5E0D" w14:textId="77777777" w:rsidTr="00FE0353">
              <w:trPr>
                <w:trHeight w:val="131"/>
              </w:trPr>
              <w:tc>
                <w:tcPr>
                  <w:tcW w:w="1644" w:type="dxa"/>
                </w:tcPr>
                <w:p w14:paraId="526A6BA7"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6</w:t>
                  </w:r>
                </w:p>
              </w:tc>
              <w:tc>
                <w:tcPr>
                  <w:tcW w:w="3300" w:type="dxa"/>
                  <w:vAlign w:val="center"/>
                </w:tcPr>
                <w:p w14:paraId="57B0C9D9" w14:textId="1EFCE06D" w:rsidR="008065FA" w:rsidRPr="00E66C26" w:rsidRDefault="008065FA" w:rsidP="008065FA">
                  <w:pPr>
                    <w:pStyle w:val="p0"/>
                    <w:suppressAutoHyphens/>
                    <w:spacing w:before="60" w:after="60" w:line="240" w:lineRule="auto"/>
                    <w:jc w:val="center"/>
                    <w:rPr>
                      <w:rFonts w:ascii="Calibri" w:hAnsi="Calibri" w:cs="Calibri"/>
                      <w:color w:val="000000"/>
                      <w:szCs w:val="16"/>
                      <w:lang w:val="x-none"/>
                    </w:rPr>
                  </w:pPr>
                  <w:r w:rsidRPr="00E66C26">
                    <w:rPr>
                      <w:rFonts w:ascii="Calibri" w:hAnsi="Calibri" w:cs="Calibri"/>
                      <w:color w:val="000000"/>
                      <w:szCs w:val="16"/>
                    </w:rPr>
                    <w:t>15/01/2025</w:t>
                  </w:r>
                </w:p>
              </w:tc>
            </w:tr>
            <w:tr w:rsidR="008065FA" w:rsidRPr="00E66C26" w14:paraId="48A20EC0" w14:textId="77777777" w:rsidTr="00FE0353">
              <w:trPr>
                <w:trHeight w:val="131"/>
              </w:trPr>
              <w:tc>
                <w:tcPr>
                  <w:tcW w:w="1644" w:type="dxa"/>
                </w:tcPr>
                <w:p w14:paraId="0AF0F8DC"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7</w:t>
                  </w:r>
                </w:p>
              </w:tc>
              <w:tc>
                <w:tcPr>
                  <w:tcW w:w="3300" w:type="dxa"/>
                  <w:vAlign w:val="center"/>
                </w:tcPr>
                <w:p w14:paraId="5987C51F" w14:textId="663A67CC" w:rsidR="008065FA" w:rsidRPr="00E66C26" w:rsidRDefault="008065FA" w:rsidP="008065FA">
                  <w:pPr>
                    <w:pStyle w:val="p0"/>
                    <w:suppressAutoHyphens/>
                    <w:spacing w:before="60" w:after="60" w:line="240" w:lineRule="auto"/>
                    <w:jc w:val="center"/>
                    <w:rPr>
                      <w:rFonts w:ascii="Calibri" w:hAnsi="Calibri" w:cs="Calibri"/>
                      <w:color w:val="000000"/>
                      <w:szCs w:val="16"/>
                      <w:lang w:val="x-none"/>
                    </w:rPr>
                  </w:pPr>
                  <w:r w:rsidRPr="00E66C26">
                    <w:rPr>
                      <w:rFonts w:ascii="Calibri" w:hAnsi="Calibri" w:cs="Calibri"/>
                      <w:color w:val="000000"/>
                      <w:szCs w:val="16"/>
                    </w:rPr>
                    <w:t>15/07/2025</w:t>
                  </w:r>
                </w:p>
              </w:tc>
            </w:tr>
            <w:tr w:rsidR="008065FA" w:rsidRPr="00E66C26" w14:paraId="1FFC3876" w14:textId="77777777" w:rsidTr="00FE0353">
              <w:trPr>
                <w:trHeight w:val="131"/>
              </w:trPr>
              <w:tc>
                <w:tcPr>
                  <w:tcW w:w="1644" w:type="dxa"/>
                </w:tcPr>
                <w:p w14:paraId="0C1CC973"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8</w:t>
                  </w:r>
                </w:p>
              </w:tc>
              <w:tc>
                <w:tcPr>
                  <w:tcW w:w="3300" w:type="dxa"/>
                  <w:vAlign w:val="center"/>
                </w:tcPr>
                <w:p w14:paraId="4768F141" w14:textId="69ACF1C5"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15/01/2026</w:t>
                  </w:r>
                </w:p>
              </w:tc>
            </w:tr>
            <w:tr w:rsidR="008065FA" w:rsidRPr="00E66C26" w14:paraId="5EC83801" w14:textId="77777777" w:rsidTr="00FE0353">
              <w:trPr>
                <w:trHeight w:val="131"/>
              </w:trPr>
              <w:tc>
                <w:tcPr>
                  <w:tcW w:w="1644" w:type="dxa"/>
                </w:tcPr>
                <w:p w14:paraId="2A0EC549"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9</w:t>
                  </w:r>
                </w:p>
              </w:tc>
              <w:tc>
                <w:tcPr>
                  <w:tcW w:w="3300" w:type="dxa"/>
                  <w:vAlign w:val="center"/>
                </w:tcPr>
                <w:p w14:paraId="13B340C3" w14:textId="2AC40BA7"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15/07/2026</w:t>
                  </w:r>
                </w:p>
              </w:tc>
            </w:tr>
            <w:tr w:rsidR="008065FA" w:rsidRPr="00E66C26" w14:paraId="67F940D0" w14:textId="77777777" w:rsidTr="00FE0353">
              <w:trPr>
                <w:trHeight w:val="131"/>
              </w:trPr>
              <w:tc>
                <w:tcPr>
                  <w:tcW w:w="1644" w:type="dxa"/>
                </w:tcPr>
                <w:p w14:paraId="42195CEC"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10</w:t>
                  </w:r>
                </w:p>
              </w:tc>
              <w:tc>
                <w:tcPr>
                  <w:tcW w:w="3300" w:type="dxa"/>
                  <w:vAlign w:val="center"/>
                </w:tcPr>
                <w:p w14:paraId="620EAC6A" w14:textId="3DFFCD86"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15/01/2027</w:t>
                  </w:r>
                </w:p>
              </w:tc>
            </w:tr>
            <w:tr w:rsidR="008065FA" w:rsidRPr="00E66C26" w14:paraId="241B4441"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60385163"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11</w:t>
                  </w:r>
                </w:p>
              </w:tc>
              <w:tc>
                <w:tcPr>
                  <w:tcW w:w="3300" w:type="dxa"/>
                  <w:tcBorders>
                    <w:top w:val="single" w:sz="4" w:space="0" w:color="auto"/>
                    <w:left w:val="single" w:sz="4" w:space="0" w:color="auto"/>
                    <w:bottom w:val="single" w:sz="4" w:space="0" w:color="auto"/>
                    <w:right w:val="single" w:sz="4" w:space="0" w:color="auto"/>
                  </w:tcBorders>
                  <w:vAlign w:val="center"/>
                </w:tcPr>
                <w:p w14:paraId="6B973D65" w14:textId="197C6EF0"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15/07/2027</w:t>
                  </w:r>
                </w:p>
              </w:tc>
            </w:tr>
            <w:tr w:rsidR="008065FA" w:rsidRPr="00E66C26" w14:paraId="459E1448"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45162F21"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12</w:t>
                  </w:r>
                </w:p>
              </w:tc>
              <w:tc>
                <w:tcPr>
                  <w:tcW w:w="3300" w:type="dxa"/>
                  <w:tcBorders>
                    <w:top w:val="single" w:sz="4" w:space="0" w:color="auto"/>
                    <w:left w:val="single" w:sz="4" w:space="0" w:color="auto"/>
                    <w:bottom w:val="single" w:sz="4" w:space="0" w:color="auto"/>
                    <w:right w:val="single" w:sz="4" w:space="0" w:color="auto"/>
                  </w:tcBorders>
                  <w:vAlign w:val="center"/>
                </w:tcPr>
                <w:p w14:paraId="7F1AE3B2" w14:textId="55B8BE2F"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17/01/2028</w:t>
                  </w:r>
                </w:p>
              </w:tc>
            </w:tr>
            <w:tr w:rsidR="008065FA" w:rsidRPr="00E66C26" w14:paraId="76889EA6"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5C7CE84B"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13</w:t>
                  </w:r>
                </w:p>
              </w:tc>
              <w:tc>
                <w:tcPr>
                  <w:tcW w:w="3300" w:type="dxa"/>
                  <w:tcBorders>
                    <w:top w:val="single" w:sz="4" w:space="0" w:color="auto"/>
                    <w:left w:val="single" w:sz="4" w:space="0" w:color="auto"/>
                    <w:bottom w:val="single" w:sz="4" w:space="0" w:color="auto"/>
                    <w:right w:val="single" w:sz="4" w:space="0" w:color="auto"/>
                  </w:tcBorders>
                  <w:vAlign w:val="center"/>
                </w:tcPr>
                <w:p w14:paraId="3EE872CB" w14:textId="2B64F87A"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17/07/2028</w:t>
                  </w:r>
                </w:p>
              </w:tc>
            </w:tr>
            <w:tr w:rsidR="008065FA" w:rsidRPr="00E66C26" w14:paraId="47490BC8"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723B3C64"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lastRenderedPageBreak/>
                    <w:t>14</w:t>
                  </w:r>
                </w:p>
              </w:tc>
              <w:tc>
                <w:tcPr>
                  <w:tcW w:w="3300" w:type="dxa"/>
                  <w:tcBorders>
                    <w:top w:val="single" w:sz="4" w:space="0" w:color="auto"/>
                    <w:left w:val="single" w:sz="4" w:space="0" w:color="auto"/>
                    <w:bottom w:val="single" w:sz="4" w:space="0" w:color="auto"/>
                    <w:right w:val="single" w:sz="4" w:space="0" w:color="auto"/>
                  </w:tcBorders>
                  <w:vAlign w:val="center"/>
                </w:tcPr>
                <w:p w14:paraId="6588AC5B" w14:textId="5B9D2D45"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15/01/2029</w:t>
                  </w:r>
                </w:p>
              </w:tc>
            </w:tr>
            <w:tr w:rsidR="008065FA" w:rsidRPr="00E66C26" w14:paraId="69BEBB30"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5855C0A3"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15</w:t>
                  </w:r>
                </w:p>
              </w:tc>
              <w:tc>
                <w:tcPr>
                  <w:tcW w:w="3300" w:type="dxa"/>
                  <w:tcBorders>
                    <w:top w:val="single" w:sz="4" w:space="0" w:color="auto"/>
                    <w:left w:val="single" w:sz="4" w:space="0" w:color="auto"/>
                    <w:bottom w:val="single" w:sz="4" w:space="0" w:color="auto"/>
                    <w:right w:val="single" w:sz="4" w:space="0" w:color="auto"/>
                  </w:tcBorders>
                  <w:vAlign w:val="center"/>
                </w:tcPr>
                <w:p w14:paraId="6CCC03E8" w14:textId="37DE9ED0"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16/07/2029</w:t>
                  </w:r>
                </w:p>
              </w:tc>
            </w:tr>
            <w:tr w:rsidR="008065FA" w:rsidRPr="00E66C26" w14:paraId="2C195DA2"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55200D75"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16</w:t>
                  </w:r>
                </w:p>
              </w:tc>
              <w:tc>
                <w:tcPr>
                  <w:tcW w:w="3300" w:type="dxa"/>
                  <w:tcBorders>
                    <w:top w:val="single" w:sz="4" w:space="0" w:color="auto"/>
                    <w:left w:val="single" w:sz="4" w:space="0" w:color="auto"/>
                    <w:bottom w:val="single" w:sz="4" w:space="0" w:color="auto"/>
                    <w:right w:val="single" w:sz="4" w:space="0" w:color="auto"/>
                  </w:tcBorders>
                  <w:vAlign w:val="center"/>
                </w:tcPr>
                <w:p w14:paraId="49B1265B" w14:textId="727F56DE"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15/01/2030</w:t>
                  </w:r>
                </w:p>
              </w:tc>
            </w:tr>
            <w:tr w:rsidR="008065FA" w:rsidRPr="00E66C26" w14:paraId="3147B4C9"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6429CAE5"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17</w:t>
                  </w:r>
                </w:p>
              </w:tc>
              <w:tc>
                <w:tcPr>
                  <w:tcW w:w="3300" w:type="dxa"/>
                  <w:tcBorders>
                    <w:top w:val="single" w:sz="4" w:space="0" w:color="auto"/>
                    <w:left w:val="single" w:sz="4" w:space="0" w:color="auto"/>
                    <w:bottom w:val="single" w:sz="4" w:space="0" w:color="auto"/>
                    <w:right w:val="single" w:sz="4" w:space="0" w:color="auto"/>
                  </w:tcBorders>
                  <w:vAlign w:val="center"/>
                </w:tcPr>
                <w:p w14:paraId="32599220" w14:textId="1A348387"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15/07/2030</w:t>
                  </w:r>
                </w:p>
              </w:tc>
            </w:tr>
            <w:tr w:rsidR="008065FA" w:rsidRPr="00E66C26" w14:paraId="6AE7DF52"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26EF50B9"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18</w:t>
                  </w:r>
                </w:p>
              </w:tc>
              <w:tc>
                <w:tcPr>
                  <w:tcW w:w="3300" w:type="dxa"/>
                  <w:tcBorders>
                    <w:top w:val="single" w:sz="4" w:space="0" w:color="auto"/>
                    <w:left w:val="single" w:sz="4" w:space="0" w:color="auto"/>
                    <w:bottom w:val="single" w:sz="4" w:space="0" w:color="auto"/>
                    <w:right w:val="single" w:sz="4" w:space="0" w:color="auto"/>
                  </w:tcBorders>
                  <w:vAlign w:val="center"/>
                </w:tcPr>
                <w:p w14:paraId="45F88A8B" w14:textId="6BA695B3"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15/01/2031</w:t>
                  </w:r>
                </w:p>
              </w:tc>
            </w:tr>
            <w:tr w:rsidR="008065FA" w:rsidRPr="00E66C26" w14:paraId="59FDE593"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5C6F2B0C"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19</w:t>
                  </w:r>
                </w:p>
              </w:tc>
              <w:tc>
                <w:tcPr>
                  <w:tcW w:w="3300" w:type="dxa"/>
                  <w:tcBorders>
                    <w:top w:val="single" w:sz="4" w:space="0" w:color="auto"/>
                    <w:left w:val="single" w:sz="4" w:space="0" w:color="auto"/>
                    <w:bottom w:val="single" w:sz="4" w:space="0" w:color="auto"/>
                    <w:right w:val="single" w:sz="4" w:space="0" w:color="auto"/>
                  </w:tcBorders>
                  <w:vAlign w:val="center"/>
                </w:tcPr>
                <w:p w14:paraId="2FD358AE" w14:textId="70C9F50D"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15/07/2031</w:t>
                  </w:r>
                </w:p>
              </w:tc>
            </w:tr>
            <w:tr w:rsidR="008065FA" w:rsidRPr="00E66C26" w14:paraId="6FE20E45"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7C5D147C" w14:textId="7777777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20</w:t>
                  </w:r>
                </w:p>
              </w:tc>
              <w:tc>
                <w:tcPr>
                  <w:tcW w:w="3300" w:type="dxa"/>
                  <w:tcBorders>
                    <w:top w:val="single" w:sz="4" w:space="0" w:color="auto"/>
                    <w:left w:val="single" w:sz="4" w:space="0" w:color="auto"/>
                    <w:bottom w:val="single" w:sz="4" w:space="0" w:color="auto"/>
                    <w:right w:val="single" w:sz="4" w:space="0" w:color="auto"/>
                  </w:tcBorders>
                  <w:vAlign w:val="center"/>
                </w:tcPr>
                <w:p w14:paraId="19E7E251" w14:textId="0ECAEBD6" w:rsidR="008065FA" w:rsidRPr="00E66C26" w:rsidRDefault="008065FA" w:rsidP="008065FA">
                  <w:pPr>
                    <w:pStyle w:val="p0"/>
                    <w:suppressAutoHyphens/>
                    <w:spacing w:before="60" w:after="60" w:line="240" w:lineRule="auto"/>
                    <w:jc w:val="center"/>
                    <w:rPr>
                      <w:rFonts w:ascii="Calibri" w:hAnsi="Calibri" w:cs="Calibri"/>
                      <w:szCs w:val="16"/>
                    </w:rPr>
                  </w:pPr>
                  <w:r w:rsidRPr="00E66C26">
                    <w:rPr>
                      <w:rFonts w:ascii="Calibri" w:hAnsi="Calibri" w:cs="Calibri"/>
                      <w:color w:val="000000"/>
                      <w:szCs w:val="16"/>
                    </w:rPr>
                    <w:t>15/01/2032</w:t>
                  </w:r>
                </w:p>
              </w:tc>
            </w:tr>
            <w:tr w:rsidR="008065FA" w:rsidRPr="00E66C26" w14:paraId="50292188"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6F6ADF09" w14:textId="53D180B1"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21</w:t>
                  </w:r>
                </w:p>
              </w:tc>
              <w:tc>
                <w:tcPr>
                  <w:tcW w:w="3300" w:type="dxa"/>
                  <w:tcBorders>
                    <w:top w:val="single" w:sz="4" w:space="0" w:color="auto"/>
                    <w:left w:val="single" w:sz="4" w:space="0" w:color="auto"/>
                    <w:bottom w:val="single" w:sz="4" w:space="0" w:color="auto"/>
                    <w:right w:val="single" w:sz="4" w:space="0" w:color="auto"/>
                  </w:tcBorders>
                  <w:vAlign w:val="center"/>
                </w:tcPr>
                <w:p w14:paraId="71FB48EA" w14:textId="19C62AD0"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15/07/2032</w:t>
                  </w:r>
                </w:p>
              </w:tc>
            </w:tr>
            <w:tr w:rsidR="008065FA" w:rsidRPr="00E66C26" w14:paraId="46675432"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1A2C909F" w14:textId="3163F285"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22</w:t>
                  </w:r>
                </w:p>
              </w:tc>
              <w:tc>
                <w:tcPr>
                  <w:tcW w:w="3300" w:type="dxa"/>
                  <w:tcBorders>
                    <w:top w:val="single" w:sz="4" w:space="0" w:color="auto"/>
                    <w:left w:val="single" w:sz="4" w:space="0" w:color="auto"/>
                    <w:bottom w:val="single" w:sz="4" w:space="0" w:color="auto"/>
                    <w:right w:val="single" w:sz="4" w:space="0" w:color="auto"/>
                  </w:tcBorders>
                  <w:vAlign w:val="center"/>
                </w:tcPr>
                <w:p w14:paraId="3AB4D54A" w14:textId="62653EA2"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17/01/2033</w:t>
                  </w:r>
                </w:p>
              </w:tc>
            </w:tr>
            <w:tr w:rsidR="008065FA" w:rsidRPr="00E66C26" w14:paraId="448A4AFE"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3D1A187C" w14:textId="28ADBB4A"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23</w:t>
                  </w:r>
                </w:p>
              </w:tc>
              <w:tc>
                <w:tcPr>
                  <w:tcW w:w="3300" w:type="dxa"/>
                  <w:tcBorders>
                    <w:top w:val="single" w:sz="4" w:space="0" w:color="auto"/>
                    <w:left w:val="single" w:sz="4" w:space="0" w:color="auto"/>
                    <w:bottom w:val="single" w:sz="4" w:space="0" w:color="auto"/>
                    <w:right w:val="single" w:sz="4" w:space="0" w:color="auto"/>
                  </w:tcBorders>
                  <w:vAlign w:val="center"/>
                </w:tcPr>
                <w:p w14:paraId="2D2A22EB" w14:textId="6120BB38"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15/07/2033</w:t>
                  </w:r>
                </w:p>
              </w:tc>
            </w:tr>
            <w:tr w:rsidR="008065FA" w:rsidRPr="00E66C26" w14:paraId="374CA431"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52A69E1A" w14:textId="4A4A558C"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24</w:t>
                  </w:r>
                </w:p>
              </w:tc>
              <w:tc>
                <w:tcPr>
                  <w:tcW w:w="3300" w:type="dxa"/>
                  <w:tcBorders>
                    <w:top w:val="single" w:sz="4" w:space="0" w:color="auto"/>
                    <w:left w:val="single" w:sz="4" w:space="0" w:color="auto"/>
                    <w:bottom w:val="single" w:sz="4" w:space="0" w:color="auto"/>
                    <w:right w:val="single" w:sz="4" w:space="0" w:color="auto"/>
                  </w:tcBorders>
                  <w:vAlign w:val="center"/>
                </w:tcPr>
                <w:p w14:paraId="5D0C2DF9" w14:textId="3FBB428A"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16/01/2034</w:t>
                  </w:r>
                </w:p>
              </w:tc>
            </w:tr>
            <w:tr w:rsidR="008065FA" w:rsidRPr="00E66C26" w14:paraId="64AB8877"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140B1E7A" w14:textId="2DD3EAB5"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25</w:t>
                  </w:r>
                </w:p>
              </w:tc>
              <w:tc>
                <w:tcPr>
                  <w:tcW w:w="3300" w:type="dxa"/>
                  <w:tcBorders>
                    <w:top w:val="single" w:sz="4" w:space="0" w:color="auto"/>
                    <w:left w:val="single" w:sz="4" w:space="0" w:color="auto"/>
                    <w:bottom w:val="single" w:sz="4" w:space="0" w:color="auto"/>
                    <w:right w:val="single" w:sz="4" w:space="0" w:color="auto"/>
                  </w:tcBorders>
                  <w:vAlign w:val="center"/>
                </w:tcPr>
                <w:p w14:paraId="099CEFE3" w14:textId="0DF470E4"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17/07/2034</w:t>
                  </w:r>
                </w:p>
              </w:tc>
            </w:tr>
            <w:tr w:rsidR="008065FA" w:rsidRPr="00E66C26" w14:paraId="53F7DEA9"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3EFFA4AF" w14:textId="34615139"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26</w:t>
                  </w:r>
                </w:p>
              </w:tc>
              <w:tc>
                <w:tcPr>
                  <w:tcW w:w="3300" w:type="dxa"/>
                  <w:tcBorders>
                    <w:top w:val="single" w:sz="4" w:space="0" w:color="auto"/>
                    <w:left w:val="single" w:sz="4" w:space="0" w:color="auto"/>
                    <w:bottom w:val="single" w:sz="4" w:space="0" w:color="auto"/>
                    <w:right w:val="single" w:sz="4" w:space="0" w:color="auto"/>
                  </w:tcBorders>
                  <w:vAlign w:val="center"/>
                </w:tcPr>
                <w:p w14:paraId="705DA7B6" w14:textId="759B9C9D"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15/01/2035</w:t>
                  </w:r>
                </w:p>
              </w:tc>
            </w:tr>
            <w:tr w:rsidR="008065FA" w:rsidRPr="00E66C26" w14:paraId="27DC8F2F"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6453D89B" w14:textId="34DC21E4"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27</w:t>
                  </w:r>
                </w:p>
              </w:tc>
              <w:tc>
                <w:tcPr>
                  <w:tcW w:w="3300" w:type="dxa"/>
                  <w:tcBorders>
                    <w:top w:val="single" w:sz="4" w:space="0" w:color="auto"/>
                    <w:left w:val="single" w:sz="4" w:space="0" w:color="auto"/>
                    <w:bottom w:val="single" w:sz="4" w:space="0" w:color="auto"/>
                    <w:right w:val="single" w:sz="4" w:space="0" w:color="auto"/>
                  </w:tcBorders>
                  <w:vAlign w:val="center"/>
                </w:tcPr>
                <w:p w14:paraId="7FA99596" w14:textId="6DD41F4E"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16/07/2035</w:t>
                  </w:r>
                </w:p>
              </w:tc>
            </w:tr>
            <w:tr w:rsidR="008065FA" w:rsidRPr="00E66C26" w14:paraId="6D6EF721"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3FCF82D6" w14:textId="3B1A0CE5"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28</w:t>
                  </w:r>
                </w:p>
              </w:tc>
              <w:tc>
                <w:tcPr>
                  <w:tcW w:w="3300" w:type="dxa"/>
                  <w:tcBorders>
                    <w:top w:val="single" w:sz="4" w:space="0" w:color="auto"/>
                    <w:left w:val="single" w:sz="4" w:space="0" w:color="auto"/>
                    <w:bottom w:val="single" w:sz="4" w:space="0" w:color="auto"/>
                    <w:right w:val="single" w:sz="4" w:space="0" w:color="auto"/>
                  </w:tcBorders>
                  <w:vAlign w:val="center"/>
                </w:tcPr>
                <w:p w14:paraId="16DB12DA" w14:textId="7DC1DF4E"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15/01/2036</w:t>
                  </w:r>
                </w:p>
              </w:tc>
            </w:tr>
            <w:tr w:rsidR="008065FA" w:rsidRPr="00E66C26" w14:paraId="695287EF" w14:textId="77777777" w:rsidTr="00FE0353">
              <w:trPr>
                <w:trHeight w:val="131"/>
              </w:trPr>
              <w:tc>
                <w:tcPr>
                  <w:tcW w:w="1644" w:type="dxa"/>
                  <w:tcBorders>
                    <w:top w:val="single" w:sz="4" w:space="0" w:color="auto"/>
                    <w:left w:val="single" w:sz="4" w:space="0" w:color="auto"/>
                    <w:bottom w:val="single" w:sz="4" w:space="0" w:color="auto"/>
                    <w:right w:val="single" w:sz="4" w:space="0" w:color="auto"/>
                  </w:tcBorders>
                </w:tcPr>
                <w:p w14:paraId="3B581618" w14:textId="0E954047"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29</w:t>
                  </w:r>
                </w:p>
              </w:tc>
              <w:tc>
                <w:tcPr>
                  <w:tcW w:w="3300" w:type="dxa"/>
                  <w:tcBorders>
                    <w:top w:val="single" w:sz="4" w:space="0" w:color="auto"/>
                    <w:left w:val="single" w:sz="4" w:space="0" w:color="auto"/>
                    <w:bottom w:val="single" w:sz="4" w:space="0" w:color="auto"/>
                    <w:right w:val="single" w:sz="4" w:space="0" w:color="auto"/>
                  </w:tcBorders>
                  <w:vAlign w:val="center"/>
                </w:tcPr>
                <w:p w14:paraId="3D546279" w14:textId="11A0A9CD"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color w:val="000000"/>
                      <w:szCs w:val="16"/>
                    </w:rPr>
                    <w:t>15/07/2036</w:t>
                  </w:r>
                </w:p>
              </w:tc>
            </w:tr>
            <w:tr w:rsidR="008065FA" w:rsidRPr="00E66C26" w14:paraId="06290934" w14:textId="77777777" w:rsidTr="008065FA">
              <w:trPr>
                <w:trHeight w:val="305"/>
              </w:trPr>
              <w:tc>
                <w:tcPr>
                  <w:tcW w:w="1644" w:type="dxa"/>
                  <w:tcBorders>
                    <w:top w:val="single" w:sz="4" w:space="0" w:color="auto"/>
                    <w:left w:val="single" w:sz="4" w:space="0" w:color="auto"/>
                    <w:bottom w:val="single" w:sz="4" w:space="0" w:color="auto"/>
                    <w:right w:val="single" w:sz="4" w:space="0" w:color="auto"/>
                  </w:tcBorders>
                </w:tcPr>
                <w:p w14:paraId="7F968C97" w14:textId="52FE7743" w:rsidR="008065FA" w:rsidRPr="00E66C26" w:rsidRDefault="008065FA" w:rsidP="008065FA">
                  <w:pPr>
                    <w:pStyle w:val="p0"/>
                    <w:suppressAutoHyphens/>
                    <w:spacing w:before="60" w:after="60" w:line="240" w:lineRule="auto"/>
                    <w:jc w:val="center"/>
                    <w:rPr>
                      <w:rFonts w:ascii="Calibri" w:hAnsi="Calibri" w:cs="Calibri"/>
                      <w:b/>
                      <w:color w:val="000000"/>
                      <w:szCs w:val="16"/>
                    </w:rPr>
                  </w:pPr>
                  <w:r w:rsidRPr="00E66C26">
                    <w:rPr>
                      <w:rFonts w:ascii="Calibri" w:hAnsi="Calibri" w:cs="Calibri"/>
                      <w:b/>
                      <w:color w:val="000000"/>
                      <w:szCs w:val="16"/>
                    </w:rPr>
                    <w:t>30</w:t>
                  </w:r>
                </w:p>
              </w:tc>
              <w:tc>
                <w:tcPr>
                  <w:tcW w:w="3300" w:type="dxa"/>
                  <w:tcBorders>
                    <w:top w:val="single" w:sz="4" w:space="0" w:color="auto"/>
                    <w:left w:val="single" w:sz="4" w:space="0" w:color="auto"/>
                    <w:bottom w:val="single" w:sz="4" w:space="0" w:color="auto"/>
                    <w:right w:val="single" w:sz="4" w:space="0" w:color="auto"/>
                  </w:tcBorders>
                </w:tcPr>
                <w:p w14:paraId="4D9C745E" w14:textId="5B9ED7B1" w:rsidR="008065FA" w:rsidRPr="00E66C26" w:rsidRDefault="008065FA" w:rsidP="008065FA">
                  <w:pPr>
                    <w:pStyle w:val="p0"/>
                    <w:suppressAutoHyphens/>
                    <w:spacing w:before="60" w:after="60" w:line="240" w:lineRule="auto"/>
                    <w:jc w:val="center"/>
                    <w:rPr>
                      <w:rFonts w:ascii="Calibri" w:hAnsi="Calibri" w:cs="Calibri"/>
                      <w:color w:val="000000"/>
                      <w:szCs w:val="16"/>
                    </w:rPr>
                  </w:pPr>
                  <w:r w:rsidRPr="00E66C26">
                    <w:rPr>
                      <w:rFonts w:ascii="Calibri" w:hAnsi="Calibri" w:cs="Calibri"/>
                      <w:szCs w:val="16"/>
                    </w:rPr>
                    <w:t>Data de Vencimento da Segunda Série</w:t>
                  </w:r>
                </w:p>
              </w:tc>
            </w:tr>
          </w:tbl>
          <w:p w14:paraId="2AF893F2" w14:textId="7368C295" w:rsidR="00F729A2" w:rsidRPr="00E66C26" w:rsidRDefault="00F729A2" w:rsidP="0029198E">
            <w:pPr>
              <w:pStyle w:val="Body"/>
              <w:rPr>
                <w:rFonts w:ascii="Calibri" w:hAnsi="Calibri" w:cs="Calibri"/>
                <w:sz w:val="24"/>
              </w:rPr>
            </w:pPr>
          </w:p>
        </w:tc>
      </w:tr>
      <w:tr w:rsidR="00EE5800" w:rsidRPr="00E66C26" w14:paraId="319561B4" w14:textId="77777777" w:rsidTr="00F729A2">
        <w:trPr>
          <w:jc w:val="center"/>
        </w:trPr>
        <w:tc>
          <w:tcPr>
            <w:tcW w:w="2552" w:type="dxa"/>
          </w:tcPr>
          <w:p w14:paraId="59997CFC" w14:textId="77777777" w:rsidR="00EE5800" w:rsidRPr="00E66C26" w:rsidRDefault="00EE5800" w:rsidP="0029198E">
            <w:pPr>
              <w:pStyle w:val="Body"/>
              <w:jc w:val="left"/>
              <w:rPr>
                <w:rFonts w:ascii="Calibri" w:hAnsi="Calibri" w:cs="Calibri"/>
                <w:b/>
                <w:sz w:val="24"/>
              </w:rPr>
            </w:pPr>
          </w:p>
        </w:tc>
        <w:tc>
          <w:tcPr>
            <w:tcW w:w="5670" w:type="dxa"/>
          </w:tcPr>
          <w:p w14:paraId="705CC242" w14:textId="77777777" w:rsidR="00EE5800" w:rsidRPr="00E66C26" w:rsidRDefault="00EE5800" w:rsidP="0029198E">
            <w:pPr>
              <w:pStyle w:val="Body"/>
              <w:rPr>
                <w:rFonts w:ascii="Calibri" w:hAnsi="Calibri" w:cs="Calibri"/>
                <w:sz w:val="24"/>
              </w:rPr>
            </w:pPr>
          </w:p>
        </w:tc>
      </w:tr>
      <w:tr w:rsidR="00F94F49" w:rsidRPr="00E66C26" w14:paraId="0DA73D9B" w14:textId="77777777" w:rsidTr="00F729A2">
        <w:trPr>
          <w:jc w:val="center"/>
        </w:trPr>
        <w:tc>
          <w:tcPr>
            <w:tcW w:w="2552" w:type="dxa"/>
          </w:tcPr>
          <w:p w14:paraId="3155BC13" w14:textId="610F809F" w:rsidR="00F94F49" w:rsidRPr="00E66C26" w:rsidRDefault="00FD3BEC" w:rsidP="0029198E">
            <w:pPr>
              <w:pStyle w:val="Body"/>
              <w:jc w:val="left"/>
              <w:rPr>
                <w:rFonts w:ascii="Calibri" w:hAnsi="Calibri" w:cs="Calibri"/>
                <w:b/>
                <w:sz w:val="24"/>
              </w:rPr>
            </w:pPr>
            <w:r w:rsidRPr="00E66C26">
              <w:rPr>
                <w:rFonts w:ascii="Calibri" w:hAnsi="Calibri" w:cs="Calibri"/>
                <w:b/>
                <w:sz w:val="24"/>
              </w:rPr>
              <w:t>Amortização do Valor Nominal Atualizado das Debêntures da Primeira Série</w:t>
            </w:r>
          </w:p>
        </w:tc>
        <w:tc>
          <w:tcPr>
            <w:tcW w:w="5670" w:type="dxa"/>
          </w:tcPr>
          <w:p w14:paraId="110F2911" w14:textId="419B718E" w:rsidR="00503C19" w:rsidRPr="00E66C26" w:rsidRDefault="00FD3BEC" w:rsidP="0029198E">
            <w:pPr>
              <w:pStyle w:val="Body"/>
              <w:rPr>
                <w:rFonts w:ascii="Calibri" w:hAnsi="Calibri" w:cs="Calibri"/>
                <w:sz w:val="24"/>
              </w:rPr>
            </w:pPr>
            <w:r w:rsidRPr="00E66C26">
              <w:rPr>
                <w:rFonts w:ascii="Calibri" w:hAnsi="Calibri" w:cs="Calibri"/>
                <w:sz w:val="24"/>
              </w:rPr>
              <w:t xml:space="preserve">Ressalvadas as hipóteses de pagamento em decorrência das Debêntures da Primeira Série e, se permitido pelas regras expedidas pelo CMN e pela legislação e regulamentação aplicáveis e Oferta de Resgate Antecipado Facultativo, o Valor Nominal </w:t>
            </w:r>
            <w:r w:rsidR="00940C98" w:rsidRPr="00E66C26">
              <w:rPr>
                <w:rFonts w:ascii="Calibri" w:hAnsi="Calibri" w:cs="Calibri"/>
                <w:sz w:val="24"/>
              </w:rPr>
              <w:t xml:space="preserve">Unitário </w:t>
            </w:r>
            <w:r w:rsidRPr="00E66C26">
              <w:rPr>
                <w:rFonts w:ascii="Calibri" w:hAnsi="Calibri" w:cs="Calibri"/>
                <w:sz w:val="24"/>
              </w:rPr>
              <w:t>Atualizado das Debêntures da Primeira Série será amortizado integralmente na Data de Vencimento da Primeira Série.</w:t>
            </w:r>
          </w:p>
        </w:tc>
      </w:tr>
      <w:tr w:rsidR="00F94F49" w:rsidRPr="00E66C26" w14:paraId="50919D31" w14:textId="77777777" w:rsidTr="00F729A2">
        <w:trPr>
          <w:jc w:val="center"/>
        </w:trPr>
        <w:tc>
          <w:tcPr>
            <w:tcW w:w="2552" w:type="dxa"/>
          </w:tcPr>
          <w:p w14:paraId="36E4865E" w14:textId="212F9D6A" w:rsidR="00F94F49" w:rsidRPr="00E66C26" w:rsidRDefault="00FD3BEC" w:rsidP="0029198E">
            <w:pPr>
              <w:pStyle w:val="Body"/>
              <w:jc w:val="left"/>
              <w:rPr>
                <w:rFonts w:ascii="Calibri" w:hAnsi="Calibri" w:cs="Calibri"/>
                <w:b/>
                <w:sz w:val="24"/>
              </w:rPr>
            </w:pPr>
            <w:r w:rsidRPr="00E66C26">
              <w:rPr>
                <w:rFonts w:ascii="Calibri" w:hAnsi="Calibri" w:cs="Calibri"/>
                <w:b/>
                <w:sz w:val="24"/>
              </w:rPr>
              <w:lastRenderedPageBreak/>
              <w:t>Amortização do Valor Nominal Atualizado das Debêntures da Segunda Série</w:t>
            </w:r>
          </w:p>
        </w:tc>
        <w:tc>
          <w:tcPr>
            <w:tcW w:w="5670" w:type="dxa"/>
          </w:tcPr>
          <w:p w14:paraId="40395061" w14:textId="6022F769" w:rsidR="00F94F49" w:rsidRPr="00E66C26" w:rsidRDefault="00FD3BEC" w:rsidP="0029198E">
            <w:pPr>
              <w:pStyle w:val="Body"/>
              <w:rPr>
                <w:rFonts w:ascii="Calibri" w:hAnsi="Calibri" w:cs="Calibri"/>
                <w:sz w:val="24"/>
              </w:rPr>
            </w:pPr>
            <w:r w:rsidRPr="00E66C26">
              <w:rPr>
                <w:rFonts w:ascii="Calibri" w:hAnsi="Calibri" w:cs="Calibri"/>
                <w:sz w:val="24"/>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940C98" w:rsidRPr="00E66C26">
              <w:rPr>
                <w:rFonts w:ascii="Calibri" w:hAnsi="Calibri" w:cs="Calibri"/>
                <w:sz w:val="24"/>
              </w:rPr>
              <w:t xml:space="preserve">Unitário </w:t>
            </w:r>
            <w:r w:rsidRPr="00E66C26">
              <w:rPr>
                <w:rFonts w:ascii="Calibri" w:hAnsi="Calibri" w:cs="Calibri"/>
                <w:sz w:val="24"/>
              </w:rPr>
              <w:t>Atualizado das Debêntures da Segunda Série será amortizado em 3 (três) parcelas anuais e consecutivas, a partir do 13º (décimo terceiro) ano contado da Data de Emissão, sendo a primeira parcela devida em 15 de janeiro de 2035</w:t>
            </w:r>
            <w:r w:rsidR="005F199D" w:rsidRPr="00E66C26">
              <w:rPr>
                <w:rFonts w:ascii="Calibri" w:hAnsi="Calibri" w:cs="Calibri"/>
                <w:sz w:val="24"/>
              </w:rPr>
              <w:t>, a segunda em 15 de janeiro de 2036</w:t>
            </w:r>
            <w:r w:rsidRPr="00E66C26">
              <w:rPr>
                <w:rFonts w:ascii="Calibri" w:hAnsi="Calibri" w:cs="Calibri"/>
                <w:sz w:val="24"/>
              </w:rPr>
              <w:t xml:space="preserve"> e a última na Data de Vencimento da Segunda Série, conforme a tabela abaixo:</w:t>
            </w:r>
          </w:p>
          <w:tbl>
            <w:tblPr>
              <w:tblW w:w="5528" w:type="dxa"/>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7"/>
              <w:gridCol w:w="2415"/>
              <w:gridCol w:w="2126"/>
            </w:tblGrid>
            <w:tr w:rsidR="00FD3BEC" w:rsidRPr="00E66C26" w14:paraId="018CCF4E" w14:textId="77777777" w:rsidTr="008065FA">
              <w:trPr>
                <w:tblHeader/>
              </w:trPr>
              <w:tc>
                <w:tcPr>
                  <w:tcW w:w="893" w:type="pct"/>
                  <w:shd w:val="clear" w:color="000000" w:fill="E7E6E6"/>
                  <w:vAlign w:val="center"/>
                </w:tcPr>
                <w:p w14:paraId="4F0A180B" w14:textId="77777777" w:rsidR="00FD3BEC" w:rsidRPr="00E66C26" w:rsidRDefault="00FD3BEC" w:rsidP="00FD3BEC">
                  <w:pPr>
                    <w:spacing w:before="60" w:after="60" w:line="290" w:lineRule="auto"/>
                    <w:jc w:val="center"/>
                    <w:rPr>
                      <w:rFonts w:ascii="Calibri" w:hAnsi="Calibri" w:cs="Calibri"/>
                      <w:b/>
                      <w:sz w:val="24"/>
                      <w:szCs w:val="16"/>
                    </w:rPr>
                  </w:pPr>
                  <w:r w:rsidRPr="00E66C26">
                    <w:rPr>
                      <w:rFonts w:ascii="Calibri" w:hAnsi="Calibri" w:cs="Calibri"/>
                      <w:b/>
                      <w:color w:val="000000"/>
                      <w:sz w:val="24"/>
                      <w:szCs w:val="16"/>
                    </w:rPr>
                    <w:t>Parcela</w:t>
                  </w:r>
                </w:p>
              </w:tc>
              <w:tc>
                <w:tcPr>
                  <w:tcW w:w="2184" w:type="pct"/>
                  <w:shd w:val="clear" w:color="000000" w:fill="E7E6E6"/>
                  <w:vAlign w:val="center"/>
                </w:tcPr>
                <w:p w14:paraId="51493164" w14:textId="77777777" w:rsidR="00FD3BEC" w:rsidRPr="00E66C26" w:rsidRDefault="00FD3BEC" w:rsidP="00FD3BEC">
                  <w:pPr>
                    <w:spacing w:before="60" w:after="60" w:line="290" w:lineRule="auto"/>
                    <w:jc w:val="center"/>
                    <w:rPr>
                      <w:rFonts w:ascii="Calibri" w:hAnsi="Calibri" w:cs="Calibri"/>
                      <w:b/>
                      <w:sz w:val="24"/>
                      <w:szCs w:val="16"/>
                    </w:rPr>
                  </w:pPr>
                  <w:r w:rsidRPr="00E66C26">
                    <w:rPr>
                      <w:rFonts w:ascii="Calibri" w:hAnsi="Calibri" w:cs="Calibri"/>
                      <w:b/>
                      <w:color w:val="000000"/>
                      <w:sz w:val="24"/>
                      <w:szCs w:val="16"/>
                    </w:rPr>
                    <w:t>Data de Amortização das Debêntures da Segunda Série</w:t>
                  </w:r>
                </w:p>
              </w:tc>
              <w:tc>
                <w:tcPr>
                  <w:tcW w:w="1923" w:type="pct"/>
                  <w:shd w:val="clear" w:color="000000" w:fill="E7E6E6"/>
                  <w:vAlign w:val="center"/>
                </w:tcPr>
                <w:p w14:paraId="7FF8A988" w14:textId="75D73EA1" w:rsidR="00FD3BEC" w:rsidRPr="00E66C26" w:rsidRDefault="00FD3BEC" w:rsidP="00FD3BEC">
                  <w:pPr>
                    <w:spacing w:before="60" w:after="60" w:line="290" w:lineRule="auto"/>
                    <w:jc w:val="center"/>
                    <w:rPr>
                      <w:rFonts w:ascii="Calibri" w:hAnsi="Calibri" w:cs="Calibri"/>
                      <w:b/>
                      <w:sz w:val="24"/>
                      <w:szCs w:val="16"/>
                    </w:rPr>
                  </w:pPr>
                  <w:r w:rsidRPr="00E66C26">
                    <w:rPr>
                      <w:rFonts w:ascii="Calibri" w:hAnsi="Calibri" w:cs="Calibri"/>
                      <w:b/>
                      <w:color w:val="000000"/>
                      <w:sz w:val="24"/>
                      <w:szCs w:val="16"/>
                    </w:rPr>
                    <w:t xml:space="preserve">% </w:t>
                  </w:r>
                  <w:r w:rsidRPr="00E66C26">
                    <w:rPr>
                      <w:rFonts w:ascii="Calibri" w:hAnsi="Calibri" w:cs="Calibri"/>
                      <w:b/>
                      <w:bCs/>
                      <w:color w:val="000000"/>
                      <w:sz w:val="24"/>
                      <w:szCs w:val="16"/>
                    </w:rPr>
                    <w:t xml:space="preserve">do </w:t>
                  </w:r>
                  <w:r w:rsidRPr="00E66C26">
                    <w:rPr>
                      <w:rFonts w:ascii="Calibri" w:hAnsi="Calibri" w:cs="Calibri"/>
                      <w:b/>
                      <w:color w:val="000000"/>
                      <w:sz w:val="24"/>
                      <w:szCs w:val="16"/>
                    </w:rPr>
                    <w:t xml:space="preserve">Valor Nominal </w:t>
                  </w:r>
                  <w:r w:rsidR="00940C98" w:rsidRPr="00E66C26">
                    <w:rPr>
                      <w:rFonts w:ascii="Calibri" w:hAnsi="Calibri" w:cs="Calibri"/>
                      <w:b/>
                      <w:color w:val="000000"/>
                      <w:sz w:val="24"/>
                      <w:szCs w:val="16"/>
                    </w:rPr>
                    <w:t xml:space="preserve">Unitário </w:t>
                  </w:r>
                  <w:r w:rsidRPr="00E66C26">
                    <w:rPr>
                      <w:rFonts w:ascii="Calibri" w:hAnsi="Calibri" w:cs="Calibri"/>
                      <w:b/>
                      <w:color w:val="000000"/>
                      <w:sz w:val="24"/>
                      <w:szCs w:val="16"/>
                    </w:rPr>
                    <w:t>Atualizado da Segunda Série a ser amortizado</w:t>
                  </w:r>
                  <w:r w:rsidRPr="00E66C26">
                    <w:rPr>
                      <w:rFonts w:ascii="Calibri" w:hAnsi="Calibri" w:cs="Calibri"/>
                      <w:b/>
                      <w:bCs/>
                      <w:color w:val="000000"/>
                      <w:sz w:val="24"/>
                      <w:szCs w:val="16"/>
                    </w:rPr>
                    <w:t>*</w:t>
                  </w:r>
                </w:p>
              </w:tc>
            </w:tr>
            <w:tr w:rsidR="00FD3BEC" w:rsidRPr="00E66C26" w14:paraId="4F925B36" w14:textId="77777777" w:rsidTr="008065FA">
              <w:tc>
                <w:tcPr>
                  <w:tcW w:w="893" w:type="pct"/>
                </w:tcPr>
                <w:p w14:paraId="11F9916C" w14:textId="77777777"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color w:val="000000"/>
                      <w:sz w:val="24"/>
                      <w:szCs w:val="16"/>
                    </w:rPr>
                    <w:t>1</w:t>
                  </w:r>
                </w:p>
              </w:tc>
              <w:tc>
                <w:tcPr>
                  <w:tcW w:w="2184" w:type="pct"/>
                  <w:vAlign w:val="center"/>
                </w:tcPr>
                <w:p w14:paraId="2E4C848C" w14:textId="48A9B7E6"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sz w:val="24"/>
                      <w:szCs w:val="16"/>
                    </w:rPr>
                    <w:t>15 de janeiro de 2035</w:t>
                  </w:r>
                </w:p>
              </w:tc>
              <w:tc>
                <w:tcPr>
                  <w:tcW w:w="1923" w:type="pct"/>
                </w:tcPr>
                <w:p w14:paraId="4885C98F" w14:textId="77777777"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sz w:val="24"/>
                      <w:szCs w:val="16"/>
                    </w:rPr>
                    <w:t>33,3333%</w:t>
                  </w:r>
                </w:p>
              </w:tc>
            </w:tr>
            <w:tr w:rsidR="00FD3BEC" w:rsidRPr="00E66C26" w14:paraId="1C361032" w14:textId="77777777" w:rsidTr="008065FA">
              <w:tc>
                <w:tcPr>
                  <w:tcW w:w="893" w:type="pct"/>
                </w:tcPr>
                <w:p w14:paraId="3CC20A1F" w14:textId="77777777"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color w:val="000000"/>
                      <w:sz w:val="24"/>
                      <w:szCs w:val="16"/>
                    </w:rPr>
                    <w:t>2</w:t>
                  </w:r>
                </w:p>
              </w:tc>
              <w:tc>
                <w:tcPr>
                  <w:tcW w:w="2184" w:type="pct"/>
                  <w:vAlign w:val="center"/>
                </w:tcPr>
                <w:p w14:paraId="7B0B297D" w14:textId="633DF568"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sz w:val="24"/>
                      <w:szCs w:val="16"/>
                    </w:rPr>
                    <w:t>15 de janeiro de 2036</w:t>
                  </w:r>
                </w:p>
              </w:tc>
              <w:tc>
                <w:tcPr>
                  <w:tcW w:w="1923" w:type="pct"/>
                </w:tcPr>
                <w:p w14:paraId="7643A5A1" w14:textId="77777777"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sz w:val="24"/>
                      <w:szCs w:val="16"/>
                    </w:rPr>
                    <w:t>50,0000%</w:t>
                  </w:r>
                </w:p>
              </w:tc>
            </w:tr>
            <w:tr w:rsidR="00FD3BEC" w:rsidRPr="00E66C26" w14:paraId="0EF2741A" w14:textId="77777777" w:rsidTr="008065FA">
              <w:tc>
                <w:tcPr>
                  <w:tcW w:w="893" w:type="pct"/>
                </w:tcPr>
                <w:p w14:paraId="611807A2" w14:textId="77777777"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color w:val="000000"/>
                      <w:sz w:val="24"/>
                      <w:szCs w:val="16"/>
                    </w:rPr>
                    <w:t>3</w:t>
                  </w:r>
                </w:p>
              </w:tc>
              <w:tc>
                <w:tcPr>
                  <w:tcW w:w="2184" w:type="pct"/>
                  <w:vAlign w:val="center"/>
                </w:tcPr>
                <w:p w14:paraId="71E9B7E7" w14:textId="77777777" w:rsidR="00FD3BEC" w:rsidRPr="00E66C26" w:rsidRDefault="00FD3BEC" w:rsidP="00FD3BEC">
                  <w:pPr>
                    <w:spacing w:before="60" w:after="60" w:line="290" w:lineRule="auto"/>
                    <w:jc w:val="center"/>
                    <w:rPr>
                      <w:rFonts w:ascii="Calibri" w:hAnsi="Calibri" w:cs="Calibri"/>
                      <w:sz w:val="24"/>
                      <w:szCs w:val="16"/>
                    </w:rPr>
                  </w:pPr>
                  <w:r w:rsidRPr="00E66C26">
                    <w:rPr>
                      <w:rFonts w:ascii="Calibri" w:hAnsi="Calibri" w:cs="Calibri"/>
                      <w:sz w:val="24"/>
                      <w:szCs w:val="16"/>
                    </w:rPr>
                    <w:t>Data de Vencimento da Segunda Série</w:t>
                  </w:r>
                </w:p>
              </w:tc>
              <w:tc>
                <w:tcPr>
                  <w:tcW w:w="1923" w:type="pct"/>
                </w:tcPr>
                <w:p w14:paraId="2E4101E5" w14:textId="77C5804F" w:rsidR="00FD3BEC" w:rsidRPr="00E66C26" w:rsidRDefault="005F199D" w:rsidP="00FD3BEC">
                  <w:pPr>
                    <w:spacing w:before="60" w:after="60" w:line="290" w:lineRule="auto"/>
                    <w:jc w:val="center"/>
                    <w:rPr>
                      <w:rFonts w:ascii="Calibri" w:hAnsi="Calibri" w:cs="Calibri"/>
                      <w:sz w:val="24"/>
                      <w:szCs w:val="16"/>
                    </w:rPr>
                  </w:pPr>
                  <w:r w:rsidRPr="00E66C26">
                    <w:rPr>
                      <w:rFonts w:ascii="Calibri" w:hAnsi="Calibri" w:cs="Calibri"/>
                      <w:sz w:val="24"/>
                      <w:szCs w:val="16"/>
                    </w:rPr>
                    <w:t>100</w:t>
                  </w:r>
                  <w:r w:rsidR="00FD3BEC" w:rsidRPr="00E66C26">
                    <w:rPr>
                      <w:rFonts w:ascii="Calibri" w:hAnsi="Calibri" w:cs="Calibri"/>
                      <w:sz w:val="24"/>
                      <w:szCs w:val="16"/>
                    </w:rPr>
                    <w:t>,0000%</w:t>
                  </w:r>
                </w:p>
              </w:tc>
            </w:tr>
          </w:tbl>
          <w:p w14:paraId="4E05D38D" w14:textId="71CD82CF" w:rsidR="00FD3BEC" w:rsidRPr="00E66C26" w:rsidRDefault="00FD3BEC" w:rsidP="0029198E">
            <w:pPr>
              <w:pStyle w:val="Body"/>
              <w:rPr>
                <w:rFonts w:ascii="Calibri" w:hAnsi="Calibri" w:cs="Calibri"/>
                <w:sz w:val="24"/>
              </w:rPr>
            </w:pPr>
          </w:p>
        </w:tc>
      </w:tr>
      <w:tr w:rsidR="00525489" w:rsidRPr="00E66C26" w14:paraId="60636938" w14:textId="77777777" w:rsidTr="00F729A2">
        <w:trPr>
          <w:jc w:val="center"/>
        </w:trPr>
        <w:tc>
          <w:tcPr>
            <w:tcW w:w="2552" w:type="dxa"/>
          </w:tcPr>
          <w:p w14:paraId="41076777" w14:textId="3E476C33" w:rsidR="00525489" w:rsidRPr="00E66C26" w:rsidRDefault="00FD3BEC" w:rsidP="0029198E">
            <w:pPr>
              <w:pStyle w:val="Body"/>
              <w:jc w:val="left"/>
              <w:rPr>
                <w:rFonts w:ascii="Calibri" w:hAnsi="Calibri" w:cs="Calibri"/>
                <w:b/>
                <w:sz w:val="24"/>
              </w:rPr>
            </w:pPr>
            <w:r w:rsidRPr="00E66C26">
              <w:rPr>
                <w:rFonts w:ascii="Calibri" w:hAnsi="Calibri" w:cs="Calibri"/>
                <w:b/>
                <w:sz w:val="24"/>
              </w:rPr>
              <w:t>Local de Pagamento</w:t>
            </w:r>
          </w:p>
        </w:tc>
        <w:tc>
          <w:tcPr>
            <w:tcW w:w="5670" w:type="dxa"/>
          </w:tcPr>
          <w:p w14:paraId="54190F0E" w14:textId="1D8B4681" w:rsidR="00525489" w:rsidRPr="00E66C26" w:rsidRDefault="00FD3BEC" w:rsidP="0029198E">
            <w:pPr>
              <w:pStyle w:val="Body"/>
              <w:rPr>
                <w:rFonts w:ascii="Calibri" w:hAnsi="Calibri" w:cs="Calibri"/>
                <w:sz w:val="24"/>
              </w:rPr>
            </w:pPr>
            <w:r w:rsidRPr="00E66C26">
              <w:rPr>
                <w:rFonts w:ascii="Calibri" w:hAnsi="Calibri" w:cs="Calibri"/>
                <w:sz w:val="24"/>
              </w:rPr>
              <w:t xml:space="preserve">Os pagamentos a que fizerem jus as Debêntures serão efetuados pela Emissora no respectivo vencimento utilizando-se, conforme o caso: (a) os procedimentos adotados pela B3 para as Debêntures custodiadas eletronicamente nela; (b) os procedimentos adotados pelo </w:t>
            </w:r>
            <w:proofErr w:type="spellStart"/>
            <w:r w:rsidRPr="00E66C26">
              <w:rPr>
                <w:rFonts w:ascii="Calibri" w:hAnsi="Calibri" w:cs="Calibri"/>
                <w:sz w:val="24"/>
              </w:rPr>
              <w:t>Escriturador</w:t>
            </w:r>
            <w:proofErr w:type="spellEnd"/>
            <w:r w:rsidRPr="00E66C26">
              <w:rPr>
                <w:rFonts w:ascii="Calibri" w:hAnsi="Calibri" w:cs="Calibri"/>
                <w:sz w:val="24"/>
              </w:rPr>
              <w:t xml:space="preserve">, para as Debêntures que não estejam custodiadas eletronicamente na B3; e/ou (c) na sede da Emissora, para os pagamentos que não possam ser realizados por meio do </w:t>
            </w:r>
            <w:r w:rsidR="00940C98" w:rsidRPr="00E66C26">
              <w:rPr>
                <w:rFonts w:ascii="Calibri" w:hAnsi="Calibri" w:cs="Calibri"/>
                <w:sz w:val="24"/>
              </w:rPr>
              <w:t>Agente de Liquidação</w:t>
            </w:r>
            <w:r w:rsidRPr="00E66C26">
              <w:rPr>
                <w:rFonts w:ascii="Calibri" w:hAnsi="Calibri" w:cs="Calibri"/>
                <w:sz w:val="24"/>
              </w:rPr>
              <w:t xml:space="preserve"> ou da B3 (“</w:t>
            </w:r>
            <w:r w:rsidRPr="00E66C26">
              <w:rPr>
                <w:rFonts w:ascii="Calibri" w:hAnsi="Calibri" w:cs="Calibri"/>
                <w:sz w:val="24"/>
                <w:u w:val="single"/>
              </w:rPr>
              <w:t>Local de Pagamento</w:t>
            </w:r>
            <w:r w:rsidRPr="00E66C26">
              <w:rPr>
                <w:rFonts w:ascii="Calibri" w:hAnsi="Calibri" w:cs="Calibri"/>
                <w:sz w:val="24"/>
              </w:rPr>
              <w:t>”).</w:t>
            </w:r>
            <w:r w:rsidR="00940C98" w:rsidRPr="00E66C26">
              <w:rPr>
                <w:rFonts w:ascii="Calibri" w:hAnsi="Calibri" w:cs="Calibri"/>
                <w:sz w:val="24"/>
              </w:rPr>
              <w:t xml:space="preserve"> Farão jus ao recebimento de </w:t>
            </w:r>
            <w:r w:rsidR="00940C98" w:rsidRPr="00E66C26">
              <w:rPr>
                <w:rFonts w:ascii="Calibri" w:hAnsi="Calibri" w:cs="Calibri"/>
                <w:sz w:val="24"/>
              </w:rPr>
              <w:lastRenderedPageBreak/>
              <w:t xml:space="preserve">qualquer valor devido aos Debenturistas nos termos desta Escritura de Emissão aqueles que </w:t>
            </w:r>
            <w:proofErr w:type="gramStart"/>
            <w:r w:rsidR="00940C98" w:rsidRPr="00E66C26">
              <w:rPr>
                <w:rFonts w:ascii="Calibri" w:hAnsi="Calibri" w:cs="Calibri"/>
                <w:sz w:val="24"/>
              </w:rPr>
              <w:t>sejam Debenturistas</w:t>
            </w:r>
            <w:proofErr w:type="gramEnd"/>
            <w:r w:rsidR="00940C98" w:rsidRPr="00E66C26">
              <w:rPr>
                <w:rFonts w:ascii="Calibri" w:hAnsi="Calibri" w:cs="Calibri"/>
                <w:sz w:val="24"/>
              </w:rPr>
              <w:t xml:space="preserve"> ao final do Dia Útil imediatamente anterior à respectiva data do pagamento.</w:t>
            </w:r>
          </w:p>
        </w:tc>
      </w:tr>
      <w:tr w:rsidR="00FD3BEC" w:rsidRPr="00E66C26" w14:paraId="3A64F466" w14:textId="77777777" w:rsidTr="00F729A2">
        <w:trPr>
          <w:jc w:val="center"/>
        </w:trPr>
        <w:tc>
          <w:tcPr>
            <w:tcW w:w="2552" w:type="dxa"/>
          </w:tcPr>
          <w:p w14:paraId="5B057DA0" w14:textId="43FE0E6F" w:rsidR="00FD3BEC" w:rsidRPr="00E66C26" w:rsidRDefault="00FD3BEC" w:rsidP="0029198E">
            <w:pPr>
              <w:pStyle w:val="Body"/>
              <w:jc w:val="left"/>
              <w:rPr>
                <w:rFonts w:ascii="Calibri" w:hAnsi="Calibri" w:cs="Calibri"/>
                <w:b/>
                <w:sz w:val="24"/>
              </w:rPr>
            </w:pPr>
            <w:r w:rsidRPr="00E66C26">
              <w:rPr>
                <w:rFonts w:ascii="Calibri" w:hAnsi="Calibri" w:cs="Calibri"/>
                <w:b/>
                <w:sz w:val="24"/>
              </w:rPr>
              <w:lastRenderedPageBreak/>
              <w:t>Caracterização como Debêntures Verdes</w:t>
            </w:r>
          </w:p>
        </w:tc>
        <w:tc>
          <w:tcPr>
            <w:tcW w:w="5670" w:type="dxa"/>
          </w:tcPr>
          <w:p w14:paraId="02EA096A" w14:textId="78A25AAB" w:rsidR="00FD3BEC" w:rsidRPr="00E66C26" w:rsidRDefault="00FD3BEC" w:rsidP="0029198E">
            <w:pPr>
              <w:pStyle w:val="Body"/>
              <w:rPr>
                <w:rFonts w:ascii="Calibri" w:hAnsi="Calibri" w:cs="Calibri"/>
                <w:sz w:val="24"/>
              </w:rPr>
            </w:pPr>
            <w:r w:rsidRPr="00E66C26">
              <w:rPr>
                <w:rFonts w:ascii="Calibri" w:hAnsi="Calibri" w:cs="Calibri"/>
                <w:sz w:val="24"/>
              </w:rPr>
              <w:t>As Debêntures serão caracterizadas como “debêntures verdes” (“</w:t>
            </w:r>
            <w:r w:rsidRPr="00E66C26">
              <w:rPr>
                <w:rFonts w:ascii="Calibri" w:hAnsi="Calibri" w:cs="Calibri"/>
                <w:sz w:val="24"/>
                <w:u w:val="single"/>
              </w:rPr>
              <w:t>Debêntures Verdes</w:t>
            </w:r>
            <w:r w:rsidRPr="00E66C26">
              <w:rPr>
                <w:rFonts w:ascii="Calibri" w:hAnsi="Calibri" w:cs="Calibri"/>
                <w:sz w:val="24"/>
              </w:rPr>
              <w:t>”), nos termos do decreto nº 8.874, de 11 de outubro de 2016 (“</w:t>
            </w:r>
            <w:r w:rsidRPr="00E66C26">
              <w:rPr>
                <w:rFonts w:ascii="Calibri" w:hAnsi="Calibri" w:cs="Calibri"/>
                <w:sz w:val="24"/>
                <w:u w:val="single"/>
              </w:rPr>
              <w:t>Decreto nº 8.874/16</w:t>
            </w:r>
            <w:r w:rsidRPr="00E66C26">
              <w:rPr>
                <w:rFonts w:ascii="Calibri" w:hAnsi="Calibri" w:cs="Calibri"/>
                <w:sz w:val="24"/>
              </w:rPr>
              <w:t>”), conforme alterado pelo decreto nº 10.387, de 5 de junho de 2020 (“</w:t>
            </w:r>
            <w:r w:rsidRPr="00E66C26">
              <w:rPr>
                <w:rFonts w:ascii="Calibri" w:hAnsi="Calibri" w:cs="Calibri"/>
                <w:sz w:val="24"/>
                <w:u w:val="single"/>
              </w:rPr>
              <w:t>Decreto nº 10.387/20</w:t>
            </w:r>
            <w:r w:rsidRPr="00E66C26">
              <w:rPr>
                <w:rFonts w:ascii="Calibri" w:hAnsi="Calibri" w:cs="Calibri"/>
                <w:sz w:val="24"/>
              </w:rPr>
              <w:t>”), com base em: (i) parecer técnico independente (“</w:t>
            </w:r>
            <w:r w:rsidRPr="00E66C26">
              <w:rPr>
                <w:rFonts w:ascii="Calibri" w:hAnsi="Calibri" w:cs="Calibri"/>
                <w:sz w:val="24"/>
                <w:u w:val="single"/>
              </w:rPr>
              <w:t>Parecer Independente</w:t>
            </w:r>
            <w:r w:rsidRPr="00E66C26">
              <w:rPr>
                <w:rFonts w:ascii="Calibri" w:hAnsi="Calibri" w:cs="Calibri"/>
                <w:sz w:val="24"/>
              </w:rPr>
              <w:t xml:space="preserve">”), emitido por consultoria especializada, atestando que as Debêntures cumprem com as regras emitidas pela </w:t>
            </w:r>
            <w:proofErr w:type="spellStart"/>
            <w:r w:rsidRPr="00E66C26">
              <w:rPr>
                <w:rFonts w:ascii="Calibri" w:hAnsi="Calibri" w:cs="Calibri"/>
                <w:sz w:val="24"/>
              </w:rPr>
              <w:t>International</w:t>
            </w:r>
            <w:proofErr w:type="spellEnd"/>
            <w:r w:rsidRPr="00E66C26">
              <w:rPr>
                <w:rFonts w:ascii="Calibri" w:hAnsi="Calibri" w:cs="Calibri"/>
                <w:sz w:val="24"/>
              </w:rPr>
              <w:t xml:space="preserve"> Capital Market </w:t>
            </w:r>
            <w:proofErr w:type="spellStart"/>
            <w:r w:rsidRPr="00E66C26">
              <w:rPr>
                <w:rFonts w:ascii="Calibri" w:hAnsi="Calibri" w:cs="Calibri"/>
                <w:sz w:val="24"/>
              </w:rPr>
              <w:t>Association</w:t>
            </w:r>
            <w:proofErr w:type="spellEnd"/>
            <w:r w:rsidRPr="00E66C26">
              <w:rPr>
                <w:rFonts w:ascii="Calibri" w:hAnsi="Calibri" w:cs="Calibri"/>
                <w:sz w:val="24"/>
              </w:rPr>
              <w:t xml:space="preserve"> (“</w:t>
            </w:r>
            <w:r w:rsidRPr="00E66C26">
              <w:rPr>
                <w:rFonts w:ascii="Calibri" w:hAnsi="Calibri" w:cs="Calibri"/>
                <w:sz w:val="24"/>
                <w:u w:val="single"/>
              </w:rPr>
              <w:t>ICMA</w:t>
            </w:r>
            <w:r w:rsidRPr="00E66C26">
              <w:rPr>
                <w:rFonts w:ascii="Calibri" w:hAnsi="Calibri" w:cs="Calibri"/>
                <w:sz w:val="24"/>
              </w:rPr>
              <w:t xml:space="preserve">”) e constantes do Green Bond </w:t>
            </w:r>
            <w:proofErr w:type="spellStart"/>
            <w:r w:rsidRPr="00E66C26">
              <w:rPr>
                <w:rFonts w:ascii="Calibri" w:hAnsi="Calibri" w:cs="Calibri"/>
                <w:sz w:val="24"/>
              </w:rPr>
              <w:t>Principles</w:t>
            </w:r>
            <w:proofErr w:type="spellEnd"/>
            <w:r w:rsidRPr="00E66C26">
              <w:rPr>
                <w:rFonts w:ascii="Calibri" w:hAnsi="Calibri" w:cs="Calibri"/>
                <w:sz w:val="24"/>
              </w:rPr>
              <w:t xml:space="preserve"> (GBP) de 2021, conforme atualizado, para caracterização da emissão na categoria de </w:t>
            </w:r>
            <w:r w:rsidR="0020368D" w:rsidRPr="00E66C26">
              <w:rPr>
                <w:rFonts w:ascii="Calibri" w:hAnsi="Calibri" w:cs="Calibri"/>
                <w:sz w:val="24"/>
              </w:rPr>
              <w:t>“</w:t>
            </w:r>
            <w:r w:rsidR="0020368D" w:rsidRPr="00E66C26">
              <w:rPr>
                <w:rFonts w:ascii="Calibri" w:hAnsi="Calibri" w:cs="Calibri"/>
                <w:sz w:val="24"/>
                <w:u w:val="single"/>
              </w:rPr>
              <w:t>energia renovável</w:t>
            </w:r>
            <w:r w:rsidR="0020368D" w:rsidRPr="00E66C26">
              <w:rPr>
                <w:rFonts w:ascii="Calibri" w:hAnsi="Calibri" w:cs="Calibri"/>
                <w:sz w:val="24"/>
              </w:rPr>
              <w:t xml:space="preserve">”; </w:t>
            </w:r>
            <w:r w:rsidRPr="00E66C26">
              <w:rPr>
                <w:rFonts w:ascii="Calibri" w:hAnsi="Calibri" w:cs="Calibri"/>
                <w:sz w:val="24"/>
              </w:rPr>
              <w:t>e (</w:t>
            </w:r>
            <w:proofErr w:type="spellStart"/>
            <w:r w:rsidRPr="00E66C26">
              <w:rPr>
                <w:rFonts w:ascii="Calibri" w:hAnsi="Calibri" w:cs="Calibri"/>
                <w:sz w:val="24"/>
              </w:rPr>
              <w:t>ii</w:t>
            </w:r>
            <w:proofErr w:type="spellEnd"/>
            <w:r w:rsidRPr="00E66C26">
              <w:rPr>
                <w:rFonts w:ascii="Calibri" w:hAnsi="Calibri" w:cs="Calibri"/>
                <w:sz w:val="24"/>
              </w:rPr>
              <w:t>) marcação nos sistemas da B3 como título verde, observados os procedimentos adotados pela B3 (“</w:t>
            </w:r>
            <w:r w:rsidRPr="00E66C26">
              <w:rPr>
                <w:rFonts w:ascii="Calibri" w:hAnsi="Calibri" w:cs="Calibri"/>
                <w:sz w:val="24"/>
                <w:u w:val="single"/>
              </w:rPr>
              <w:t>Marcação ESG</w:t>
            </w:r>
            <w:r w:rsidRPr="00E66C26">
              <w:rPr>
                <w:rFonts w:ascii="Calibri" w:hAnsi="Calibri" w:cs="Calibri"/>
                <w:sz w:val="24"/>
              </w:rPr>
              <w:t xml:space="preserve">”). A </w:t>
            </w:r>
            <w:r w:rsidR="0045128C" w:rsidRPr="00E66C26">
              <w:rPr>
                <w:rFonts w:ascii="Calibri" w:hAnsi="Calibri" w:cs="Calibri"/>
                <w:sz w:val="24"/>
              </w:rPr>
              <w:t xml:space="preserve">Emissora </w:t>
            </w:r>
            <w:r w:rsidRPr="00E66C26">
              <w:rPr>
                <w:rFonts w:ascii="Calibri" w:hAnsi="Calibri" w:cs="Calibri"/>
                <w:sz w:val="24"/>
              </w:rPr>
              <w:t>poderá, mas não estará obrigada, a buscar outras certificações para as Debêntures em adição ao Parecer Independente e a Marcação ESG (“</w:t>
            </w:r>
            <w:r w:rsidRPr="00E66C26">
              <w:rPr>
                <w:rFonts w:ascii="Calibri" w:hAnsi="Calibri" w:cs="Calibri"/>
                <w:sz w:val="24"/>
                <w:u w:val="single"/>
              </w:rPr>
              <w:t>Certificação</w:t>
            </w:r>
            <w:r w:rsidRPr="00E66C26">
              <w:rPr>
                <w:rFonts w:ascii="Calibri" w:hAnsi="Calibri" w:cs="Calibri"/>
                <w:sz w:val="24"/>
              </w:rPr>
              <w:t>”).</w:t>
            </w:r>
          </w:p>
          <w:p w14:paraId="7CB15709" w14:textId="6B1AAB97" w:rsidR="00FD3BEC" w:rsidRPr="00E66C26" w:rsidRDefault="00FD3BEC" w:rsidP="0029198E">
            <w:pPr>
              <w:pStyle w:val="Body"/>
              <w:rPr>
                <w:rFonts w:ascii="Calibri" w:hAnsi="Calibri" w:cs="Calibri"/>
                <w:b/>
                <w:bCs/>
                <w:sz w:val="24"/>
              </w:rPr>
            </w:pPr>
            <w:r w:rsidRPr="00E66C26">
              <w:rPr>
                <w:rFonts w:ascii="Calibri" w:hAnsi="Calibri" w:cs="Calibri"/>
                <w:b/>
                <w:bCs/>
                <w:sz w:val="24"/>
              </w:rPr>
              <w:t>Para mais informações acerca da caracterização das Debêntures como Debêntures Verdes, veja as cláusulas 6.15 e seguintes da Escritura de Emissão.</w:t>
            </w:r>
          </w:p>
        </w:tc>
      </w:tr>
      <w:tr w:rsidR="00525489" w:rsidRPr="00E66C26" w14:paraId="618A26EF" w14:textId="77777777" w:rsidTr="00F729A2">
        <w:trPr>
          <w:jc w:val="center"/>
        </w:trPr>
        <w:tc>
          <w:tcPr>
            <w:tcW w:w="2552" w:type="dxa"/>
          </w:tcPr>
          <w:p w14:paraId="73286034" w14:textId="09D450D5" w:rsidR="00525489" w:rsidRPr="00E66C26" w:rsidRDefault="00FD3BEC" w:rsidP="0029198E">
            <w:pPr>
              <w:pStyle w:val="Body"/>
              <w:jc w:val="left"/>
              <w:rPr>
                <w:rFonts w:ascii="Calibri" w:hAnsi="Calibri" w:cs="Calibri"/>
                <w:b/>
                <w:sz w:val="24"/>
              </w:rPr>
            </w:pPr>
            <w:r w:rsidRPr="00E66C26">
              <w:rPr>
                <w:rFonts w:ascii="Calibri" w:hAnsi="Calibri" w:cs="Calibri"/>
                <w:b/>
                <w:sz w:val="24"/>
              </w:rPr>
              <w:t>Prorrogação dos Prazos</w:t>
            </w:r>
          </w:p>
        </w:tc>
        <w:tc>
          <w:tcPr>
            <w:tcW w:w="5670" w:type="dxa"/>
          </w:tcPr>
          <w:p w14:paraId="6EFFAC84" w14:textId="4390A9A5" w:rsidR="00525489" w:rsidRPr="00E66C26" w:rsidRDefault="00FD3BEC" w:rsidP="0029198E">
            <w:pPr>
              <w:pStyle w:val="Body"/>
              <w:rPr>
                <w:rFonts w:ascii="Calibri" w:hAnsi="Calibri" w:cs="Calibri"/>
                <w:sz w:val="24"/>
              </w:rPr>
            </w:pPr>
            <w:r w:rsidRPr="00E66C26">
              <w:rPr>
                <w:rFonts w:ascii="Calibri" w:hAnsi="Calibri" w:cs="Calibri"/>
                <w:sz w:val="24"/>
              </w:rPr>
              <w:t xml:space="preserve">Considerar-se-ão prorrogados os prazos referentes ao pagamento de qualquer obrigação prevista na Escritura de Emissão até o 1º (primeiro) Dia Útil subsequente, se a data do vencimento coincidir com dia em que não houver expediente bancário no local de pagamento das Debêntures, ressalvados os casos cujos pagamentos devam ser realizados por meio da B3, hipótese em que </w:t>
            </w:r>
            <w:r w:rsidRPr="00E66C26">
              <w:rPr>
                <w:rFonts w:ascii="Calibri" w:hAnsi="Calibri" w:cs="Calibri"/>
                <w:sz w:val="24"/>
              </w:rPr>
              <w:lastRenderedPageBreak/>
              <w:t>somente haverá prorrogação quando a data de pagamento coincidir com feriado declarado nacional, sábado ou domingo (“</w:t>
            </w:r>
            <w:r w:rsidRPr="00E66C26">
              <w:rPr>
                <w:rFonts w:ascii="Calibri" w:hAnsi="Calibri" w:cs="Calibri"/>
                <w:sz w:val="24"/>
                <w:u w:val="single"/>
              </w:rPr>
              <w:t>Dia Útil</w:t>
            </w:r>
            <w:r w:rsidRPr="00E66C26">
              <w:rPr>
                <w:rFonts w:ascii="Calibri" w:hAnsi="Calibri" w:cs="Calibri"/>
                <w:sz w:val="24"/>
              </w:rPr>
              <w:t>”).</w:t>
            </w:r>
          </w:p>
        </w:tc>
      </w:tr>
      <w:tr w:rsidR="00C510C1" w:rsidRPr="00E66C26" w14:paraId="554900AC" w14:textId="77777777" w:rsidTr="00F729A2">
        <w:trPr>
          <w:jc w:val="center"/>
        </w:trPr>
        <w:tc>
          <w:tcPr>
            <w:tcW w:w="2552" w:type="dxa"/>
          </w:tcPr>
          <w:p w14:paraId="65BAC7D3" w14:textId="4301F15D" w:rsidR="00C510C1" w:rsidRPr="00E66C26" w:rsidRDefault="00FD3BEC" w:rsidP="0029198E">
            <w:pPr>
              <w:pStyle w:val="Body"/>
              <w:jc w:val="left"/>
              <w:rPr>
                <w:rFonts w:ascii="Calibri" w:hAnsi="Calibri" w:cs="Calibri"/>
                <w:b/>
                <w:sz w:val="24"/>
              </w:rPr>
            </w:pPr>
            <w:r w:rsidRPr="00E66C26">
              <w:rPr>
                <w:rFonts w:ascii="Calibri" w:hAnsi="Calibri" w:cs="Calibri"/>
                <w:b/>
                <w:sz w:val="24"/>
              </w:rPr>
              <w:lastRenderedPageBreak/>
              <w:t>Encargos Moratórios</w:t>
            </w:r>
          </w:p>
        </w:tc>
        <w:tc>
          <w:tcPr>
            <w:tcW w:w="5670" w:type="dxa"/>
          </w:tcPr>
          <w:p w14:paraId="4990DBB1" w14:textId="76C25F26" w:rsidR="00C510C1" w:rsidRPr="00E66C26" w:rsidRDefault="00FD3BEC" w:rsidP="00404B37">
            <w:pPr>
              <w:pStyle w:val="Body"/>
              <w:rPr>
                <w:rFonts w:ascii="Calibri" w:hAnsi="Calibri" w:cs="Calibri"/>
                <w:sz w:val="24"/>
              </w:rPr>
            </w:pPr>
            <w:r w:rsidRPr="00E66C26">
              <w:rPr>
                <w:rFonts w:ascii="Calibri" w:hAnsi="Calibri" w:cs="Calibri"/>
                <w:sz w:val="24"/>
              </w:rPr>
              <w:t>Sem prejuízo da Remuneração das Debêntures, ocorrendo a impontualidade no pagamento pela Emissora de qualquer valor devido aos Debenturistas, os débitos em atraso ficarão sujeitos a, independentemente de aviso, notificação ou interpelação judicial ou extrajudicial: (i) multa convencional, irredutível e de natureza não compensatória de 2% (dois por cento); e (</w:t>
            </w:r>
            <w:proofErr w:type="spellStart"/>
            <w:r w:rsidRPr="00E66C26">
              <w:rPr>
                <w:rFonts w:ascii="Calibri" w:hAnsi="Calibri" w:cs="Calibri"/>
                <w:sz w:val="24"/>
              </w:rPr>
              <w:t>ii</w:t>
            </w:r>
            <w:proofErr w:type="spellEnd"/>
            <w:r w:rsidRPr="00E66C26">
              <w:rPr>
                <w:rFonts w:ascii="Calibri" w:hAnsi="Calibri" w:cs="Calibri"/>
                <w:sz w:val="24"/>
              </w:rPr>
              <w:t>) juros moratórios à razão de 1% (um por cento) ao mês, desde a data da inadimplência até a data do efetivo pagamento; ambos calculados sobre o montante devido e não pago (“</w:t>
            </w:r>
            <w:r w:rsidRPr="00E66C26">
              <w:rPr>
                <w:rFonts w:ascii="Calibri" w:hAnsi="Calibri" w:cs="Calibri"/>
                <w:sz w:val="24"/>
                <w:u w:val="single"/>
              </w:rPr>
              <w:t>Encargos Moratórios</w:t>
            </w:r>
            <w:r w:rsidRPr="00E66C26">
              <w:rPr>
                <w:rFonts w:ascii="Calibri" w:hAnsi="Calibri" w:cs="Calibri"/>
                <w:sz w:val="24"/>
              </w:rPr>
              <w:t>”).</w:t>
            </w:r>
          </w:p>
        </w:tc>
      </w:tr>
      <w:tr w:rsidR="00F94F49" w:rsidRPr="00E66C26" w14:paraId="2C7188BC" w14:textId="77777777" w:rsidTr="00F729A2">
        <w:trPr>
          <w:jc w:val="center"/>
        </w:trPr>
        <w:tc>
          <w:tcPr>
            <w:tcW w:w="2552" w:type="dxa"/>
          </w:tcPr>
          <w:p w14:paraId="7D4839E3" w14:textId="5352D01D" w:rsidR="00F94F49" w:rsidRPr="00E66C26" w:rsidRDefault="00FD3BEC" w:rsidP="0029198E">
            <w:pPr>
              <w:pStyle w:val="Body"/>
              <w:jc w:val="left"/>
              <w:rPr>
                <w:rFonts w:ascii="Calibri" w:hAnsi="Calibri" w:cs="Calibri"/>
                <w:b/>
                <w:sz w:val="24"/>
              </w:rPr>
            </w:pPr>
            <w:r w:rsidRPr="00E66C26">
              <w:rPr>
                <w:rFonts w:ascii="Calibri" w:hAnsi="Calibri" w:cs="Calibri"/>
                <w:b/>
                <w:sz w:val="24"/>
              </w:rPr>
              <w:t>Decadência dos Direitos Aos Acréscimos</w:t>
            </w:r>
          </w:p>
        </w:tc>
        <w:tc>
          <w:tcPr>
            <w:tcW w:w="5670" w:type="dxa"/>
          </w:tcPr>
          <w:p w14:paraId="56E1B88B" w14:textId="50BF03A5" w:rsidR="00F94F49" w:rsidRPr="00E66C26" w:rsidRDefault="00FD3BEC" w:rsidP="004E6307">
            <w:pPr>
              <w:pStyle w:val="Body"/>
              <w:rPr>
                <w:rFonts w:ascii="Calibri" w:hAnsi="Calibri" w:cs="Calibri"/>
                <w:sz w:val="24"/>
              </w:rPr>
            </w:pPr>
            <w:r w:rsidRPr="00E66C26">
              <w:rPr>
                <w:rFonts w:ascii="Calibri" w:hAnsi="Calibri" w:cs="Calibri"/>
                <w:sz w:val="24"/>
              </w:rPr>
              <w:t>Sem prejuízo do disposto na Escritura de Emissão, o não comparecimento do Debenturista para receber o valor correspondente a quaisquer obrigações pecuniárias da Emissora, nas datas previstas na Escritura de Emissão, ou em comunicado publicado pela Emissora nos Jornais de Publicação, não lhe dará o direito ao recebimento de Remuneração das Debêntures e/ou Encargos Moratórios no período relativo ao atraso no recebimento, sendo-lhe, todavia, assegurados os direitos adquiridos até a data do respectivo vencimento ou pagamento.</w:t>
            </w:r>
          </w:p>
        </w:tc>
      </w:tr>
      <w:tr w:rsidR="00F94F49" w:rsidRPr="00E66C26" w14:paraId="0FC411C6" w14:textId="77777777" w:rsidTr="00F729A2">
        <w:trPr>
          <w:jc w:val="center"/>
        </w:trPr>
        <w:tc>
          <w:tcPr>
            <w:tcW w:w="2552" w:type="dxa"/>
          </w:tcPr>
          <w:p w14:paraId="1A975EC7" w14:textId="0EE6DCA6" w:rsidR="00F94F49" w:rsidRPr="00E66C26" w:rsidRDefault="00FD3BEC" w:rsidP="0029198E">
            <w:pPr>
              <w:pStyle w:val="Body"/>
              <w:jc w:val="left"/>
              <w:rPr>
                <w:rFonts w:ascii="Calibri" w:hAnsi="Calibri" w:cs="Calibri"/>
                <w:b/>
                <w:sz w:val="24"/>
              </w:rPr>
            </w:pPr>
            <w:r w:rsidRPr="00E66C26">
              <w:rPr>
                <w:rFonts w:ascii="Calibri" w:hAnsi="Calibri" w:cs="Calibri"/>
                <w:b/>
                <w:sz w:val="24"/>
              </w:rPr>
              <w:t>Repactuação Programada</w:t>
            </w:r>
          </w:p>
        </w:tc>
        <w:tc>
          <w:tcPr>
            <w:tcW w:w="5670" w:type="dxa"/>
          </w:tcPr>
          <w:p w14:paraId="3C1BC0E6" w14:textId="6FE348A2" w:rsidR="00F94F49" w:rsidRPr="00E66C26" w:rsidRDefault="00FD3BEC" w:rsidP="0029198E">
            <w:pPr>
              <w:pStyle w:val="Body"/>
              <w:rPr>
                <w:rFonts w:ascii="Calibri" w:hAnsi="Calibri" w:cs="Calibri"/>
                <w:sz w:val="24"/>
              </w:rPr>
            </w:pPr>
            <w:r w:rsidRPr="00E66C26">
              <w:rPr>
                <w:rFonts w:ascii="Calibri" w:hAnsi="Calibri" w:cs="Calibri"/>
                <w:sz w:val="24"/>
              </w:rPr>
              <w:t>As Debêntures não serão objeto de repactuação programada.</w:t>
            </w:r>
          </w:p>
        </w:tc>
      </w:tr>
      <w:tr w:rsidR="00F94F49" w:rsidRPr="00E66C26" w14:paraId="7D32264E" w14:textId="77777777" w:rsidTr="00F729A2">
        <w:trPr>
          <w:jc w:val="center"/>
        </w:trPr>
        <w:tc>
          <w:tcPr>
            <w:tcW w:w="2552" w:type="dxa"/>
          </w:tcPr>
          <w:p w14:paraId="6FEA80B7" w14:textId="7EC9E8DD" w:rsidR="00F94F49" w:rsidRPr="00E66C26" w:rsidRDefault="00FD3BEC" w:rsidP="0029198E">
            <w:pPr>
              <w:pStyle w:val="Body"/>
              <w:jc w:val="left"/>
              <w:rPr>
                <w:rFonts w:ascii="Calibri" w:hAnsi="Calibri" w:cs="Calibri"/>
                <w:b/>
                <w:sz w:val="24"/>
              </w:rPr>
            </w:pPr>
            <w:r w:rsidRPr="00E66C26">
              <w:rPr>
                <w:rFonts w:ascii="Calibri" w:hAnsi="Calibri" w:cs="Calibri"/>
                <w:b/>
                <w:sz w:val="24"/>
              </w:rPr>
              <w:t>Direito ao Recebimento dos Pagamentos</w:t>
            </w:r>
          </w:p>
        </w:tc>
        <w:tc>
          <w:tcPr>
            <w:tcW w:w="5670" w:type="dxa"/>
          </w:tcPr>
          <w:p w14:paraId="70FB8BE1" w14:textId="1FC8EAC5" w:rsidR="00D217EC" w:rsidRPr="00E66C26" w:rsidRDefault="00FD3BEC" w:rsidP="00A3630C">
            <w:pPr>
              <w:pStyle w:val="Body"/>
              <w:rPr>
                <w:rFonts w:ascii="Calibri" w:hAnsi="Calibri" w:cs="Calibri"/>
                <w:sz w:val="24"/>
              </w:rPr>
            </w:pPr>
            <w:r w:rsidRPr="00E66C26">
              <w:rPr>
                <w:rFonts w:ascii="Calibri" w:hAnsi="Calibri" w:cs="Calibri"/>
                <w:sz w:val="24"/>
              </w:rPr>
              <w:t xml:space="preserve">Farão jus ao recebimento de qualquer valor devido aos Debenturistas, nos termos da Escritura, aqueles que </w:t>
            </w:r>
            <w:proofErr w:type="gramStart"/>
            <w:r w:rsidRPr="00E66C26">
              <w:rPr>
                <w:rFonts w:ascii="Calibri" w:hAnsi="Calibri" w:cs="Calibri"/>
                <w:sz w:val="24"/>
              </w:rPr>
              <w:t>for</w:t>
            </w:r>
            <w:r w:rsidR="001B1C04" w:rsidRPr="00E66C26">
              <w:rPr>
                <w:rFonts w:ascii="Calibri" w:hAnsi="Calibri" w:cs="Calibri"/>
                <w:sz w:val="24"/>
              </w:rPr>
              <w:t>e</w:t>
            </w:r>
            <w:r w:rsidRPr="00E66C26">
              <w:rPr>
                <w:rFonts w:ascii="Calibri" w:hAnsi="Calibri" w:cs="Calibri"/>
                <w:sz w:val="24"/>
              </w:rPr>
              <w:t>m Debenturistas</w:t>
            </w:r>
            <w:proofErr w:type="gramEnd"/>
            <w:r w:rsidRPr="00E66C26">
              <w:rPr>
                <w:rFonts w:ascii="Calibri" w:hAnsi="Calibri" w:cs="Calibri"/>
                <w:sz w:val="24"/>
              </w:rPr>
              <w:t xml:space="preserve"> no encerramento do Dia Útil anterior à respectiva data de pagamento.</w:t>
            </w:r>
          </w:p>
        </w:tc>
      </w:tr>
      <w:tr w:rsidR="00F94F49" w:rsidRPr="00E66C26" w14:paraId="2B2616A1" w14:textId="77777777" w:rsidTr="00F729A2">
        <w:trPr>
          <w:jc w:val="center"/>
        </w:trPr>
        <w:tc>
          <w:tcPr>
            <w:tcW w:w="2552" w:type="dxa"/>
          </w:tcPr>
          <w:p w14:paraId="07F46A03" w14:textId="72F46C1E" w:rsidR="00F94F49" w:rsidRPr="00E66C26" w:rsidRDefault="00FD3BEC" w:rsidP="0029198E">
            <w:pPr>
              <w:pStyle w:val="Body"/>
              <w:jc w:val="left"/>
              <w:rPr>
                <w:rFonts w:ascii="Calibri" w:hAnsi="Calibri" w:cs="Calibri"/>
                <w:b/>
                <w:sz w:val="24"/>
              </w:rPr>
            </w:pPr>
            <w:r w:rsidRPr="00E66C26">
              <w:rPr>
                <w:rFonts w:ascii="Calibri" w:hAnsi="Calibri" w:cs="Calibri"/>
                <w:b/>
                <w:sz w:val="24"/>
              </w:rPr>
              <w:lastRenderedPageBreak/>
              <w:t>Preço de Subscrição</w:t>
            </w:r>
          </w:p>
        </w:tc>
        <w:tc>
          <w:tcPr>
            <w:tcW w:w="5670" w:type="dxa"/>
          </w:tcPr>
          <w:p w14:paraId="29D3530E" w14:textId="293B3C4B" w:rsidR="00F94F49" w:rsidRPr="00E66C26" w:rsidRDefault="00FD3BEC" w:rsidP="0029198E">
            <w:pPr>
              <w:pStyle w:val="Body"/>
              <w:rPr>
                <w:rFonts w:ascii="Calibri" w:hAnsi="Calibri" w:cs="Calibri"/>
                <w:sz w:val="24"/>
              </w:rPr>
            </w:pPr>
            <w:r w:rsidRPr="00E66C26">
              <w:rPr>
                <w:rFonts w:ascii="Calibri" w:hAnsi="Calibri" w:cs="Calibri"/>
                <w:sz w:val="24"/>
              </w:rPr>
              <w:t xml:space="preserve">O preço de subscrição de cada uma das Debêntures na Primeira Data de Integralização será o seu Valor Nominal Unitário e, caso ocorra a subscrição e integralização das Debênture em mais de uma data, o preço de subscrição para as Debêntures que forem integralizadas após a Primeira Data de Integralização será o Valor Nominal </w:t>
            </w:r>
            <w:r w:rsidR="00940C98" w:rsidRPr="00E66C26">
              <w:rPr>
                <w:rFonts w:ascii="Calibri" w:hAnsi="Calibri" w:cs="Calibri"/>
                <w:sz w:val="24"/>
              </w:rPr>
              <w:t xml:space="preserve">Unitário </w:t>
            </w:r>
            <w:r w:rsidRPr="00E66C26">
              <w:rPr>
                <w:rFonts w:ascii="Calibri" w:hAnsi="Calibri" w:cs="Calibri"/>
                <w:sz w:val="24"/>
              </w:rPr>
              <w:t xml:space="preserve">Atualizado das Debêntures acrescido dos Juros Remuneratórios da respectiva Série, calculados </w:t>
            </w:r>
            <w:r w:rsidRPr="00E66C26">
              <w:rPr>
                <w:rFonts w:ascii="Calibri" w:hAnsi="Calibri" w:cs="Calibri"/>
                <w:i/>
                <w:iCs/>
                <w:sz w:val="24"/>
              </w:rPr>
              <w:t xml:space="preserve">pro rata </w:t>
            </w:r>
            <w:proofErr w:type="spellStart"/>
            <w:r w:rsidRPr="00E66C26">
              <w:rPr>
                <w:rFonts w:ascii="Calibri" w:hAnsi="Calibri" w:cs="Calibri"/>
                <w:i/>
                <w:iCs/>
                <w:sz w:val="24"/>
              </w:rPr>
              <w:t>temporis</w:t>
            </w:r>
            <w:proofErr w:type="spellEnd"/>
            <w:r w:rsidRPr="00E66C26">
              <w:rPr>
                <w:rFonts w:ascii="Calibri" w:hAnsi="Calibri" w:cs="Calibri"/>
                <w:sz w:val="24"/>
              </w:rPr>
              <w:t xml:space="preserve"> desde a Primeira Data de Integralização (inclusive), até a data de sua efetiva integralização (exclusive) (“</w:t>
            </w:r>
            <w:r w:rsidRPr="00E66C26">
              <w:rPr>
                <w:rFonts w:ascii="Calibri" w:hAnsi="Calibri" w:cs="Calibri"/>
                <w:sz w:val="24"/>
                <w:u w:val="single"/>
              </w:rPr>
              <w:t>Preço de Subscrição</w:t>
            </w:r>
            <w:r w:rsidRPr="00E66C26">
              <w:rPr>
                <w:rFonts w:ascii="Calibri" w:hAnsi="Calibri" w:cs="Calibri"/>
                <w:sz w:val="24"/>
              </w:rPr>
              <w:t>”).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da Escritura de Emissão, considera-se “</w:t>
            </w:r>
            <w:r w:rsidRPr="00E66C26">
              <w:rPr>
                <w:rFonts w:ascii="Calibri" w:hAnsi="Calibri" w:cs="Calibri"/>
                <w:sz w:val="24"/>
                <w:u w:val="single"/>
              </w:rPr>
              <w:t>Primeira Data de Integralização</w:t>
            </w:r>
            <w:r w:rsidRPr="00E66C26">
              <w:rPr>
                <w:rFonts w:ascii="Calibri" w:hAnsi="Calibri" w:cs="Calibri"/>
                <w:sz w:val="24"/>
              </w:rPr>
              <w:t>” a data em que efetivamente ocorrer a primeira subscrição e integralização de qualquer das Debêntures.</w:t>
            </w:r>
          </w:p>
        </w:tc>
      </w:tr>
      <w:tr w:rsidR="00F94F49" w:rsidRPr="00E66C26" w14:paraId="5B661C62" w14:textId="77777777" w:rsidTr="00F729A2">
        <w:trPr>
          <w:jc w:val="center"/>
        </w:trPr>
        <w:tc>
          <w:tcPr>
            <w:tcW w:w="2552" w:type="dxa"/>
          </w:tcPr>
          <w:p w14:paraId="6F3EF075" w14:textId="647E48AB" w:rsidR="00F94F49" w:rsidRPr="00E66C26" w:rsidRDefault="00FD3BEC" w:rsidP="0029198E">
            <w:pPr>
              <w:pStyle w:val="Level3"/>
              <w:jc w:val="left"/>
              <w:outlineLvl w:val="2"/>
              <w:rPr>
                <w:rFonts w:ascii="Calibri" w:hAnsi="Calibri" w:cs="Calibri"/>
                <w:b/>
                <w:sz w:val="24"/>
                <w:szCs w:val="24"/>
              </w:rPr>
            </w:pPr>
            <w:r w:rsidRPr="00E66C26">
              <w:rPr>
                <w:rFonts w:ascii="Calibri" w:hAnsi="Calibri" w:cs="Calibri"/>
                <w:b/>
                <w:sz w:val="24"/>
                <w:szCs w:val="24"/>
              </w:rPr>
              <w:t>Forma de Subscrição e Integralização</w:t>
            </w:r>
          </w:p>
        </w:tc>
        <w:tc>
          <w:tcPr>
            <w:tcW w:w="5670" w:type="dxa"/>
          </w:tcPr>
          <w:p w14:paraId="5C9BADC4" w14:textId="069C299F" w:rsidR="00F94F49" w:rsidRPr="00E66C26" w:rsidRDefault="00FD3BEC" w:rsidP="0029198E">
            <w:pPr>
              <w:pStyle w:val="Body"/>
              <w:rPr>
                <w:rFonts w:ascii="Calibri" w:hAnsi="Calibri" w:cs="Calibri"/>
                <w:sz w:val="24"/>
              </w:rPr>
            </w:pPr>
            <w:r w:rsidRPr="00E66C26">
              <w:rPr>
                <w:rFonts w:ascii="Calibri" w:hAnsi="Calibri" w:cs="Calibri"/>
                <w:sz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tc>
      </w:tr>
      <w:tr w:rsidR="00F94F49" w:rsidRPr="00E66C26" w14:paraId="077869E0" w14:textId="77777777" w:rsidTr="00F729A2">
        <w:trPr>
          <w:jc w:val="center"/>
        </w:trPr>
        <w:tc>
          <w:tcPr>
            <w:tcW w:w="2552" w:type="dxa"/>
          </w:tcPr>
          <w:p w14:paraId="775BAFD1" w14:textId="5BACA815" w:rsidR="00F94F49" w:rsidRPr="00E66C26" w:rsidRDefault="00622AB9" w:rsidP="00074F30">
            <w:pPr>
              <w:pStyle w:val="Level2"/>
              <w:jc w:val="left"/>
              <w:outlineLvl w:val="1"/>
              <w:rPr>
                <w:rFonts w:ascii="Calibri" w:hAnsi="Calibri" w:cs="Calibri"/>
                <w:b/>
                <w:sz w:val="24"/>
                <w:szCs w:val="24"/>
              </w:rPr>
            </w:pPr>
            <w:r w:rsidRPr="00E66C26">
              <w:rPr>
                <w:rFonts w:ascii="Calibri" w:hAnsi="Calibri" w:cs="Calibri"/>
                <w:b/>
                <w:sz w:val="24"/>
                <w:szCs w:val="24"/>
              </w:rPr>
              <w:t>Comprovação de Titularidade das Debêntures</w:t>
            </w:r>
          </w:p>
        </w:tc>
        <w:tc>
          <w:tcPr>
            <w:tcW w:w="5670" w:type="dxa"/>
          </w:tcPr>
          <w:p w14:paraId="1374EB6D" w14:textId="23399C49" w:rsidR="00F94F49" w:rsidRPr="00E66C26" w:rsidRDefault="00622AB9" w:rsidP="00B9692F">
            <w:pPr>
              <w:pStyle w:val="Level3"/>
              <w:outlineLvl w:val="2"/>
              <w:rPr>
                <w:rFonts w:ascii="Calibri" w:hAnsi="Calibri" w:cs="Calibri"/>
                <w:sz w:val="24"/>
                <w:szCs w:val="24"/>
              </w:rPr>
            </w:pPr>
            <w:r w:rsidRPr="00E66C26">
              <w:rPr>
                <w:rFonts w:ascii="Calibri" w:hAnsi="Calibri" w:cs="Calibri"/>
                <w:sz w:val="24"/>
                <w:szCs w:val="24"/>
              </w:rPr>
              <w:t xml:space="preserve">Para todos os fins de direito, a titularidade das Debêntures será comprovada pelo extrato de conta de depósito emitido pelo </w:t>
            </w:r>
            <w:proofErr w:type="spellStart"/>
            <w:r w:rsidRPr="00E66C26">
              <w:rPr>
                <w:rFonts w:ascii="Calibri" w:hAnsi="Calibri" w:cs="Calibri"/>
                <w:sz w:val="24"/>
                <w:szCs w:val="24"/>
              </w:rPr>
              <w:t>Escriturador</w:t>
            </w:r>
            <w:proofErr w:type="spellEnd"/>
            <w:r w:rsidRPr="00E66C26">
              <w:rPr>
                <w:rFonts w:ascii="Calibri" w:hAnsi="Calibri" w:cs="Calibri"/>
                <w:sz w:val="24"/>
                <w:szCs w:val="24"/>
              </w:rPr>
              <w:t xml:space="preserve"> e, adicionalmente, com relação às Debêntures que estiverem custodiadas eletronicamente na B3, conforme o caso, será expedido </w:t>
            </w:r>
            <w:r w:rsidRPr="00E66C26">
              <w:rPr>
                <w:rFonts w:ascii="Calibri" w:hAnsi="Calibri" w:cs="Calibri"/>
                <w:sz w:val="24"/>
                <w:szCs w:val="24"/>
              </w:rPr>
              <w:lastRenderedPageBreak/>
              <w:t>por esta extrato em nome do Debenturista, que servirá de comprovante de titularidade de tais Debêntures.</w:t>
            </w:r>
          </w:p>
        </w:tc>
      </w:tr>
      <w:tr w:rsidR="00F94F49" w:rsidRPr="00E66C26" w14:paraId="1E751C11" w14:textId="77777777" w:rsidTr="00F729A2">
        <w:trPr>
          <w:jc w:val="center"/>
        </w:trPr>
        <w:tc>
          <w:tcPr>
            <w:tcW w:w="2552" w:type="dxa"/>
          </w:tcPr>
          <w:p w14:paraId="31826F79" w14:textId="772E7A13" w:rsidR="00F94F49" w:rsidRPr="00E66C26" w:rsidRDefault="00622AB9" w:rsidP="0029198E">
            <w:pPr>
              <w:pStyle w:val="Body"/>
              <w:jc w:val="left"/>
              <w:rPr>
                <w:rFonts w:ascii="Calibri" w:hAnsi="Calibri" w:cs="Calibri"/>
                <w:b/>
                <w:sz w:val="24"/>
              </w:rPr>
            </w:pPr>
            <w:r w:rsidRPr="00E66C26">
              <w:rPr>
                <w:rFonts w:ascii="Calibri" w:hAnsi="Calibri" w:cs="Calibri"/>
                <w:b/>
                <w:sz w:val="24"/>
              </w:rPr>
              <w:lastRenderedPageBreak/>
              <w:t>Imunidade Tributária dos Debenturistas</w:t>
            </w:r>
          </w:p>
        </w:tc>
        <w:tc>
          <w:tcPr>
            <w:tcW w:w="5670" w:type="dxa"/>
          </w:tcPr>
          <w:p w14:paraId="432C8B92" w14:textId="77D1E3CE" w:rsidR="00622AB9" w:rsidRPr="00E66C26" w:rsidRDefault="00A11881" w:rsidP="0029198E">
            <w:pPr>
              <w:pStyle w:val="Body"/>
              <w:rPr>
                <w:rFonts w:ascii="Calibri" w:hAnsi="Calibri" w:cs="Calibri"/>
                <w:sz w:val="24"/>
              </w:rPr>
            </w:pPr>
            <w:r w:rsidRPr="00E66C26">
              <w:rPr>
                <w:rFonts w:ascii="Calibri" w:hAnsi="Calibri" w:cs="Calibr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940C98" w:rsidRPr="00E66C26">
              <w:rPr>
                <w:rFonts w:ascii="Calibri" w:hAnsi="Calibri" w:cs="Calibri"/>
                <w:sz w:val="24"/>
                <w:u w:val="single"/>
              </w:rPr>
              <w:t>Agente de Liquidação</w:t>
            </w:r>
            <w:r w:rsidRPr="00E66C26">
              <w:rPr>
                <w:rFonts w:ascii="Calibri" w:hAnsi="Calibri" w:cs="Calibri"/>
                <w:sz w:val="24"/>
              </w:rPr>
              <w:t xml:space="preserve"> ou ao </w:t>
            </w:r>
            <w:proofErr w:type="spellStart"/>
            <w:r w:rsidRPr="00E66C26">
              <w:rPr>
                <w:rFonts w:ascii="Calibri" w:hAnsi="Calibri" w:cs="Calibri"/>
                <w:sz w:val="24"/>
              </w:rPr>
              <w:t>Escriturador</w:t>
            </w:r>
            <w:proofErr w:type="spellEnd"/>
            <w:r w:rsidRPr="00E66C26">
              <w:rPr>
                <w:rFonts w:ascii="Calibri" w:hAnsi="Calibri" w:cs="Calibri"/>
                <w:sz w:val="24"/>
              </w:rPr>
              <w:t xml:space="preserve">,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940C98" w:rsidRPr="00E66C26">
              <w:rPr>
                <w:rFonts w:ascii="Calibri" w:hAnsi="Calibri" w:cs="Calibri"/>
                <w:sz w:val="24"/>
              </w:rPr>
              <w:t>Agente de Liquidação</w:t>
            </w:r>
            <w:r w:rsidRPr="00E66C26">
              <w:rPr>
                <w:rFonts w:ascii="Calibri" w:hAnsi="Calibri" w:cs="Calibri"/>
                <w:sz w:val="24"/>
              </w:rPr>
              <w:t xml:space="preserve"> ou ao </w:t>
            </w:r>
            <w:proofErr w:type="spellStart"/>
            <w:r w:rsidRPr="00E66C26">
              <w:rPr>
                <w:rFonts w:ascii="Calibri" w:hAnsi="Calibri" w:cs="Calibri"/>
                <w:sz w:val="24"/>
              </w:rPr>
              <w:t>Escriturador</w:t>
            </w:r>
            <w:proofErr w:type="spellEnd"/>
            <w:r w:rsidRPr="00E66C26">
              <w:rPr>
                <w:rFonts w:ascii="Calibri" w:hAnsi="Calibri" w:cs="Calibri"/>
                <w:sz w:val="24"/>
              </w:rPr>
              <w:t>, conforme o caso, tal alteração no prazo de 2 (dois) Dias Úteis contados da data da formalização da referida alteração.</w:t>
            </w:r>
          </w:p>
          <w:p w14:paraId="0AA24D14" w14:textId="2214305A" w:rsidR="00A11881" w:rsidRPr="00E66C26" w:rsidRDefault="00A11881" w:rsidP="0029198E">
            <w:pPr>
              <w:pStyle w:val="Body"/>
              <w:rPr>
                <w:rFonts w:ascii="Calibri" w:hAnsi="Calibri" w:cs="Calibri"/>
                <w:sz w:val="24"/>
              </w:rPr>
            </w:pPr>
            <w:r w:rsidRPr="00E66C26">
              <w:rPr>
                <w:rFonts w:ascii="Calibri" w:hAnsi="Calibri" w:cs="Calibri"/>
                <w:sz w:val="24"/>
              </w:rPr>
              <w:t>Caso a Emissora destine os recursos obtidos com a Emissão de forma diversa da prevista na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p>
          <w:p w14:paraId="07A6A0D7" w14:textId="08863B6C" w:rsidR="00A11881" w:rsidRPr="00E66C26" w:rsidRDefault="00A11881" w:rsidP="0029198E">
            <w:pPr>
              <w:pStyle w:val="Body"/>
              <w:rPr>
                <w:rFonts w:ascii="Calibri" w:hAnsi="Calibri" w:cs="Calibri"/>
                <w:sz w:val="24"/>
              </w:rPr>
            </w:pPr>
            <w:r w:rsidRPr="00E66C26">
              <w:rPr>
                <w:rFonts w:ascii="Calibri" w:hAnsi="Calibri" w:cs="Calibri"/>
                <w:b/>
                <w:bCs/>
                <w:sz w:val="24"/>
              </w:rPr>
              <w:t xml:space="preserve">Para mais informações sobre o Tratamento Tributário, </w:t>
            </w:r>
            <w:r w:rsidRPr="001E5C3B">
              <w:rPr>
                <w:rFonts w:ascii="Calibri" w:hAnsi="Calibri" w:cs="Calibri"/>
                <w:b/>
                <w:bCs/>
                <w:sz w:val="24"/>
              </w:rPr>
              <w:t xml:space="preserve">consulte as Seções “Informações Relativas à Emissão, à Oferta e às Debêntures – Características </w:t>
            </w:r>
            <w:r w:rsidR="001E5C3B" w:rsidRPr="001E5C3B">
              <w:rPr>
                <w:rFonts w:ascii="Calibri" w:hAnsi="Calibri" w:cs="Calibri"/>
                <w:b/>
                <w:bCs/>
                <w:sz w:val="24"/>
              </w:rPr>
              <w:t>Gerais</w:t>
            </w:r>
            <w:r w:rsidRPr="001E5C3B">
              <w:rPr>
                <w:rFonts w:ascii="Calibri" w:hAnsi="Calibri" w:cs="Calibri"/>
                <w:b/>
                <w:bCs/>
                <w:sz w:val="24"/>
              </w:rPr>
              <w:t xml:space="preserve"> das Debêntures –</w:t>
            </w:r>
            <w:r w:rsidR="001E5C3B" w:rsidRPr="005E35B5">
              <w:rPr>
                <w:rFonts w:ascii="Calibri" w:hAnsi="Calibri"/>
                <w:b/>
                <w:sz w:val="24"/>
              </w:rPr>
              <w:t xml:space="preserve"> </w:t>
            </w:r>
            <w:r w:rsidRPr="005E35B5">
              <w:rPr>
                <w:rFonts w:ascii="Calibri" w:hAnsi="Calibri"/>
                <w:b/>
                <w:sz w:val="24"/>
              </w:rPr>
              <w:t>Imunidade Tributária dos Debenturistas</w:t>
            </w:r>
            <w:r w:rsidRPr="00E66C26">
              <w:rPr>
                <w:rFonts w:ascii="Calibri" w:hAnsi="Calibri" w:cs="Calibri"/>
                <w:b/>
                <w:bCs/>
                <w:sz w:val="24"/>
              </w:rPr>
              <w:t xml:space="preserve">” e </w:t>
            </w:r>
            <w:r w:rsidRPr="00E66C26">
              <w:rPr>
                <w:rFonts w:ascii="Calibri" w:hAnsi="Calibri" w:cs="Calibri"/>
                <w:b/>
                <w:bCs/>
                <w:sz w:val="24"/>
              </w:rPr>
              <w:lastRenderedPageBreak/>
              <w:t xml:space="preserve">“Fatores de Risco Relacionados à Oferta e às Debêntures – </w:t>
            </w:r>
            <w:r w:rsidRPr="00E66C26">
              <w:rPr>
                <w:rFonts w:ascii="Calibri" w:hAnsi="Calibri" w:cs="Calibri"/>
                <w:b/>
                <w:bCs/>
                <w:iCs/>
                <w:sz w:val="24"/>
                <w:lang w:eastAsia="pt-BR"/>
              </w:rPr>
              <w:t xml:space="preserve">As Debêntures podem deixar de satisfazer determinadas características que as enquadrem como debêntures com incentivo fiscal”, nas páginas </w:t>
            </w:r>
            <w:r w:rsidR="005E512E">
              <w:rPr>
                <w:rFonts w:ascii="Calibri" w:hAnsi="Calibri" w:cs="Calibri"/>
                <w:b/>
                <w:bCs/>
                <w:iCs/>
                <w:sz w:val="24"/>
                <w:lang w:eastAsia="pt-BR"/>
              </w:rPr>
              <w:t>86</w:t>
            </w:r>
            <w:r w:rsidRPr="00E66C26">
              <w:rPr>
                <w:rFonts w:ascii="Calibri" w:hAnsi="Calibri" w:cs="Calibri"/>
                <w:b/>
                <w:bCs/>
                <w:iCs/>
                <w:sz w:val="24"/>
                <w:lang w:eastAsia="pt-BR"/>
              </w:rPr>
              <w:t xml:space="preserve"> e </w:t>
            </w:r>
            <w:r w:rsidR="008D678B">
              <w:rPr>
                <w:rFonts w:ascii="Calibri" w:hAnsi="Calibri" w:cs="Calibri"/>
                <w:b/>
                <w:bCs/>
                <w:iCs/>
                <w:sz w:val="24"/>
                <w:lang w:eastAsia="pt-BR"/>
              </w:rPr>
              <w:t>12</w:t>
            </w:r>
            <w:r w:rsidR="00543A37">
              <w:rPr>
                <w:rFonts w:ascii="Calibri" w:hAnsi="Calibri" w:cs="Calibri"/>
                <w:b/>
                <w:bCs/>
                <w:iCs/>
                <w:sz w:val="24"/>
                <w:lang w:eastAsia="pt-BR"/>
              </w:rPr>
              <w:t>4</w:t>
            </w:r>
            <w:r w:rsidRPr="00E66C26">
              <w:rPr>
                <w:rFonts w:ascii="Calibri" w:hAnsi="Calibri" w:cs="Calibri"/>
                <w:b/>
                <w:bCs/>
                <w:iCs/>
                <w:sz w:val="24"/>
                <w:lang w:eastAsia="pt-BR"/>
              </w:rPr>
              <w:t xml:space="preserve"> do Prospecto Preliminar</w:t>
            </w:r>
            <w:r w:rsidRPr="00E66C26">
              <w:rPr>
                <w:rFonts w:ascii="Calibri" w:hAnsi="Calibri" w:cs="Calibri"/>
                <w:b/>
                <w:i/>
                <w:sz w:val="24"/>
                <w:lang w:eastAsia="pt-BR"/>
              </w:rPr>
              <w:t>.</w:t>
            </w:r>
            <w:r w:rsidRPr="00E66C26">
              <w:rPr>
                <w:rFonts w:ascii="Calibri" w:hAnsi="Calibri" w:cs="Calibri"/>
                <w:sz w:val="24"/>
              </w:rPr>
              <w:t xml:space="preserve"> </w:t>
            </w:r>
          </w:p>
        </w:tc>
      </w:tr>
      <w:tr w:rsidR="00F94F49" w:rsidRPr="00E66C26" w14:paraId="277696EA" w14:textId="77777777" w:rsidTr="00F729A2">
        <w:trPr>
          <w:jc w:val="center"/>
        </w:trPr>
        <w:tc>
          <w:tcPr>
            <w:tcW w:w="2552" w:type="dxa"/>
          </w:tcPr>
          <w:p w14:paraId="2115B6CA" w14:textId="64058701" w:rsidR="00F94F49" w:rsidRPr="00E66C26" w:rsidRDefault="00A11881" w:rsidP="0029198E">
            <w:pPr>
              <w:pStyle w:val="Body"/>
              <w:jc w:val="left"/>
              <w:rPr>
                <w:rFonts w:ascii="Calibri" w:hAnsi="Calibri" w:cs="Calibri"/>
                <w:b/>
                <w:sz w:val="24"/>
              </w:rPr>
            </w:pPr>
            <w:r w:rsidRPr="00E66C26">
              <w:rPr>
                <w:rFonts w:ascii="Calibri" w:hAnsi="Calibri" w:cs="Calibri"/>
                <w:b/>
                <w:sz w:val="24"/>
              </w:rPr>
              <w:lastRenderedPageBreak/>
              <w:t>Fundo de Amortização</w:t>
            </w:r>
          </w:p>
        </w:tc>
        <w:tc>
          <w:tcPr>
            <w:tcW w:w="5670" w:type="dxa"/>
          </w:tcPr>
          <w:p w14:paraId="59122086" w14:textId="6541C2A8" w:rsidR="00F94F49" w:rsidRPr="00E66C26" w:rsidRDefault="00A11881" w:rsidP="00B86C1A">
            <w:pPr>
              <w:pStyle w:val="Body"/>
              <w:rPr>
                <w:rFonts w:ascii="Calibri" w:hAnsi="Calibri" w:cs="Calibri"/>
                <w:sz w:val="24"/>
              </w:rPr>
            </w:pPr>
            <w:r w:rsidRPr="00E66C26">
              <w:rPr>
                <w:rFonts w:ascii="Calibri" w:hAnsi="Calibri" w:cs="Calibri"/>
                <w:sz w:val="24"/>
              </w:rPr>
              <w:t>Não será constituído fundo de amortização para a Emissão.</w:t>
            </w:r>
          </w:p>
        </w:tc>
      </w:tr>
      <w:tr w:rsidR="00F94F49" w:rsidRPr="00E66C26" w14:paraId="5FD802E8" w14:textId="77777777" w:rsidTr="00F729A2">
        <w:trPr>
          <w:jc w:val="center"/>
        </w:trPr>
        <w:tc>
          <w:tcPr>
            <w:tcW w:w="2552" w:type="dxa"/>
          </w:tcPr>
          <w:p w14:paraId="0B884782" w14:textId="41CBB952" w:rsidR="00F94F49" w:rsidRPr="00E66C26" w:rsidRDefault="00A11881" w:rsidP="0029198E">
            <w:pPr>
              <w:pStyle w:val="Body"/>
              <w:jc w:val="left"/>
              <w:rPr>
                <w:rFonts w:ascii="Calibri" w:hAnsi="Calibri" w:cs="Calibri"/>
                <w:b/>
                <w:sz w:val="24"/>
              </w:rPr>
            </w:pPr>
            <w:r w:rsidRPr="00E66C26">
              <w:rPr>
                <w:rFonts w:ascii="Calibri" w:hAnsi="Calibri" w:cs="Calibri"/>
                <w:b/>
                <w:sz w:val="24"/>
              </w:rPr>
              <w:t>Fundo de Liquidez e Estabilização</w:t>
            </w:r>
          </w:p>
        </w:tc>
        <w:tc>
          <w:tcPr>
            <w:tcW w:w="5670" w:type="dxa"/>
          </w:tcPr>
          <w:p w14:paraId="062BF80F" w14:textId="413228BB" w:rsidR="00F94F49" w:rsidRPr="00E66C26" w:rsidRDefault="00A11881" w:rsidP="0029198E">
            <w:pPr>
              <w:pStyle w:val="Body"/>
              <w:rPr>
                <w:rFonts w:ascii="Calibri" w:hAnsi="Calibri" w:cs="Calibri"/>
                <w:sz w:val="24"/>
              </w:rPr>
            </w:pPr>
            <w:r w:rsidRPr="00E66C26">
              <w:rPr>
                <w:rFonts w:ascii="Calibri" w:eastAsia="Calibri" w:hAnsi="Calibri" w:cs="Calibri"/>
                <w:sz w:val="24"/>
              </w:rPr>
              <w:t>Não foi constituído fundo de manutenção de liquidez par</w:t>
            </w:r>
            <w:r w:rsidR="008065FA" w:rsidRPr="00E66C26">
              <w:rPr>
                <w:rFonts w:ascii="Calibri" w:eastAsia="Calibri" w:hAnsi="Calibri" w:cs="Calibri"/>
                <w:sz w:val="24"/>
              </w:rPr>
              <w:t>a</w:t>
            </w:r>
            <w:r w:rsidRPr="00E66C26">
              <w:rPr>
                <w:rFonts w:ascii="Calibri" w:eastAsia="Calibri" w:hAnsi="Calibri" w:cs="Calibri"/>
                <w:sz w:val="24"/>
              </w:rPr>
              <w:t xml:space="preserve"> as Debêntures.</w:t>
            </w:r>
          </w:p>
        </w:tc>
      </w:tr>
      <w:tr w:rsidR="00A11881" w:rsidRPr="00E66C26" w14:paraId="0B157D4E" w14:textId="77777777" w:rsidTr="00F729A2">
        <w:trPr>
          <w:jc w:val="center"/>
        </w:trPr>
        <w:tc>
          <w:tcPr>
            <w:tcW w:w="2552" w:type="dxa"/>
          </w:tcPr>
          <w:p w14:paraId="234BA624" w14:textId="14F0D932" w:rsidR="00A11881" w:rsidRPr="00E66C26" w:rsidRDefault="00A11881" w:rsidP="0029198E">
            <w:pPr>
              <w:pStyle w:val="Body"/>
              <w:jc w:val="left"/>
              <w:rPr>
                <w:rFonts w:ascii="Calibri" w:hAnsi="Calibri" w:cs="Calibri"/>
                <w:b/>
                <w:sz w:val="24"/>
              </w:rPr>
            </w:pPr>
            <w:r w:rsidRPr="00E66C26">
              <w:rPr>
                <w:rFonts w:ascii="Calibri" w:hAnsi="Calibri" w:cs="Calibri"/>
                <w:b/>
                <w:sz w:val="24"/>
              </w:rPr>
              <w:t>Direito de Preferência</w:t>
            </w:r>
          </w:p>
        </w:tc>
        <w:tc>
          <w:tcPr>
            <w:tcW w:w="5670" w:type="dxa"/>
          </w:tcPr>
          <w:p w14:paraId="28316C53" w14:textId="74AB8C79" w:rsidR="00A11881" w:rsidRPr="00E66C26" w:rsidRDefault="00A11881" w:rsidP="0029198E">
            <w:pPr>
              <w:pStyle w:val="Body"/>
              <w:rPr>
                <w:rFonts w:ascii="Calibri" w:eastAsia="Calibri" w:hAnsi="Calibri" w:cs="Calibri"/>
                <w:sz w:val="24"/>
              </w:rPr>
            </w:pPr>
            <w:r w:rsidRPr="00E66C26">
              <w:rPr>
                <w:rFonts w:ascii="Calibri" w:eastAsia="Calibri" w:hAnsi="Calibri" w:cs="Calibri"/>
                <w:sz w:val="24"/>
              </w:rPr>
              <w:t>Não haverá direito de preferência para subscrição das Debêntures pelos atuais acionistas da Emissora.</w:t>
            </w:r>
          </w:p>
        </w:tc>
      </w:tr>
      <w:tr w:rsidR="00A11881" w:rsidRPr="00E66C26" w14:paraId="767922C5" w14:textId="77777777" w:rsidTr="00F729A2">
        <w:trPr>
          <w:jc w:val="center"/>
        </w:trPr>
        <w:tc>
          <w:tcPr>
            <w:tcW w:w="2552" w:type="dxa"/>
          </w:tcPr>
          <w:p w14:paraId="70750E6D" w14:textId="77A5157C" w:rsidR="00A11881" w:rsidRPr="00E66C26" w:rsidRDefault="00A11881" w:rsidP="0029198E">
            <w:pPr>
              <w:pStyle w:val="Body"/>
              <w:jc w:val="left"/>
              <w:rPr>
                <w:rFonts w:ascii="Calibri" w:hAnsi="Calibri" w:cs="Calibri"/>
                <w:b/>
                <w:sz w:val="24"/>
              </w:rPr>
            </w:pPr>
            <w:r w:rsidRPr="00E66C26">
              <w:rPr>
                <w:rFonts w:ascii="Calibri" w:hAnsi="Calibri" w:cs="Calibri"/>
                <w:b/>
                <w:sz w:val="24"/>
              </w:rPr>
              <w:t>Classificação de Risco</w:t>
            </w:r>
          </w:p>
        </w:tc>
        <w:tc>
          <w:tcPr>
            <w:tcW w:w="5670" w:type="dxa"/>
          </w:tcPr>
          <w:p w14:paraId="55B75D0A" w14:textId="20A8AB09" w:rsidR="00A11881" w:rsidRPr="00E66C26" w:rsidRDefault="00A11881" w:rsidP="0029198E">
            <w:pPr>
              <w:pStyle w:val="Body"/>
              <w:rPr>
                <w:rFonts w:ascii="Calibri" w:eastAsia="Calibri" w:hAnsi="Calibri" w:cs="Calibri"/>
                <w:sz w:val="24"/>
              </w:rPr>
            </w:pPr>
            <w:r w:rsidRPr="00E66C26">
              <w:rPr>
                <w:rFonts w:ascii="Calibri" w:eastAsia="Calibri" w:hAnsi="Calibri" w:cs="Calibri"/>
                <w:sz w:val="24"/>
              </w:rPr>
              <w:t xml:space="preserve">Foi contratada como agência de classificação de risco das Debêntures a </w:t>
            </w:r>
            <w:r w:rsidR="005F199D" w:rsidRPr="00E66C26">
              <w:rPr>
                <w:rFonts w:ascii="Calibri" w:eastAsia="Calibri" w:hAnsi="Calibri" w:cs="Calibri"/>
                <w:sz w:val="24"/>
              </w:rPr>
              <w:t xml:space="preserve">Standard &amp; </w:t>
            </w:r>
            <w:proofErr w:type="spellStart"/>
            <w:r w:rsidR="005F199D" w:rsidRPr="00E66C26">
              <w:rPr>
                <w:rFonts w:ascii="Calibri" w:eastAsia="Calibri" w:hAnsi="Calibri" w:cs="Calibri"/>
                <w:sz w:val="24"/>
              </w:rPr>
              <w:t>Poor’s</w:t>
            </w:r>
            <w:proofErr w:type="spellEnd"/>
            <w:r w:rsidR="005F199D" w:rsidRPr="00E66C26">
              <w:rPr>
                <w:rFonts w:ascii="Calibri" w:eastAsia="Calibri" w:hAnsi="Calibri" w:cs="Calibri"/>
                <w:sz w:val="24"/>
              </w:rPr>
              <w:t xml:space="preserve"> Ratings do Brasil Ltda. </w:t>
            </w:r>
            <w:r w:rsidRPr="00E66C26">
              <w:rPr>
                <w:rFonts w:ascii="Calibri" w:eastAsia="Calibri" w:hAnsi="Calibri" w:cs="Calibri"/>
                <w:sz w:val="24"/>
              </w:rPr>
              <w:t>(“</w:t>
            </w:r>
            <w:r w:rsidRPr="00E66C26">
              <w:rPr>
                <w:rFonts w:ascii="Calibri" w:eastAsia="Calibri" w:hAnsi="Calibri" w:cs="Calibri"/>
                <w:sz w:val="24"/>
                <w:u w:val="single"/>
              </w:rPr>
              <w:t>Agência de Classificação de Risco</w:t>
            </w:r>
            <w:r w:rsidRPr="00E66C26">
              <w:rPr>
                <w:rFonts w:ascii="Calibri" w:eastAsia="Calibri" w:hAnsi="Calibri" w:cs="Calibri"/>
                <w:sz w:val="24"/>
              </w:rPr>
              <w:t>”). Durante o prazo de vigência das Debêntures, a Emissora deverá manter contratada a Agência de Classificação de Risco para a atualização da classificação de risco (</w:t>
            </w:r>
            <w:r w:rsidRPr="00E66C26">
              <w:rPr>
                <w:rFonts w:ascii="Calibri" w:eastAsia="Calibri" w:hAnsi="Calibri" w:cs="Calibri"/>
                <w:i/>
                <w:iCs/>
                <w:sz w:val="24"/>
              </w:rPr>
              <w:t>rating</w:t>
            </w:r>
            <w:r w:rsidRPr="00E66C26">
              <w:rPr>
                <w:rFonts w:ascii="Calibri" w:eastAsia="Calibri" w:hAnsi="Calibri" w:cs="Calibri"/>
                <w:sz w:val="24"/>
              </w:rPr>
              <w:t xml:space="preserve">)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sidRPr="00E66C26">
              <w:rPr>
                <w:rFonts w:ascii="Calibri" w:eastAsia="Calibri" w:hAnsi="Calibri" w:cs="Calibri"/>
                <w:sz w:val="24"/>
              </w:rPr>
              <w:t>Poor’s</w:t>
            </w:r>
            <w:proofErr w:type="spellEnd"/>
            <w:r w:rsidRPr="00E66C26">
              <w:rPr>
                <w:rFonts w:ascii="Calibri" w:eastAsia="Calibri" w:hAnsi="Calibri" w:cs="Calibri"/>
                <w:sz w:val="24"/>
              </w:rPr>
              <w:t xml:space="preserve"> Ratings do Brasil Ltda./Fitch Ratings Brasil Ltda/Moody’s América Latina Ltda.</w:t>
            </w:r>
          </w:p>
        </w:tc>
      </w:tr>
      <w:tr w:rsidR="00A11881" w:rsidRPr="00E66C26" w14:paraId="33953FCD" w14:textId="77777777" w:rsidTr="00F729A2">
        <w:trPr>
          <w:jc w:val="center"/>
        </w:trPr>
        <w:tc>
          <w:tcPr>
            <w:tcW w:w="2552" w:type="dxa"/>
          </w:tcPr>
          <w:p w14:paraId="56B53C20" w14:textId="18E6519C" w:rsidR="00A11881" w:rsidRPr="00E66C26" w:rsidRDefault="00A11881" w:rsidP="0029198E">
            <w:pPr>
              <w:pStyle w:val="Body"/>
              <w:jc w:val="left"/>
              <w:rPr>
                <w:rFonts w:ascii="Calibri" w:hAnsi="Calibri" w:cs="Calibri"/>
                <w:b/>
                <w:sz w:val="24"/>
              </w:rPr>
            </w:pPr>
            <w:r w:rsidRPr="00E66C26">
              <w:rPr>
                <w:rFonts w:ascii="Calibri" w:hAnsi="Calibri" w:cs="Calibri"/>
                <w:b/>
                <w:sz w:val="24"/>
              </w:rPr>
              <w:t>Amortização Extraordinária</w:t>
            </w:r>
          </w:p>
        </w:tc>
        <w:tc>
          <w:tcPr>
            <w:tcW w:w="5670" w:type="dxa"/>
          </w:tcPr>
          <w:p w14:paraId="01D06A93" w14:textId="1C3115CA" w:rsidR="00A11881" w:rsidRPr="00E66C26" w:rsidRDefault="00A11881" w:rsidP="0029198E">
            <w:pPr>
              <w:pStyle w:val="Body"/>
              <w:rPr>
                <w:rFonts w:ascii="Calibri" w:eastAsia="Calibri" w:hAnsi="Calibri" w:cs="Calibri"/>
                <w:sz w:val="24"/>
              </w:rPr>
            </w:pPr>
            <w:r w:rsidRPr="00E66C26">
              <w:rPr>
                <w:rFonts w:ascii="Calibri" w:eastAsia="Calibri" w:hAnsi="Calibri" w:cs="Calibri"/>
                <w:sz w:val="24"/>
              </w:rPr>
              <w:t>Não será admitida a realização de amortização extraordinária das Debêntures.</w:t>
            </w:r>
          </w:p>
        </w:tc>
      </w:tr>
      <w:tr w:rsidR="00A11881" w:rsidRPr="00E66C26" w14:paraId="62111F47" w14:textId="77777777" w:rsidTr="00F729A2">
        <w:trPr>
          <w:jc w:val="center"/>
        </w:trPr>
        <w:tc>
          <w:tcPr>
            <w:tcW w:w="2552" w:type="dxa"/>
          </w:tcPr>
          <w:p w14:paraId="1DFEE5F3" w14:textId="198DE781" w:rsidR="00A11881" w:rsidRPr="00E66C26" w:rsidRDefault="00A11881" w:rsidP="0029198E">
            <w:pPr>
              <w:pStyle w:val="Body"/>
              <w:jc w:val="left"/>
              <w:rPr>
                <w:rFonts w:ascii="Calibri" w:hAnsi="Calibri" w:cs="Calibri"/>
                <w:b/>
                <w:sz w:val="24"/>
              </w:rPr>
            </w:pPr>
            <w:r w:rsidRPr="00E66C26">
              <w:rPr>
                <w:rFonts w:ascii="Calibri" w:hAnsi="Calibri" w:cs="Calibri"/>
                <w:b/>
                <w:sz w:val="24"/>
              </w:rPr>
              <w:lastRenderedPageBreak/>
              <w:t>Resgate Antecipado Facultativo</w:t>
            </w:r>
          </w:p>
        </w:tc>
        <w:tc>
          <w:tcPr>
            <w:tcW w:w="5670" w:type="dxa"/>
          </w:tcPr>
          <w:p w14:paraId="56C86D2C" w14:textId="0559886A" w:rsidR="00A11881" w:rsidRPr="00E66C26" w:rsidRDefault="00A11881" w:rsidP="0029198E">
            <w:pPr>
              <w:pStyle w:val="Body"/>
              <w:rPr>
                <w:rFonts w:ascii="Calibri" w:eastAsia="Calibri" w:hAnsi="Calibri" w:cs="Calibri"/>
                <w:sz w:val="24"/>
              </w:rPr>
            </w:pPr>
            <w:r w:rsidRPr="00E66C26">
              <w:rPr>
                <w:rFonts w:ascii="Calibri" w:eastAsia="Calibri" w:hAnsi="Calibri" w:cs="Calibri"/>
                <w:sz w:val="24"/>
              </w:rPr>
              <w:t>Não será admitida a realização de resgate antecipado facultativo das Debêntures.</w:t>
            </w:r>
          </w:p>
        </w:tc>
      </w:tr>
      <w:tr w:rsidR="00A11881" w:rsidRPr="00E66C26" w14:paraId="465BD12A" w14:textId="77777777" w:rsidTr="00F729A2">
        <w:trPr>
          <w:jc w:val="center"/>
        </w:trPr>
        <w:tc>
          <w:tcPr>
            <w:tcW w:w="2552" w:type="dxa"/>
          </w:tcPr>
          <w:p w14:paraId="02CB27D1" w14:textId="7C07D4FC" w:rsidR="00A11881" w:rsidRPr="00E66C26" w:rsidRDefault="00A11881" w:rsidP="0029198E">
            <w:pPr>
              <w:pStyle w:val="Body"/>
              <w:jc w:val="left"/>
              <w:rPr>
                <w:rFonts w:ascii="Calibri" w:hAnsi="Calibri" w:cs="Calibri"/>
                <w:b/>
                <w:sz w:val="24"/>
              </w:rPr>
            </w:pPr>
            <w:r w:rsidRPr="00E66C26">
              <w:rPr>
                <w:rFonts w:ascii="Calibri" w:hAnsi="Calibri" w:cs="Calibri"/>
                <w:b/>
                <w:sz w:val="24"/>
              </w:rPr>
              <w:t>Oferta de Resgate Antecipado</w:t>
            </w:r>
          </w:p>
        </w:tc>
        <w:tc>
          <w:tcPr>
            <w:tcW w:w="5670" w:type="dxa"/>
          </w:tcPr>
          <w:p w14:paraId="1BE1E8FE" w14:textId="0484C3F4" w:rsidR="00A11881" w:rsidRPr="00E66C26" w:rsidRDefault="00E41EE3" w:rsidP="0029198E">
            <w:pPr>
              <w:pStyle w:val="Body"/>
              <w:rPr>
                <w:rFonts w:ascii="Calibri" w:eastAsia="Calibri" w:hAnsi="Calibri" w:cs="Calibri"/>
                <w:sz w:val="24"/>
              </w:rPr>
            </w:pPr>
            <w:r w:rsidRPr="00E41EE3">
              <w:rPr>
                <w:rFonts w:ascii="Calibri" w:eastAsia="Calibri" w:hAnsi="Calibri" w:cs="Calibri"/>
                <w:sz w:val="24"/>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Pr="00E41EE3">
              <w:rPr>
                <w:rFonts w:ascii="Calibri" w:eastAsia="Calibri" w:hAnsi="Calibri" w:cs="Calibri"/>
                <w:sz w:val="24"/>
                <w:u w:val="single"/>
              </w:rPr>
              <w:t>Oferta de Resgate Antecipado</w:t>
            </w:r>
            <w:r w:rsidRPr="00E41EE3">
              <w:rPr>
                <w:rFonts w:ascii="Calibri" w:eastAsia="Calibri" w:hAnsi="Calibri" w:cs="Calibri"/>
                <w:sz w:val="24"/>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DC3B85" w:rsidRPr="00DC3B85">
              <w:rPr>
                <w:rFonts w:ascii="Calibri" w:eastAsia="Calibri" w:hAnsi="Calibri" w:cs="Calibri"/>
                <w:sz w:val="24"/>
              </w:rPr>
              <w:t xml:space="preserve">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abranger a totalidade das Debêntures, em geral ou por Série, devendo ser endereçada a todos os Debenturistas, em geral ou por Série, sem distinção, assegurada a igualdade de condições a todos os Debenturistas, em geral ou por Série, para </w:t>
            </w:r>
            <w:r w:rsidR="00DC3B85" w:rsidRPr="00DC3B85">
              <w:rPr>
                <w:rFonts w:ascii="Calibri" w:eastAsia="Calibri" w:hAnsi="Calibri" w:cs="Calibri"/>
                <w:sz w:val="24"/>
              </w:rPr>
              <w:lastRenderedPageBreak/>
              <w:t>aceitar a Oferta de Resgate Antecipado Facultativo das Debêntures de que forem titulares, e será operacionalizada</w:t>
            </w:r>
            <w:r w:rsidR="00A11881" w:rsidRPr="00E66C26">
              <w:rPr>
                <w:rFonts w:ascii="Calibri" w:eastAsia="Calibri" w:hAnsi="Calibri" w:cs="Calibri"/>
                <w:sz w:val="24"/>
              </w:rPr>
              <w:t xml:space="preserve"> da forma descrita na Escritura de Emissão e no Prospecto. </w:t>
            </w:r>
          </w:p>
          <w:p w14:paraId="46C31DD2" w14:textId="6A45243C" w:rsidR="00A11881" w:rsidRPr="00E66C26" w:rsidRDefault="00A11881" w:rsidP="0029198E">
            <w:pPr>
              <w:pStyle w:val="Body"/>
              <w:rPr>
                <w:rFonts w:ascii="Calibri" w:eastAsia="Calibri" w:hAnsi="Calibri" w:cs="Calibri"/>
                <w:sz w:val="24"/>
              </w:rPr>
            </w:pPr>
            <w:r w:rsidRPr="00E66C26">
              <w:rPr>
                <w:rFonts w:ascii="Calibri" w:eastAsia="Calibri" w:hAnsi="Calibri" w:cs="Calibri"/>
                <w:b/>
                <w:bCs/>
                <w:sz w:val="24"/>
              </w:rPr>
              <w:t xml:space="preserve">Para mais informações sobre a Oferta de Resgate Antecipado Facultativo, consulte a cláusula 7.3 e seguintes da Escritura de Emissão, a Seção “Características da Emissão e das Debêntures – Oferta de Resgate Antecipado” e “Fatores de Risco Relacionados à Oferta e às Debêntures – </w:t>
            </w:r>
            <w:r w:rsidR="00DC3B85" w:rsidRPr="005E35B5">
              <w:rPr>
                <w:rFonts w:ascii="Calibri" w:eastAsia="Calibri" w:hAnsi="Calibri"/>
                <w:b/>
                <w:sz w:val="24"/>
              </w:rPr>
              <w:t>As Debêntures poderão ser objeto de Oferta de Resgate Antecipado</w:t>
            </w:r>
            <w:r w:rsidR="00DC3B85" w:rsidRPr="00DC3B85">
              <w:rPr>
                <w:rFonts w:ascii="Calibri" w:eastAsia="Calibri" w:hAnsi="Calibri" w:cs="Calibri"/>
                <w:b/>
                <w:bCs/>
                <w:sz w:val="24"/>
              </w:rPr>
              <w:t>,</w:t>
            </w:r>
            <w:r w:rsidR="00DC3B85" w:rsidRPr="005E35B5">
              <w:rPr>
                <w:rFonts w:ascii="Calibri" w:eastAsia="Calibri" w:hAnsi="Calibri"/>
                <w:b/>
                <w:sz w:val="24"/>
              </w:rPr>
              <w:t xml:space="preserve"> Aquisição Facultativa</w:t>
            </w:r>
            <w:r w:rsidR="00DC3B85" w:rsidRPr="00DC3B85">
              <w:rPr>
                <w:rFonts w:ascii="Calibri" w:eastAsia="Calibri" w:hAnsi="Calibri" w:cs="Calibri"/>
                <w:b/>
                <w:bCs/>
                <w:sz w:val="24"/>
              </w:rPr>
              <w:t xml:space="preserve"> e Resgate Obrigatório Total</w:t>
            </w:r>
            <w:r w:rsidR="00DC3B85" w:rsidRPr="005E35B5">
              <w:rPr>
                <w:rFonts w:ascii="Calibri" w:eastAsia="Calibri" w:hAnsi="Calibri"/>
                <w:b/>
                <w:sz w:val="24"/>
              </w:rPr>
              <w:t>, nos termos previstos na Escritura de Emissão, o que poderá impactar de maneira adversa na liquidez das Debêntures no mercado secundário</w:t>
            </w:r>
            <w:r w:rsidRPr="00E66C26">
              <w:rPr>
                <w:rFonts w:ascii="Calibri" w:eastAsia="Calibri" w:hAnsi="Calibri" w:cs="Calibri"/>
                <w:b/>
                <w:bCs/>
                <w:sz w:val="24"/>
              </w:rPr>
              <w:t xml:space="preserve">”, nas páginas </w:t>
            </w:r>
            <w:r w:rsidR="008D678B">
              <w:rPr>
                <w:rFonts w:ascii="Calibri" w:eastAsia="Calibri" w:hAnsi="Calibri" w:cs="Calibri"/>
                <w:b/>
                <w:bCs/>
                <w:sz w:val="24"/>
              </w:rPr>
              <w:t>8</w:t>
            </w:r>
            <w:r w:rsidR="00543A37">
              <w:rPr>
                <w:rFonts w:ascii="Calibri" w:eastAsia="Calibri" w:hAnsi="Calibri" w:cs="Calibri"/>
                <w:b/>
                <w:bCs/>
                <w:sz w:val="24"/>
              </w:rPr>
              <w:t>7</w:t>
            </w:r>
            <w:r w:rsidRPr="00E66C26">
              <w:rPr>
                <w:rFonts w:ascii="Calibri" w:eastAsia="Calibri" w:hAnsi="Calibri" w:cs="Calibri"/>
                <w:b/>
                <w:bCs/>
                <w:sz w:val="24"/>
              </w:rPr>
              <w:t xml:space="preserve"> e </w:t>
            </w:r>
            <w:r w:rsidR="00CE613F">
              <w:rPr>
                <w:rFonts w:ascii="Calibri" w:eastAsia="Calibri" w:hAnsi="Calibri" w:cs="Calibri"/>
                <w:b/>
                <w:bCs/>
                <w:sz w:val="24"/>
              </w:rPr>
              <w:t>130</w:t>
            </w:r>
            <w:r w:rsidRPr="00E66C26">
              <w:rPr>
                <w:rFonts w:ascii="Calibri" w:eastAsia="Calibri" w:hAnsi="Calibri" w:cs="Calibri"/>
                <w:b/>
                <w:bCs/>
                <w:sz w:val="24"/>
              </w:rPr>
              <w:t xml:space="preserve"> do Prospecto Preliminar</w:t>
            </w:r>
            <w:r w:rsidRPr="00E66C26">
              <w:rPr>
                <w:rFonts w:ascii="Calibri" w:eastAsia="Calibri" w:hAnsi="Calibri" w:cs="Calibri"/>
                <w:sz w:val="24"/>
              </w:rPr>
              <w:t>.</w:t>
            </w:r>
          </w:p>
        </w:tc>
      </w:tr>
      <w:tr w:rsidR="00A11881" w:rsidRPr="00E66C26" w14:paraId="77D7EBEF" w14:textId="77777777" w:rsidTr="00F729A2">
        <w:trPr>
          <w:jc w:val="center"/>
        </w:trPr>
        <w:tc>
          <w:tcPr>
            <w:tcW w:w="2552" w:type="dxa"/>
          </w:tcPr>
          <w:p w14:paraId="733ED81A" w14:textId="656C68C8" w:rsidR="00A11881" w:rsidRPr="00E66C26" w:rsidRDefault="00A11881" w:rsidP="0029198E">
            <w:pPr>
              <w:pStyle w:val="Body"/>
              <w:jc w:val="left"/>
              <w:rPr>
                <w:rFonts w:ascii="Calibri" w:hAnsi="Calibri" w:cs="Calibri"/>
                <w:b/>
                <w:sz w:val="24"/>
              </w:rPr>
            </w:pPr>
            <w:r w:rsidRPr="00E66C26">
              <w:rPr>
                <w:rFonts w:ascii="Calibri" w:hAnsi="Calibri" w:cs="Calibri"/>
                <w:b/>
                <w:sz w:val="24"/>
              </w:rPr>
              <w:lastRenderedPageBreak/>
              <w:t>Aquisição Facultativa</w:t>
            </w:r>
          </w:p>
        </w:tc>
        <w:tc>
          <w:tcPr>
            <w:tcW w:w="5670" w:type="dxa"/>
          </w:tcPr>
          <w:p w14:paraId="4D68BCB2" w14:textId="34842FAD" w:rsidR="00A11881" w:rsidRPr="00E66C26" w:rsidRDefault="00DD3D64" w:rsidP="0029198E">
            <w:pPr>
              <w:pStyle w:val="Body"/>
              <w:rPr>
                <w:rFonts w:ascii="Calibri" w:eastAsia="Calibri" w:hAnsi="Calibri" w:cs="Calibri"/>
                <w:sz w:val="24"/>
              </w:rPr>
            </w:pPr>
            <w:r w:rsidRPr="00E66C26">
              <w:rPr>
                <w:rFonts w:ascii="Calibri" w:eastAsia="Calibri" w:hAnsi="Calibri" w:cs="Calibri"/>
                <w:sz w:val="24"/>
              </w:rPr>
              <w:t>A Emissora e suas partes relacionadas poderão, a qualquer tempo a</w:t>
            </w:r>
            <w:r w:rsidR="00D636C3" w:rsidRPr="00E66C26">
              <w:rPr>
                <w:rFonts w:ascii="Calibri" w:eastAsia="Calibri" w:hAnsi="Calibri" w:cs="Calibri"/>
                <w:sz w:val="24"/>
              </w:rPr>
              <w:t>pós 24 meses da Data de Emissão,</w:t>
            </w:r>
            <w:r w:rsidRPr="00E66C26">
              <w:rPr>
                <w:rFonts w:ascii="Calibri" w:eastAsia="Calibri" w:hAnsi="Calibri" w:cs="Calibri"/>
                <w:sz w:val="24"/>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e observados ainda os termos da Instrução da CVM nº 620, de 17 de março de 2020, adquirir parte ou a totalidade das Debêntures, a seu critério,</w:t>
            </w:r>
            <w:r w:rsidR="005F199D" w:rsidRPr="00E66C26">
              <w:rPr>
                <w:rFonts w:ascii="Calibri" w:eastAsia="Calibri" w:hAnsi="Calibri" w:cs="Calibri"/>
                <w:sz w:val="24"/>
              </w:rPr>
              <w:t xml:space="preserve"> condicionado ao aceite do respectivo Debenturista vendedor e observado o disposto no artigo 55, parágrafo 3º, da Lei das Sociedades por Ações, desde que observado as eventuais regras expedidas pela CVM, devendo tal fato, se assim exigido pelas disposições legais e regulamentares aplicáveis, constar do relatório da administração e das </w:t>
            </w:r>
            <w:r w:rsidR="005F199D" w:rsidRPr="00E66C26">
              <w:rPr>
                <w:rFonts w:ascii="Calibri" w:eastAsia="Calibri" w:hAnsi="Calibri" w:cs="Calibri"/>
                <w:sz w:val="24"/>
              </w:rPr>
              <w:lastRenderedPageBreak/>
              <w:t>Demonstrações Financeiras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se e quando recolocadas no mercado, farão jus à mesma Remuneração aplicável às demais Debêntures.</w:t>
            </w:r>
          </w:p>
          <w:p w14:paraId="4CF54153" w14:textId="0DEEB7ED" w:rsidR="000C1F5A" w:rsidRPr="00E66C26" w:rsidRDefault="000C1F5A" w:rsidP="0029198E">
            <w:pPr>
              <w:pStyle w:val="Body"/>
              <w:rPr>
                <w:rFonts w:ascii="Calibri" w:eastAsia="Calibri" w:hAnsi="Calibri" w:cs="Calibri"/>
                <w:sz w:val="24"/>
              </w:rPr>
            </w:pPr>
            <w:r w:rsidRPr="00E66C26">
              <w:rPr>
                <w:rFonts w:ascii="Calibri" w:eastAsia="Calibri" w:hAnsi="Calibri" w:cs="Calibri"/>
                <w:b/>
                <w:bCs/>
                <w:sz w:val="24"/>
              </w:rPr>
              <w:t xml:space="preserve">Para mais informações sobre a Aquisição Facultativa, consulte a cláusula 7.4 e seguintes da Escritura de Emissão, a Seção “Características da Emissão e das Debêntures – </w:t>
            </w:r>
            <w:r w:rsidR="00DD3D64" w:rsidRPr="00E66C26">
              <w:rPr>
                <w:rFonts w:ascii="Calibri" w:eastAsia="Calibri" w:hAnsi="Calibri" w:cs="Calibri"/>
                <w:b/>
                <w:bCs/>
                <w:sz w:val="24"/>
              </w:rPr>
              <w:t>Aquisição Facultativa</w:t>
            </w:r>
            <w:r w:rsidRPr="00E66C26">
              <w:rPr>
                <w:rFonts w:ascii="Calibri" w:eastAsia="Calibri" w:hAnsi="Calibri" w:cs="Calibri"/>
                <w:b/>
                <w:bCs/>
                <w:sz w:val="24"/>
              </w:rPr>
              <w:t xml:space="preserve">” e “Fatores de Risco Relacionados à Oferta e às Debêntures – </w:t>
            </w:r>
            <w:r w:rsidR="00DC3B85" w:rsidRPr="005E35B5">
              <w:rPr>
                <w:rFonts w:ascii="Calibri" w:eastAsia="Calibri" w:hAnsi="Calibri"/>
                <w:b/>
                <w:sz w:val="24"/>
              </w:rPr>
              <w:t>As Debêntures poderão ser objeto de Oferta de Resgate Antecipado</w:t>
            </w:r>
            <w:r w:rsidR="00DC3B85" w:rsidRPr="00DC3B85">
              <w:rPr>
                <w:rFonts w:ascii="Calibri" w:eastAsia="Calibri" w:hAnsi="Calibri" w:cs="Calibri"/>
                <w:b/>
                <w:bCs/>
                <w:sz w:val="24"/>
              </w:rPr>
              <w:t>,</w:t>
            </w:r>
            <w:r w:rsidR="00DC3B85" w:rsidRPr="005E35B5">
              <w:rPr>
                <w:rFonts w:ascii="Calibri" w:eastAsia="Calibri" w:hAnsi="Calibri"/>
                <w:b/>
                <w:sz w:val="24"/>
              </w:rPr>
              <w:t xml:space="preserve"> Aquisição Facultativa</w:t>
            </w:r>
            <w:r w:rsidR="00DC3B85" w:rsidRPr="00DC3B85">
              <w:rPr>
                <w:rFonts w:ascii="Calibri" w:eastAsia="Calibri" w:hAnsi="Calibri" w:cs="Calibri"/>
                <w:b/>
                <w:bCs/>
                <w:sz w:val="24"/>
              </w:rPr>
              <w:t xml:space="preserve"> e Resgate Obrigatório Total</w:t>
            </w:r>
            <w:r w:rsidR="00DC3B85" w:rsidRPr="005E35B5">
              <w:rPr>
                <w:rFonts w:ascii="Calibri" w:eastAsia="Calibri" w:hAnsi="Calibri"/>
                <w:b/>
                <w:sz w:val="24"/>
              </w:rPr>
              <w:t>, nos termos previstos na Escritura de Emissão, o que poderá impactar de maneira adversa na liquidez das Debêntures no mercado secundário</w:t>
            </w:r>
            <w:r w:rsidRPr="00E66C26">
              <w:rPr>
                <w:rFonts w:ascii="Calibri" w:eastAsia="Calibri" w:hAnsi="Calibri" w:cs="Calibri"/>
                <w:b/>
                <w:bCs/>
                <w:sz w:val="24"/>
              </w:rPr>
              <w:t xml:space="preserve">”, nas páginas </w:t>
            </w:r>
            <w:r w:rsidR="008D678B">
              <w:rPr>
                <w:rFonts w:ascii="Calibri" w:eastAsia="Calibri" w:hAnsi="Calibri" w:cs="Calibri"/>
                <w:b/>
                <w:bCs/>
                <w:sz w:val="24"/>
              </w:rPr>
              <w:t>89</w:t>
            </w:r>
            <w:r w:rsidRPr="00E66C26">
              <w:rPr>
                <w:rFonts w:ascii="Calibri" w:eastAsia="Calibri" w:hAnsi="Calibri" w:cs="Calibri"/>
                <w:b/>
                <w:bCs/>
                <w:sz w:val="24"/>
              </w:rPr>
              <w:t xml:space="preserve"> e </w:t>
            </w:r>
            <w:r w:rsidR="00CE613F">
              <w:rPr>
                <w:rFonts w:ascii="Calibri" w:eastAsia="Calibri" w:hAnsi="Calibri" w:cs="Calibri"/>
                <w:b/>
                <w:bCs/>
                <w:sz w:val="24"/>
              </w:rPr>
              <w:t>130</w:t>
            </w:r>
            <w:r w:rsidRPr="00E66C26">
              <w:rPr>
                <w:rFonts w:ascii="Calibri" w:eastAsia="Calibri" w:hAnsi="Calibri" w:cs="Calibri"/>
                <w:b/>
                <w:bCs/>
                <w:sz w:val="24"/>
              </w:rPr>
              <w:t xml:space="preserve"> do Prospecto Preliminar.</w:t>
            </w:r>
          </w:p>
        </w:tc>
      </w:tr>
      <w:tr w:rsidR="000C1F5A" w:rsidRPr="00E66C26" w14:paraId="18B88FA6" w14:textId="77777777" w:rsidTr="00F729A2">
        <w:trPr>
          <w:jc w:val="center"/>
        </w:trPr>
        <w:tc>
          <w:tcPr>
            <w:tcW w:w="2552" w:type="dxa"/>
          </w:tcPr>
          <w:p w14:paraId="420D929A" w14:textId="7D591800" w:rsidR="000C1F5A" w:rsidRPr="00E66C26" w:rsidRDefault="000C1F5A" w:rsidP="0029198E">
            <w:pPr>
              <w:pStyle w:val="Body"/>
              <w:jc w:val="left"/>
              <w:rPr>
                <w:rFonts w:ascii="Calibri" w:hAnsi="Calibri" w:cs="Calibri"/>
                <w:b/>
                <w:sz w:val="24"/>
              </w:rPr>
            </w:pPr>
            <w:r w:rsidRPr="00E66C26">
              <w:rPr>
                <w:rFonts w:ascii="Calibri" w:hAnsi="Calibri" w:cs="Calibri"/>
                <w:b/>
                <w:sz w:val="24"/>
              </w:rPr>
              <w:lastRenderedPageBreak/>
              <w:t>Resgate Obrigatório Total</w:t>
            </w:r>
          </w:p>
        </w:tc>
        <w:tc>
          <w:tcPr>
            <w:tcW w:w="5670" w:type="dxa"/>
          </w:tcPr>
          <w:p w14:paraId="69532D10" w14:textId="7EF62A1B" w:rsidR="000C1F5A" w:rsidRPr="00E66C26" w:rsidRDefault="00136667" w:rsidP="0029198E">
            <w:pPr>
              <w:pStyle w:val="Body"/>
              <w:rPr>
                <w:rFonts w:ascii="Calibri" w:eastAsia="Calibri" w:hAnsi="Calibri" w:cs="Calibri"/>
                <w:sz w:val="24"/>
              </w:rPr>
            </w:pPr>
            <w:r w:rsidRPr="00E66C26">
              <w:rPr>
                <w:rFonts w:ascii="Calibri" w:eastAsia="Calibri" w:hAnsi="Calibri" w:cs="Calibri"/>
                <w:sz w:val="24"/>
              </w:rPr>
              <w:t>Ocorrid</w:t>
            </w:r>
            <w:r w:rsidR="00E41EE3">
              <w:rPr>
                <w:rFonts w:ascii="Calibri" w:eastAsia="Calibri" w:hAnsi="Calibri" w:cs="Calibri"/>
                <w:sz w:val="24"/>
              </w:rPr>
              <w:t>o</w:t>
            </w:r>
            <w:r w:rsidR="000C1F5A" w:rsidRPr="00E66C26">
              <w:rPr>
                <w:rFonts w:ascii="Calibri" w:eastAsia="Calibri" w:hAnsi="Calibri" w:cs="Calibri"/>
                <w:sz w:val="24"/>
              </w:rPr>
              <w:t xml:space="preserve"> </w:t>
            </w:r>
            <w:r w:rsidR="00DD3D64" w:rsidRPr="00E66C26">
              <w:rPr>
                <w:rFonts w:ascii="Calibri" w:eastAsia="Calibri" w:hAnsi="Calibri" w:cs="Calibri"/>
                <w:sz w:val="24"/>
              </w:rPr>
              <w:t>o evento previsto na Cláusula 6.9.4 da Escritura de Emissão</w:t>
            </w:r>
            <w:r w:rsidR="000C1F5A" w:rsidRPr="00E66C26">
              <w:rPr>
                <w:rFonts w:ascii="Calibri" w:eastAsia="Calibri" w:hAnsi="Calibri" w:cs="Calibri"/>
                <w:sz w:val="24"/>
              </w:rPr>
              <w:t>, e desde que transcorrido o prazo médio ponderado mínimo de 4 (quatro) anos, considerando os pagamentos transcorridos entre a Data de Emissão e a data do efetivo resgate antecipado, nos termos do inciso I, do artigo 1º, da Resolução CMN 4.751 e calculado nos termos da Resolução do CMN nº 3.947, de 27 de janeiro de 2011 ("</w:t>
            </w:r>
            <w:r w:rsidR="000C1F5A" w:rsidRPr="00E66C26">
              <w:rPr>
                <w:rFonts w:ascii="Calibri" w:eastAsia="Calibri" w:hAnsi="Calibri" w:cs="Calibri"/>
                <w:sz w:val="24"/>
                <w:u w:val="single"/>
              </w:rPr>
              <w:t>Resolução CMN 3.947</w:t>
            </w:r>
            <w:r w:rsidR="000C1F5A" w:rsidRPr="00E66C26">
              <w:rPr>
                <w:rFonts w:ascii="Calibri" w:eastAsia="Calibri" w:hAnsi="Calibri" w:cs="Calibri"/>
                <w:sz w:val="24"/>
              </w:rPr>
              <w:t>"), a Emissora estará obrigada a realizar o resgate antecipado da totalidade das Debêntures, observado o procedimento descrito na Escritura de Emissão ("</w:t>
            </w:r>
            <w:r w:rsidR="000C1F5A" w:rsidRPr="00E66C26">
              <w:rPr>
                <w:rFonts w:ascii="Calibri" w:eastAsia="Calibri" w:hAnsi="Calibri" w:cs="Calibri"/>
                <w:sz w:val="24"/>
                <w:u w:val="single"/>
              </w:rPr>
              <w:t>Resgate Obrigatório</w:t>
            </w:r>
            <w:r w:rsidR="000C1F5A" w:rsidRPr="00E66C26">
              <w:rPr>
                <w:rFonts w:ascii="Calibri" w:eastAsia="Calibri" w:hAnsi="Calibri" w:cs="Calibri"/>
                <w:sz w:val="24"/>
              </w:rPr>
              <w:t>").</w:t>
            </w:r>
          </w:p>
          <w:p w14:paraId="454C8EF5" w14:textId="77777777" w:rsidR="000C1F5A" w:rsidRPr="00E66C26" w:rsidRDefault="000C1F5A" w:rsidP="0029198E">
            <w:pPr>
              <w:pStyle w:val="Body"/>
              <w:rPr>
                <w:rFonts w:ascii="Calibri" w:eastAsia="Calibri" w:hAnsi="Calibri" w:cs="Calibri"/>
                <w:sz w:val="24"/>
              </w:rPr>
            </w:pPr>
            <w:r w:rsidRPr="00E66C26">
              <w:rPr>
                <w:rFonts w:ascii="Calibri" w:eastAsia="Calibri" w:hAnsi="Calibri" w:cs="Calibri"/>
                <w:sz w:val="24"/>
              </w:rPr>
              <w:lastRenderedPageBreak/>
              <w:t>O Resgate Obrigatório poderá ser realizado apenas em períodos de, no mínimo, 180 (cento e oitenta) dias contados do primeiro Dia Útil após ser alcançado prazo médio ponderado mínimo de 4 (quatro) anos entre a Data de Emissão e a data do efetivo Resgate Obrigatório ("</w:t>
            </w:r>
            <w:r w:rsidRPr="00E66C26">
              <w:rPr>
                <w:rFonts w:ascii="Calibri" w:eastAsia="Calibri" w:hAnsi="Calibri" w:cs="Calibri"/>
                <w:sz w:val="24"/>
                <w:u w:val="single"/>
              </w:rPr>
              <w:t>Data de Resgate</w:t>
            </w:r>
            <w:r w:rsidRPr="00E66C26">
              <w:rPr>
                <w:rFonts w:ascii="Calibri" w:eastAsia="Calibri" w:hAnsi="Calibri" w:cs="Calibri"/>
                <w:sz w:val="24"/>
              </w:rPr>
              <w:t>"), calculado nos termos da Resolução CMN 3.947, sendo certo que a Emissora deverá realizar o Resgate Obrigatório na Data de Resgate subsequente à verificação da aquisição facultativa.</w:t>
            </w:r>
          </w:p>
          <w:p w14:paraId="1DBDE2F5" w14:textId="59A18B5A" w:rsidR="000C1F5A" w:rsidRPr="00E66C26" w:rsidRDefault="000C1F5A" w:rsidP="0029198E">
            <w:pPr>
              <w:pStyle w:val="Body"/>
              <w:rPr>
                <w:rFonts w:ascii="Calibri" w:eastAsia="Calibri" w:hAnsi="Calibri" w:cs="Calibri"/>
                <w:sz w:val="24"/>
              </w:rPr>
            </w:pPr>
            <w:r w:rsidRPr="00E66C26">
              <w:rPr>
                <w:rFonts w:ascii="Calibri" w:eastAsia="Calibri" w:hAnsi="Calibri" w:cs="Calibri"/>
                <w:b/>
                <w:bCs/>
                <w:sz w:val="24"/>
              </w:rPr>
              <w:t xml:space="preserve">Para mais informações sobre </w:t>
            </w:r>
            <w:r w:rsidR="00DD3D64" w:rsidRPr="00E66C26">
              <w:rPr>
                <w:rFonts w:ascii="Calibri" w:eastAsia="Calibri" w:hAnsi="Calibri" w:cs="Calibri"/>
                <w:b/>
                <w:bCs/>
                <w:sz w:val="24"/>
              </w:rPr>
              <w:t>o Resgate Obrigatório</w:t>
            </w:r>
            <w:r w:rsidR="001E5C3B">
              <w:rPr>
                <w:rFonts w:ascii="Calibri" w:eastAsia="Calibri" w:hAnsi="Calibri" w:cs="Calibri"/>
                <w:b/>
                <w:bCs/>
                <w:sz w:val="24"/>
              </w:rPr>
              <w:t xml:space="preserve"> Total</w:t>
            </w:r>
            <w:r w:rsidRPr="00E66C26">
              <w:rPr>
                <w:rFonts w:ascii="Calibri" w:eastAsia="Calibri" w:hAnsi="Calibri" w:cs="Calibri"/>
                <w:b/>
                <w:bCs/>
                <w:sz w:val="24"/>
              </w:rPr>
              <w:t>, consulte a cláusula 7.5 e seguintes da Escritura de Emissão</w:t>
            </w:r>
            <w:r w:rsidR="00DD3D64" w:rsidRPr="00E66C26">
              <w:rPr>
                <w:rFonts w:ascii="Calibri" w:eastAsia="Calibri" w:hAnsi="Calibri" w:cs="Calibri"/>
                <w:b/>
                <w:bCs/>
                <w:sz w:val="24"/>
              </w:rPr>
              <w:t xml:space="preserve">, a Seção “Características da </w:t>
            </w:r>
            <w:r w:rsidR="00DD3D64" w:rsidRPr="00DC3B85">
              <w:rPr>
                <w:rFonts w:ascii="Calibri" w:eastAsia="Calibri" w:hAnsi="Calibri" w:cs="Calibri"/>
                <w:b/>
                <w:bCs/>
                <w:sz w:val="24"/>
              </w:rPr>
              <w:t xml:space="preserve">Emissão – </w:t>
            </w:r>
            <w:r w:rsidR="00DD3D64" w:rsidRPr="005E35B5">
              <w:rPr>
                <w:rFonts w:ascii="Calibri" w:eastAsia="Calibri" w:hAnsi="Calibri"/>
                <w:b/>
                <w:sz w:val="24"/>
              </w:rPr>
              <w:t>Resgate Obrigatório</w:t>
            </w:r>
            <w:r w:rsidR="00DC3B85" w:rsidRPr="00DC3B85">
              <w:rPr>
                <w:rFonts w:ascii="Calibri" w:eastAsia="Calibri" w:hAnsi="Calibri" w:cs="Calibri"/>
                <w:b/>
                <w:bCs/>
                <w:sz w:val="24"/>
              </w:rPr>
              <w:t xml:space="preserve"> </w:t>
            </w:r>
            <w:r w:rsidR="00DC3B85" w:rsidRPr="001E5C3B">
              <w:rPr>
                <w:rFonts w:ascii="Calibri" w:eastAsia="Calibri" w:hAnsi="Calibri" w:cs="Calibri"/>
                <w:b/>
                <w:bCs/>
                <w:sz w:val="24"/>
              </w:rPr>
              <w:t>Total</w:t>
            </w:r>
            <w:r w:rsidR="00DD3D64" w:rsidRPr="005E35B5">
              <w:rPr>
                <w:rFonts w:ascii="Calibri" w:eastAsia="Calibri" w:hAnsi="Calibri"/>
                <w:b/>
                <w:sz w:val="24"/>
              </w:rPr>
              <w:t xml:space="preserve">” e “Fatores de Risco Relacionados à Oferta e às Debêntures – </w:t>
            </w:r>
            <w:r w:rsidR="00DC3B85" w:rsidRPr="005E35B5">
              <w:rPr>
                <w:rFonts w:ascii="Calibri" w:eastAsia="Calibri" w:hAnsi="Calibri"/>
                <w:b/>
                <w:sz w:val="24"/>
              </w:rPr>
              <w:t>As Debêntures poderão ser objeto de Oferta de Resgate Antecipado</w:t>
            </w:r>
            <w:r w:rsidR="00DC3B85" w:rsidRPr="00DC3B85">
              <w:rPr>
                <w:rFonts w:ascii="Calibri" w:eastAsia="Calibri" w:hAnsi="Calibri" w:cs="Calibri"/>
                <w:b/>
                <w:bCs/>
                <w:sz w:val="24"/>
              </w:rPr>
              <w:t>,</w:t>
            </w:r>
            <w:r w:rsidR="00DC3B85" w:rsidRPr="005E35B5">
              <w:rPr>
                <w:rFonts w:ascii="Calibri" w:eastAsia="Calibri" w:hAnsi="Calibri"/>
                <w:b/>
                <w:sz w:val="24"/>
              </w:rPr>
              <w:t xml:space="preserve"> Aquisição Facultativa</w:t>
            </w:r>
            <w:r w:rsidR="00DC3B85" w:rsidRPr="00DC3B85">
              <w:rPr>
                <w:rFonts w:ascii="Calibri" w:eastAsia="Calibri" w:hAnsi="Calibri" w:cs="Calibri"/>
                <w:b/>
                <w:bCs/>
                <w:sz w:val="24"/>
              </w:rPr>
              <w:t xml:space="preserve"> e Resgate Obrigatório Total</w:t>
            </w:r>
            <w:r w:rsidR="00DC3B85" w:rsidRPr="005E35B5">
              <w:rPr>
                <w:rFonts w:ascii="Calibri" w:eastAsia="Calibri" w:hAnsi="Calibri"/>
                <w:b/>
                <w:sz w:val="24"/>
              </w:rPr>
              <w:t>, nos termos previstos na Escritura de Emissão, o que poderá impactar de maneira adversa na liquidez das Debêntures no mercado secundário</w:t>
            </w:r>
            <w:r w:rsidR="00DD3D64" w:rsidRPr="00E66C26">
              <w:rPr>
                <w:rFonts w:ascii="Calibri" w:eastAsia="Calibri" w:hAnsi="Calibri" w:cs="Calibri"/>
                <w:b/>
                <w:bCs/>
                <w:sz w:val="24"/>
              </w:rPr>
              <w:t xml:space="preserve">”, nas páginas </w:t>
            </w:r>
            <w:r w:rsidR="003A453C">
              <w:rPr>
                <w:rFonts w:ascii="Calibri" w:eastAsia="Calibri" w:hAnsi="Calibri" w:cs="Calibri"/>
                <w:b/>
                <w:bCs/>
                <w:sz w:val="24"/>
              </w:rPr>
              <w:t>90</w:t>
            </w:r>
            <w:r w:rsidR="00DD3D64" w:rsidRPr="00E66C26">
              <w:rPr>
                <w:rFonts w:ascii="Calibri" w:eastAsia="Calibri" w:hAnsi="Calibri" w:cs="Calibri"/>
                <w:b/>
                <w:bCs/>
                <w:sz w:val="24"/>
              </w:rPr>
              <w:t xml:space="preserve"> e </w:t>
            </w:r>
            <w:r w:rsidR="00CE613F">
              <w:rPr>
                <w:rFonts w:ascii="Calibri" w:eastAsia="Calibri" w:hAnsi="Calibri" w:cs="Calibri"/>
                <w:b/>
                <w:bCs/>
                <w:sz w:val="24"/>
              </w:rPr>
              <w:t>130</w:t>
            </w:r>
            <w:r w:rsidR="00DD3D64" w:rsidRPr="00E66C26">
              <w:rPr>
                <w:rFonts w:ascii="Calibri" w:eastAsia="Calibri" w:hAnsi="Calibri" w:cs="Calibri"/>
                <w:b/>
                <w:bCs/>
                <w:sz w:val="24"/>
              </w:rPr>
              <w:t xml:space="preserve"> do Prospecto Preliminar</w:t>
            </w:r>
            <w:r w:rsidR="00341BA1" w:rsidRPr="00E66C26">
              <w:rPr>
                <w:rFonts w:ascii="Calibri" w:eastAsia="Calibri" w:hAnsi="Calibri" w:cs="Calibri"/>
                <w:b/>
                <w:bCs/>
                <w:sz w:val="24"/>
              </w:rPr>
              <w:t>.</w:t>
            </w:r>
          </w:p>
        </w:tc>
      </w:tr>
      <w:tr w:rsidR="00341BA1" w:rsidRPr="00E66C26" w14:paraId="61FB1048" w14:textId="77777777" w:rsidTr="00F729A2">
        <w:trPr>
          <w:jc w:val="center"/>
        </w:trPr>
        <w:tc>
          <w:tcPr>
            <w:tcW w:w="2552" w:type="dxa"/>
          </w:tcPr>
          <w:p w14:paraId="5649B846" w14:textId="659C22CC" w:rsidR="00341BA1" w:rsidRPr="00E66C26" w:rsidRDefault="00341BA1" w:rsidP="0029198E">
            <w:pPr>
              <w:pStyle w:val="Body"/>
              <w:jc w:val="left"/>
              <w:rPr>
                <w:rFonts w:ascii="Calibri" w:hAnsi="Calibri" w:cs="Calibri"/>
                <w:b/>
                <w:sz w:val="24"/>
              </w:rPr>
            </w:pPr>
            <w:r w:rsidRPr="00E66C26">
              <w:rPr>
                <w:rFonts w:ascii="Calibri" w:hAnsi="Calibri" w:cs="Calibri"/>
                <w:b/>
                <w:sz w:val="24"/>
              </w:rPr>
              <w:lastRenderedPageBreak/>
              <w:t>Vencimento Antecipado</w:t>
            </w:r>
          </w:p>
        </w:tc>
        <w:tc>
          <w:tcPr>
            <w:tcW w:w="5670" w:type="dxa"/>
          </w:tcPr>
          <w:p w14:paraId="6BF2A5AC" w14:textId="77777777" w:rsidR="00341BA1" w:rsidRPr="00E66C26" w:rsidRDefault="00C9480E" w:rsidP="0029198E">
            <w:pPr>
              <w:pStyle w:val="Body"/>
              <w:rPr>
                <w:rFonts w:ascii="Calibri" w:eastAsia="Calibri" w:hAnsi="Calibri" w:cs="Calibri"/>
                <w:sz w:val="24"/>
              </w:rPr>
            </w:pPr>
            <w:r w:rsidRPr="00E66C26">
              <w:rPr>
                <w:rFonts w:ascii="Calibri" w:eastAsia="Calibri" w:hAnsi="Calibri" w:cs="Calibri"/>
                <w:sz w:val="24"/>
              </w:rPr>
              <w:t xml:space="preserve">As Debêntures e todas as obrigações constantes da Escritura de Emissão serão ou poderão ser consideradas antecipadamente vencidas, conforme o caso, tornando-se imediatamente exigível da Emissora o pagamento do Valor Nominal Unitário Atualizado, conforme o caso, acrescido da Remuneração, calculada </w:t>
            </w:r>
            <w:r w:rsidRPr="00E66C26">
              <w:rPr>
                <w:rFonts w:ascii="Calibri" w:eastAsia="Calibri" w:hAnsi="Calibri" w:cs="Calibri"/>
                <w:i/>
                <w:iCs/>
                <w:sz w:val="24"/>
              </w:rPr>
              <w:t xml:space="preserve">pro rata </w:t>
            </w:r>
            <w:proofErr w:type="spellStart"/>
            <w:r w:rsidRPr="00E66C26">
              <w:rPr>
                <w:rFonts w:ascii="Calibri" w:eastAsia="Calibri" w:hAnsi="Calibri" w:cs="Calibri"/>
                <w:i/>
                <w:iCs/>
                <w:sz w:val="24"/>
              </w:rPr>
              <w:t>temporis</w:t>
            </w:r>
            <w:proofErr w:type="spellEnd"/>
            <w:r w:rsidRPr="00E66C26">
              <w:rPr>
                <w:rFonts w:ascii="Calibri" w:eastAsia="Calibri" w:hAnsi="Calibri" w:cs="Calibri"/>
                <w:sz w:val="24"/>
              </w:rPr>
              <w:t>, desde a primeira Data de Integralização, ou a última Data de Pagamento da Remuneração, até a data do seu efetivo pagamento sem prejuízo, quando for o caso, da cobrança dos Encargos Moratórios e de quaisquer outros valores eventualmente devidos pela Emissora nos termos de quaisquer dos documentos da Emissão (“</w:t>
            </w:r>
            <w:r w:rsidRPr="00E66C26">
              <w:rPr>
                <w:rFonts w:ascii="Calibri" w:eastAsia="Calibri" w:hAnsi="Calibri" w:cs="Calibri"/>
                <w:sz w:val="24"/>
                <w:u w:val="single"/>
              </w:rPr>
              <w:t xml:space="preserve">Montante </w:t>
            </w:r>
            <w:r w:rsidRPr="00E66C26">
              <w:rPr>
                <w:rFonts w:ascii="Calibri" w:eastAsia="Calibri" w:hAnsi="Calibri" w:cs="Calibri"/>
                <w:sz w:val="24"/>
                <w:u w:val="single"/>
              </w:rPr>
              <w:lastRenderedPageBreak/>
              <w:t>Devido Antecipadamente</w:t>
            </w:r>
            <w:r w:rsidRPr="00E66C26">
              <w:rPr>
                <w:rFonts w:ascii="Calibri" w:eastAsia="Calibri" w:hAnsi="Calibri" w:cs="Calibri"/>
                <w:sz w:val="24"/>
              </w:rPr>
              <w:t>”), na ocorrência das hipóteses descritas nas Cláusulas 8.1.1 e 8.1.2 da Escritura de Emissão (“</w:t>
            </w:r>
            <w:r w:rsidRPr="00E66C26">
              <w:rPr>
                <w:rFonts w:ascii="Calibri" w:eastAsia="Calibri" w:hAnsi="Calibri" w:cs="Calibri"/>
                <w:sz w:val="24"/>
                <w:u w:val="single"/>
              </w:rPr>
              <w:t>Eventos de Vencimento Antecipado</w:t>
            </w:r>
            <w:r w:rsidRPr="00E66C26">
              <w:rPr>
                <w:rFonts w:ascii="Calibri" w:eastAsia="Calibri" w:hAnsi="Calibri" w:cs="Calibri"/>
                <w:sz w:val="24"/>
              </w:rPr>
              <w:t>”).</w:t>
            </w:r>
          </w:p>
          <w:p w14:paraId="6BC14CDB" w14:textId="10C93BEC" w:rsidR="00C9480E" w:rsidRPr="00E66C26" w:rsidRDefault="00C9480E" w:rsidP="0029198E">
            <w:pPr>
              <w:pStyle w:val="Body"/>
              <w:rPr>
                <w:rFonts w:ascii="Calibri" w:eastAsia="Calibri" w:hAnsi="Calibri" w:cs="Calibri"/>
                <w:sz w:val="24"/>
              </w:rPr>
            </w:pPr>
            <w:r w:rsidRPr="00E66C26">
              <w:rPr>
                <w:rFonts w:ascii="Calibri" w:eastAsia="Calibri" w:hAnsi="Calibri" w:cs="Calibri"/>
                <w:sz w:val="24"/>
              </w:rPr>
              <w:t>A ocorrência de quaisquer dos eventos indicados na Cláusula 8.1.1 da Escritura de Emissão acarretará o vencimento antecipado automático das Debêntures independentemente de qualquer aviso extrajudicial, interpelação judicial, notificação à Emissora ou consulta aos Debenturistas (“</w:t>
            </w:r>
            <w:r w:rsidRPr="00E66C26">
              <w:rPr>
                <w:rFonts w:ascii="Calibri" w:eastAsia="Calibri" w:hAnsi="Calibri" w:cs="Calibri"/>
                <w:sz w:val="24"/>
                <w:u w:val="single"/>
              </w:rPr>
              <w:t>Eventos de Vencimento Antecipado Automático</w:t>
            </w:r>
            <w:r w:rsidRPr="00E66C26">
              <w:rPr>
                <w:rFonts w:ascii="Calibri" w:eastAsia="Calibri" w:hAnsi="Calibri" w:cs="Calibri"/>
                <w:sz w:val="24"/>
              </w:rPr>
              <w:t>”).</w:t>
            </w:r>
          </w:p>
          <w:p w14:paraId="130C8768" w14:textId="318008CF" w:rsidR="002643E7" w:rsidRPr="00E66C26" w:rsidRDefault="002643E7" w:rsidP="0029198E">
            <w:pPr>
              <w:pStyle w:val="Body"/>
              <w:rPr>
                <w:rFonts w:ascii="Calibri" w:eastAsia="Calibri" w:hAnsi="Calibri" w:cs="Calibri"/>
                <w:sz w:val="24"/>
              </w:rPr>
            </w:pPr>
            <w:r w:rsidRPr="00E66C26">
              <w:rPr>
                <w:rFonts w:ascii="Calibri" w:hAnsi="Calibri" w:cs="Calibri"/>
                <w:sz w:val="24"/>
              </w:rPr>
              <w:t xml:space="preserve">A ocorrência de quaisquer dos eventos indicados na Cláusula </w:t>
            </w:r>
            <w:r w:rsidR="00195C56">
              <w:rPr>
                <w:rFonts w:ascii="Calibri" w:hAnsi="Calibri" w:cs="Calibri"/>
                <w:sz w:val="24"/>
              </w:rPr>
              <w:t xml:space="preserve">8.1.2 </w:t>
            </w:r>
            <w:r w:rsidRPr="00E66C26">
              <w:rPr>
                <w:rFonts w:ascii="Calibri" w:hAnsi="Calibri" w:cs="Calibri"/>
                <w:sz w:val="24"/>
              </w:rPr>
              <w:t xml:space="preserve">da Escritura de Emissão não sanados no respectivo prazo de cura, conforme aplicável, o Agente Fiduciário deverá convocar Assembleia Geral de Debenturistas, nos termos da Cláusula </w:t>
            </w:r>
            <w:r w:rsidR="00195C56">
              <w:rPr>
                <w:rFonts w:ascii="Calibri" w:hAnsi="Calibri" w:cs="Calibri"/>
                <w:sz w:val="24"/>
              </w:rPr>
              <w:t xml:space="preserve">8.1.3 </w:t>
            </w:r>
            <w:r w:rsidRPr="00E66C26">
              <w:rPr>
                <w:rFonts w:ascii="Calibri" w:hAnsi="Calibri" w:cs="Calibri"/>
                <w:sz w:val="24"/>
              </w:rPr>
              <w:t>da Escritura de Emissão, para deliberar sobre a não declaração de vencimento antecipado das Debêntures (“Eventos de Vencimento Antecipado Não Automático”).</w:t>
            </w:r>
          </w:p>
          <w:p w14:paraId="652F4871" w14:textId="3422837F" w:rsidR="00C9480E" w:rsidRPr="00E66C26" w:rsidRDefault="00C9480E" w:rsidP="0029198E">
            <w:pPr>
              <w:pStyle w:val="Body"/>
              <w:rPr>
                <w:rFonts w:ascii="Calibri" w:eastAsia="Calibri" w:hAnsi="Calibri" w:cs="Calibri"/>
                <w:sz w:val="24"/>
              </w:rPr>
            </w:pPr>
            <w:r w:rsidRPr="00E66C26">
              <w:rPr>
                <w:rFonts w:ascii="Calibri" w:eastAsia="Calibri" w:hAnsi="Calibri" w:cs="Calibri"/>
                <w:b/>
                <w:bCs/>
                <w:sz w:val="24"/>
              </w:rPr>
              <w:t xml:space="preserve">Para mais informações sobre as hipóteses de vencimento antecipado, consulte a cláusula 8.1 e seguintes da Escritura de Emissão, a </w:t>
            </w:r>
            <w:r w:rsidRPr="00FA24FD">
              <w:rPr>
                <w:rFonts w:ascii="Calibri" w:eastAsia="Calibri" w:hAnsi="Calibri" w:cs="Calibri"/>
                <w:b/>
                <w:bCs/>
                <w:sz w:val="24"/>
              </w:rPr>
              <w:t>Seção “</w:t>
            </w:r>
            <w:r w:rsidRPr="005E35B5">
              <w:rPr>
                <w:rFonts w:ascii="Calibri" w:eastAsia="Calibri" w:hAnsi="Calibri"/>
                <w:b/>
                <w:sz w:val="24"/>
              </w:rPr>
              <w:t>Vencimento Antecipado</w:t>
            </w:r>
            <w:r w:rsidRPr="00FA24FD">
              <w:rPr>
                <w:rFonts w:ascii="Calibri" w:eastAsia="Calibri" w:hAnsi="Calibri" w:cs="Calibri"/>
                <w:b/>
                <w:bCs/>
                <w:sz w:val="24"/>
              </w:rPr>
              <w:t xml:space="preserve">” e “Fatores de Riscos </w:t>
            </w:r>
            <w:r w:rsidRPr="00E66C26">
              <w:rPr>
                <w:rFonts w:ascii="Calibri" w:eastAsia="Calibri" w:hAnsi="Calibri" w:cs="Calibri"/>
                <w:b/>
                <w:bCs/>
                <w:sz w:val="24"/>
              </w:rPr>
              <w:t xml:space="preserve">Relacionados à Oferta e às Debêntures – As obrigações da Emissora constantes da Escritura de Emissão estão sujeitas a hipóteses de vencimento antecipado”, nas páginas </w:t>
            </w:r>
            <w:r w:rsidR="003A453C">
              <w:rPr>
                <w:rFonts w:ascii="Calibri" w:eastAsia="Calibri" w:hAnsi="Calibri" w:cs="Calibri"/>
                <w:b/>
                <w:bCs/>
                <w:sz w:val="24"/>
              </w:rPr>
              <w:t>9</w:t>
            </w:r>
            <w:r w:rsidR="00543A37">
              <w:rPr>
                <w:rFonts w:ascii="Calibri" w:eastAsia="Calibri" w:hAnsi="Calibri" w:cs="Calibri"/>
                <w:b/>
                <w:bCs/>
                <w:sz w:val="24"/>
              </w:rPr>
              <w:t>1</w:t>
            </w:r>
            <w:r w:rsidRPr="00E66C26">
              <w:rPr>
                <w:rFonts w:ascii="Calibri" w:eastAsia="Calibri" w:hAnsi="Calibri" w:cs="Calibri"/>
                <w:b/>
                <w:bCs/>
                <w:sz w:val="24"/>
              </w:rPr>
              <w:t xml:space="preserve"> e </w:t>
            </w:r>
            <w:r w:rsidR="00CE613F">
              <w:rPr>
                <w:rFonts w:ascii="Calibri" w:eastAsia="Calibri" w:hAnsi="Calibri" w:cs="Calibri"/>
                <w:b/>
                <w:bCs/>
                <w:sz w:val="24"/>
              </w:rPr>
              <w:t>129</w:t>
            </w:r>
            <w:r w:rsidRPr="00E66C26">
              <w:rPr>
                <w:rFonts w:ascii="Calibri" w:eastAsia="Calibri" w:hAnsi="Calibri" w:cs="Calibri"/>
                <w:b/>
                <w:bCs/>
                <w:sz w:val="24"/>
              </w:rPr>
              <w:t xml:space="preserve"> do Prospecto</w:t>
            </w:r>
            <w:r w:rsidRPr="00E66C26">
              <w:rPr>
                <w:rFonts w:ascii="Calibri" w:eastAsia="Calibri" w:hAnsi="Calibri" w:cs="Calibri"/>
                <w:sz w:val="24"/>
              </w:rPr>
              <w:t>.</w:t>
            </w:r>
          </w:p>
        </w:tc>
      </w:tr>
      <w:tr w:rsidR="00C9480E" w:rsidRPr="00E66C26" w14:paraId="6DC1E4B8" w14:textId="77777777" w:rsidTr="00F729A2">
        <w:trPr>
          <w:jc w:val="center"/>
        </w:trPr>
        <w:tc>
          <w:tcPr>
            <w:tcW w:w="2552" w:type="dxa"/>
          </w:tcPr>
          <w:p w14:paraId="54518620" w14:textId="228DAF7E" w:rsidR="00C9480E" w:rsidRPr="00E66C26" w:rsidRDefault="00C9480E" w:rsidP="0029198E">
            <w:pPr>
              <w:pStyle w:val="Body"/>
              <w:jc w:val="left"/>
              <w:rPr>
                <w:rFonts w:ascii="Calibri" w:hAnsi="Calibri" w:cs="Calibri"/>
                <w:b/>
                <w:sz w:val="24"/>
              </w:rPr>
            </w:pPr>
            <w:r w:rsidRPr="00E66C26">
              <w:rPr>
                <w:rFonts w:ascii="Calibri" w:hAnsi="Calibri" w:cs="Calibri"/>
                <w:b/>
                <w:sz w:val="24"/>
              </w:rPr>
              <w:lastRenderedPageBreak/>
              <w:t>Índice Financeiro</w:t>
            </w:r>
          </w:p>
        </w:tc>
        <w:tc>
          <w:tcPr>
            <w:tcW w:w="5670" w:type="dxa"/>
          </w:tcPr>
          <w:p w14:paraId="569358C8" w14:textId="00DE2C1C" w:rsidR="00C9480E" w:rsidRPr="00E66C26" w:rsidRDefault="00C9480E" w:rsidP="0029198E">
            <w:pPr>
              <w:pStyle w:val="Body"/>
              <w:rPr>
                <w:rFonts w:ascii="Calibri" w:eastAsia="Calibri" w:hAnsi="Calibri" w:cs="Calibri"/>
                <w:sz w:val="24"/>
              </w:rPr>
            </w:pPr>
            <w:r w:rsidRPr="00E66C26">
              <w:rPr>
                <w:rFonts w:ascii="Calibri" w:eastAsia="Calibri" w:hAnsi="Calibri" w:cs="Calibri"/>
                <w:sz w:val="24"/>
              </w:rPr>
              <w:t xml:space="preserve">Sem prejuízo das demais hipóteses de vencimento antecipado automático e não automático previstas na Escritura de Emissão, </w:t>
            </w:r>
            <w:r w:rsidR="00345A2A" w:rsidRPr="00E66C26">
              <w:rPr>
                <w:rFonts w:ascii="Calibri" w:eastAsia="Calibri" w:hAnsi="Calibri" w:cs="Calibri"/>
                <w:sz w:val="24"/>
              </w:rPr>
              <w:t xml:space="preserve">constitui Evento </w:t>
            </w:r>
            <w:r w:rsidR="00E41EE3">
              <w:rPr>
                <w:rFonts w:ascii="Calibri" w:eastAsia="Calibri" w:hAnsi="Calibri" w:cs="Calibri"/>
                <w:sz w:val="24"/>
              </w:rPr>
              <w:t xml:space="preserve">de </w:t>
            </w:r>
            <w:r w:rsidR="00DD3D64" w:rsidRPr="00E66C26">
              <w:rPr>
                <w:rFonts w:ascii="Calibri" w:eastAsia="Calibri" w:hAnsi="Calibri" w:cs="Calibri"/>
                <w:sz w:val="24"/>
              </w:rPr>
              <w:t>Vencimento Antecipado Não Automático</w:t>
            </w:r>
            <w:r w:rsidR="00345A2A" w:rsidRPr="00E66C26">
              <w:rPr>
                <w:rFonts w:ascii="Calibri" w:eastAsia="Calibri" w:hAnsi="Calibri" w:cs="Calibri"/>
                <w:sz w:val="24"/>
              </w:rPr>
              <w:t xml:space="preserve">, podendo acarretar o vencimento antecipado das obrigações decorrentes das </w:t>
            </w:r>
            <w:r w:rsidR="00345A2A" w:rsidRPr="00E66C26">
              <w:rPr>
                <w:rFonts w:ascii="Calibri" w:eastAsia="Calibri" w:hAnsi="Calibri" w:cs="Calibri"/>
                <w:sz w:val="24"/>
              </w:rPr>
              <w:lastRenderedPageBreak/>
              <w:t>Debêntures se não deliberado de forma diversa em Assembleia Geral de Debenturistas, aplicando-se o disposto na Escritura de Emissão, a 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a Escritura de Emissão</w:t>
            </w:r>
            <w:r w:rsidR="00E41EE3">
              <w:rPr>
                <w:rFonts w:ascii="Calibri" w:eastAsia="Calibri" w:hAnsi="Calibri" w:cs="Calibri"/>
                <w:sz w:val="24"/>
              </w:rPr>
              <w:t xml:space="preserve"> </w:t>
            </w:r>
            <w:r w:rsidR="00345A2A" w:rsidRPr="00E66C26">
              <w:rPr>
                <w:rFonts w:ascii="Calibri" w:eastAsia="Calibri" w:hAnsi="Calibri" w:cs="Calibri"/>
                <w:sz w:val="24"/>
              </w:rPr>
              <w:t>(“</w:t>
            </w:r>
            <w:r w:rsidR="00345A2A" w:rsidRPr="00E66C26">
              <w:rPr>
                <w:rFonts w:ascii="Calibri" w:eastAsia="Calibri" w:hAnsi="Calibri" w:cs="Calibri"/>
                <w:sz w:val="24"/>
                <w:u w:val="single"/>
              </w:rPr>
              <w:t>Índice Financeiro</w:t>
            </w:r>
            <w:r w:rsidR="00345A2A" w:rsidRPr="00E66C26">
              <w:rPr>
                <w:rFonts w:ascii="Calibri" w:eastAsia="Calibri" w:hAnsi="Calibri" w:cs="Calibri"/>
                <w:sz w:val="24"/>
              </w:rPr>
              <w:t xml:space="preserve">”), decorrente do quociente da divisão da Dívida Financeira Líquida da </w:t>
            </w:r>
            <w:r w:rsidR="0045128C" w:rsidRPr="00E66C26">
              <w:rPr>
                <w:rFonts w:ascii="Calibri" w:eastAsia="Calibri" w:hAnsi="Calibri" w:cs="Calibri"/>
                <w:sz w:val="24"/>
              </w:rPr>
              <w:t xml:space="preserve">Emissora </w:t>
            </w:r>
            <w:r w:rsidR="00345A2A" w:rsidRPr="00E66C26">
              <w:rPr>
                <w:rFonts w:ascii="Calibri" w:eastAsia="Calibri" w:hAnsi="Calibri" w:cs="Calibri"/>
                <w:sz w:val="24"/>
              </w:rPr>
              <w:t xml:space="preserve">pelo EBITDA da </w:t>
            </w:r>
            <w:r w:rsidR="0045128C" w:rsidRPr="00E66C26">
              <w:rPr>
                <w:rFonts w:ascii="Calibri" w:eastAsia="Calibri" w:hAnsi="Calibri" w:cs="Calibri"/>
                <w:sz w:val="24"/>
              </w:rPr>
              <w:t>Emissora</w:t>
            </w:r>
            <w:r w:rsidR="00345A2A" w:rsidRPr="00E66C26">
              <w:rPr>
                <w:rFonts w:ascii="Calibri" w:eastAsia="Calibri" w:hAnsi="Calibri" w:cs="Calibri"/>
                <w:sz w:val="24"/>
              </w:rPr>
              <w:t>, que deverá ser igual ou inferior a 4,0 (quatro) vezes.</w:t>
            </w:r>
          </w:p>
        </w:tc>
      </w:tr>
      <w:tr w:rsidR="00345A2A" w:rsidRPr="00E66C26" w14:paraId="57E1B948" w14:textId="77777777" w:rsidTr="00F729A2">
        <w:trPr>
          <w:jc w:val="center"/>
        </w:trPr>
        <w:tc>
          <w:tcPr>
            <w:tcW w:w="2552" w:type="dxa"/>
          </w:tcPr>
          <w:p w14:paraId="233480A1" w14:textId="6C1B5CAF" w:rsidR="00345A2A" w:rsidRPr="00E66C26" w:rsidRDefault="00345A2A" w:rsidP="0029198E">
            <w:pPr>
              <w:pStyle w:val="Body"/>
              <w:jc w:val="left"/>
              <w:rPr>
                <w:rFonts w:ascii="Calibri" w:hAnsi="Calibri" w:cs="Calibri"/>
                <w:b/>
                <w:sz w:val="24"/>
              </w:rPr>
            </w:pPr>
            <w:r w:rsidRPr="00E66C26">
              <w:rPr>
                <w:rFonts w:ascii="Calibri" w:hAnsi="Calibri" w:cs="Calibri"/>
                <w:b/>
                <w:sz w:val="24"/>
              </w:rPr>
              <w:lastRenderedPageBreak/>
              <w:t>Agente Fiduciário</w:t>
            </w:r>
          </w:p>
        </w:tc>
        <w:tc>
          <w:tcPr>
            <w:tcW w:w="5670" w:type="dxa"/>
          </w:tcPr>
          <w:p w14:paraId="445150FC" w14:textId="19E0A621" w:rsidR="00345A2A" w:rsidRPr="00E66C26" w:rsidRDefault="0020368D" w:rsidP="0029198E">
            <w:pPr>
              <w:pStyle w:val="Body"/>
              <w:rPr>
                <w:rFonts w:ascii="Calibri" w:eastAsia="Calibri" w:hAnsi="Calibri" w:cs="Calibri"/>
                <w:sz w:val="24"/>
              </w:rPr>
            </w:pPr>
            <w:r w:rsidRPr="00E66C26">
              <w:rPr>
                <w:rFonts w:ascii="Calibri" w:eastAsia="Calibri" w:hAnsi="Calibri" w:cs="Calibri"/>
                <w:b/>
                <w:kern w:val="0"/>
                <w:sz w:val="24"/>
                <w:lang w:eastAsia="en-US"/>
              </w:rPr>
              <w:t>SIMPLIFIC PAVARINI DISTRIBUIDORA DE TÍTULOS E VALORES MOBILIÁRIOS LTDA.</w:t>
            </w:r>
            <w:r w:rsidRPr="00E66C26">
              <w:rPr>
                <w:rFonts w:ascii="Calibri" w:eastAsia="Calibri" w:hAnsi="Calibri" w:cs="Calibri"/>
                <w:kern w:val="0"/>
                <w:sz w:val="24"/>
                <w:lang w:eastAsia="en-US"/>
              </w:rPr>
              <w:t xml:space="preserve">, instituição financeira atuando por sua filial na cidade de São Paulo, Estado de São Paulo, na Rua Joaquim Floriano 466, bloco B, </w:t>
            </w:r>
            <w:proofErr w:type="spellStart"/>
            <w:r w:rsidRPr="00E66C26">
              <w:rPr>
                <w:rFonts w:ascii="Calibri" w:eastAsia="Calibri" w:hAnsi="Calibri" w:cs="Calibri"/>
                <w:kern w:val="0"/>
                <w:sz w:val="24"/>
                <w:lang w:eastAsia="en-US"/>
              </w:rPr>
              <w:t>conj</w:t>
            </w:r>
            <w:proofErr w:type="spellEnd"/>
            <w:r w:rsidRPr="00E66C26">
              <w:rPr>
                <w:rFonts w:ascii="Calibri" w:eastAsia="Calibri" w:hAnsi="Calibri" w:cs="Calibri"/>
                <w:kern w:val="0"/>
                <w:sz w:val="24"/>
                <w:lang w:eastAsia="en-US"/>
              </w:rPr>
              <w:t xml:space="preserve"> 1401, Itaim Bibi CEP 04534-002, inscrita no CNPJ sob o nº 15.227.994/0004-01</w:t>
            </w:r>
            <w:r w:rsidR="00345A2A" w:rsidRPr="00E66C26">
              <w:rPr>
                <w:rFonts w:ascii="Calibri" w:eastAsia="Calibri" w:hAnsi="Calibri" w:cs="Calibri"/>
                <w:sz w:val="24"/>
              </w:rPr>
              <w:t xml:space="preserve">, neste ato representada por </w:t>
            </w:r>
            <w:r w:rsidR="00E84E49" w:rsidRPr="00E66C26">
              <w:rPr>
                <w:rFonts w:ascii="Calibri" w:eastAsia="Calibri" w:hAnsi="Calibri" w:cs="Calibri"/>
                <w:sz w:val="24"/>
              </w:rPr>
              <w:t xml:space="preserve">Matheus Gomes Faria / Pedro Paulo </w:t>
            </w:r>
            <w:r w:rsidR="00D636C3" w:rsidRPr="00E66C26">
              <w:rPr>
                <w:rFonts w:ascii="Calibri" w:eastAsia="Calibri" w:hAnsi="Calibri" w:cs="Calibri"/>
                <w:sz w:val="24"/>
              </w:rPr>
              <w:t>Farme d’</w:t>
            </w:r>
            <w:proofErr w:type="spellStart"/>
            <w:r w:rsidR="00D636C3" w:rsidRPr="00E66C26">
              <w:rPr>
                <w:rFonts w:ascii="Calibri" w:eastAsia="Calibri" w:hAnsi="Calibri" w:cs="Calibri"/>
                <w:sz w:val="24"/>
              </w:rPr>
              <w:t>Amoed</w:t>
            </w:r>
            <w:proofErr w:type="spellEnd"/>
            <w:r w:rsidR="00D636C3" w:rsidRPr="00E66C26">
              <w:rPr>
                <w:rFonts w:ascii="Calibri" w:eastAsia="Calibri" w:hAnsi="Calibri" w:cs="Calibri"/>
                <w:sz w:val="24"/>
              </w:rPr>
              <w:t xml:space="preserve"> Fernandes </w:t>
            </w:r>
            <w:r w:rsidR="00E84E49" w:rsidRPr="00E66C26">
              <w:rPr>
                <w:rFonts w:ascii="Calibri" w:eastAsia="Calibri" w:hAnsi="Calibri" w:cs="Calibri"/>
                <w:sz w:val="24"/>
              </w:rPr>
              <w:t>de Oliveira</w:t>
            </w:r>
            <w:r w:rsidR="00345A2A" w:rsidRPr="00E66C26">
              <w:rPr>
                <w:rFonts w:ascii="Calibri" w:eastAsia="Calibri" w:hAnsi="Calibri" w:cs="Calibri"/>
                <w:sz w:val="24"/>
              </w:rPr>
              <w:t xml:space="preserve">, telefone </w:t>
            </w:r>
            <w:r w:rsidR="00E84E49" w:rsidRPr="00E66C26">
              <w:rPr>
                <w:rFonts w:ascii="Calibri" w:eastAsia="Calibri" w:hAnsi="Calibri" w:cs="Calibri"/>
                <w:sz w:val="24"/>
              </w:rPr>
              <w:t>(11) 3090-0447 / (21) 2507-1949</w:t>
            </w:r>
            <w:r w:rsidR="00345A2A" w:rsidRPr="00E66C26">
              <w:rPr>
                <w:rFonts w:ascii="Calibri" w:eastAsia="Calibri" w:hAnsi="Calibri" w:cs="Calibri"/>
                <w:sz w:val="24"/>
              </w:rPr>
              <w:t xml:space="preserve">, e-mail </w:t>
            </w:r>
            <w:r w:rsidR="00E84E49" w:rsidRPr="00E66C26">
              <w:rPr>
                <w:rFonts w:ascii="Calibri" w:eastAsia="Calibri" w:hAnsi="Calibri" w:cs="Calibri"/>
                <w:sz w:val="24"/>
              </w:rPr>
              <w:t>spestruturacao@simplificpavarini.com.br</w:t>
            </w:r>
            <w:r w:rsidR="00345A2A" w:rsidRPr="00E66C26">
              <w:rPr>
                <w:rFonts w:ascii="Calibri" w:eastAsia="Calibri" w:hAnsi="Calibri" w:cs="Calibri"/>
                <w:sz w:val="24"/>
              </w:rPr>
              <w:t>.</w:t>
            </w:r>
          </w:p>
          <w:p w14:paraId="3037631A" w14:textId="4BA3507A" w:rsidR="00345A2A" w:rsidRPr="00E66C26" w:rsidRDefault="00345A2A" w:rsidP="00345A2A">
            <w:pPr>
              <w:pStyle w:val="Body"/>
              <w:rPr>
                <w:rFonts w:ascii="Calibri" w:eastAsia="Calibri" w:hAnsi="Calibri" w:cs="Calibri"/>
                <w:b/>
                <w:bCs/>
                <w:sz w:val="24"/>
              </w:rPr>
            </w:pPr>
            <w:r w:rsidRPr="00E66C26">
              <w:rPr>
                <w:rFonts w:ascii="Calibri" w:eastAsia="Calibri" w:hAnsi="Calibri" w:cs="Calibri"/>
                <w:b/>
                <w:bCs/>
                <w:sz w:val="24"/>
              </w:rPr>
              <w:t xml:space="preserve">PARA MAIS INFORMAÇÕES SOBRE O HISTÓRICO DE EMISSÕES DE VALORES MOBILIÁRIOS DA EMISSORA, CONTROLADAS, CONTROLADORAS, SOCIEDADES COLIGADAS OU INTEGRANTES DO MESMO GRUPO EM QUE O AGENTE FIDUCIÁRIO ATUE PRESTANDO SERVIÇOS DE AGENTE FIDUCIÁRIO E DE AGENTE DE NOTAS, CONSULTE A SEÇÃO “INFORMAÇÕES RELATIVAS À </w:t>
            </w:r>
            <w:r w:rsidRPr="00E66C26">
              <w:rPr>
                <w:rFonts w:ascii="Calibri" w:eastAsia="Calibri" w:hAnsi="Calibri" w:cs="Calibri"/>
                <w:b/>
                <w:bCs/>
                <w:sz w:val="24"/>
              </w:rPr>
              <w:lastRenderedPageBreak/>
              <w:t xml:space="preserve">EMISSÃO, À OFERTA E ÀS DEBÊNTURES - CARACTERÍSTICAS DA EMISSÃO E DAS DEBÊNTURES - AGENTE FIDUCIÁRIO”, NA PÁGINA </w:t>
            </w:r>
            <w:r w:rsidR="008D678B">
              <w:rPr>
                <w:rFonts w:ascii="Calibri" w:eastAsia="Calibri" w:hAnsi="Calibri" w:cs="Calibri"/>
                <w:b/>
                <w:bCs/>
                <w:sz w:val="24"/>
              </w:rPr>
              <w:t>76</w:t>
            </w:r>
            <w:r w:rsidRPr="00E66C26">
              <w:rPr>
                <w:rFonts w:ascii="Calibri" w:eastAsia="Calibri" w:hAnsi="Calibri" w:cs="Calibri"/>
                <w:b/>
                <w:bCs/>
                <w:sz w:val="24"/>
              </w:rPr>
              <w:t xml:space="preserve"> DO PROSPECTO PRELIMINAR E NA CLÁUSULA [•] DA ESCRITURA.</w:t>
            </w:r>
          </w:p>
        </w:tc>
      </w:tr>
    </w:tbl>
    <w:p w14:paraId="7CF4659B" w14:textId="6136BE07" w:rsidR="001C5240" w:rsidRPr="00643349" w:rsidRDefault="00345A2A" w:rsidP="00643349">
      <w:pPr>
        <w:pStyle w:val="Level1"/>
        <w:numPr>
          <w:ilvl w:val="0"/>
          <w:numId w:val="20"/>
        </w:numPr>
        <w:tabs>
          <w:tab w:val="clear" w:pos="680"/>
          <w:tab w:val="num" w:pos="426"/>
        </w:tabs>
        <w:rPr>
          <w:rFonts w:ascii="Calibri" w:hAnsi="Calibri" w:cs="Calibri"/>
          <w:caps/>
          <w:color w:val="203463"/>
          <w:sz w:val="28"/>
          <w:szCs w:val="28"/>
        </w:rPr>
      </w:pPr>
      <w:bookmarkStart w:id="14" w:name="_Ref429063221"/>
      <w:r w:rsidRPr="00643349">
        <w:rPr>
          <w:rFonts w:ascii="Calibri" w:hAnsi="Calibri" w:cs="Calibri"/>
          <w:caps/>
          <w:color w:val="203463"/>
          <w:sz w:val="28"/>
          <w:szCs w:val="28"/>
        </w:rPr>
        <w:lastRenderedPageBreak/>
        <w:t>CARACTERÍSTICAS DA OFERTA</w:t>
      </w:r>
      <w:bookmarkEnd w:id="14"/>
    </w:p>
    <w:tbl>
      <w:tblPr>
        <w:tblW w:w="8730" w:type="dxa"/>
        <w:jc w:val="center"/>
        <w:tblCellMar>
          <w:top w:w="57" w:type="dxa"/>
          <w:left w:w="57" w:type="dxa"/>
          <w:bottom w:w="57" w:type="dxa"/>
          <w:right w:w="57" w:type="dxa"/>
        </w:tblCellMar>
        <w:tblLook w:val="0000" w:firstRow="0" w:lastRow="0" w:firstColumn="0" w:lastColumn="0" w:noHBand="0" w:noVBand="0"/>
      </w:tblPr>
      <w:tblGrid>
        <w:gridCol w:w="3119"/>
        <w:gridCol w:w="5611"/>
      </w:tblGrid>
      <w:tr w:rsidR="00546802" w:rsidRPr="00E66C26" w14:paraId="130090B5" w14:textId="77777777" w:rsidTr="00546802">
        <w:trPr>
          <w:jc w:val="center"/>
        </w:trPr>
        <w:tc>
          <w:tcPr>
            <w:tcW w:w="3119" w:type="dxa"/>
          </w:tcPr>
          <w:p w14:paraId="46EAD7A8" w14:textId="77777777" w:rsidR="00546802" w:rsidRPr="00E66C26" w:rsidRDefault="000A2994" w:rsidP="0029198E">
            <w:pPr>
              <w:pStyle w:val="Body"/>
              <w:jc w:val="left"/>
              <w:rPr>
                <w:rFonts w:ascii="Calibri" w:hAnsi="Calibri" w:cs="Calibri"/>
                <w:b/>
                <w:sz w:val="24"/>
              </w:rPr>
            </w:pPr>
            <w:bookmarkStart w:id="15" w:name="_Toc428322711"/>
            <w:bookmarkStart w:id="16" w:name="_Toc428328047"/>
            <w:r w:rsidRPr="00E66C26">
              <w:rPr>
                <w:rFonts w:ascii="Calibri" w:hAnsi="Calibri" w:cs="Calibri"/>
                <w:b/>
                <w:sz w:val="24"/>
              </w:rPr>
              <w:t>Colocação e Procedimento de Distribuição</w:t>
            </w:r>
            <w:r w:rsidR="00546802" w:rsidRPr="00E66C26">
              <w:rPr>
                <w:rFonts w:ascii="Calibri" w:hAnsi="Calibri" w:cs="Calibri"/>
                <w:b/>
                <w:sz w:val="24"/>
              </w:rPr>
              <w:t xml:space="preserve"> </w:t>
            </w:r>
            <w:bookmarkEnd w:id="15"/>
            <w:bookmarkEnd w:id="16"/>
          </w:p>
        </w:tc>
        <w:tc>
          <w:tcPr>
            <w:tcW w:w="5611" w:type="dxa"/>
          </w:tcPr>
          <w:p w14:paraId="11A3BD81" w14:textId="13A2F6EC" w:rsidR="0004112B" w:rsidRPr="00E66C26" w:rsidRDefault="0004112B" w:rsidP="0029198E">
            <w:pPr>
              <w:pStyle w:val="Body"/>
              <w:rPr>
                <w:rFonts w:ascii="Calibri" w:hAnsi="Calibri" w:cs="Calibri"/>
                <w:sz w:val="24"/>
              </w:rPr>
            </w:pPr>
            <w:r w:rsidRPr="00E66C26">
              <w:rPr>
                <w:rFonts w:ascii="Calibri" w:hAnsi="Calibri" w:cs="Calibri"/>
                <w:sz w:val="24"/>
              </w:rPr>
              <w:t xml:space="preserve">As Debêntures serão objeto de oferta pública de distribuição, nos termos da Instrução CVM 400, sob regime de garantia firme de colocação (exceto pelas Debêntures Adicionais, as quais, se emitidas, serão colocadas sob o regime de melhores esforços de colocação), para a totalidade das Debêntures, nos termos do </w:t>
            </w:r>
            <w:r w:rsidRPr="00E66C26">
              <w:rPr>
                <w:rFonts w:ascii="Calibri" w:hAnsi="Calibri" w:cs="Calibri"/>
                <w:i/>
                <w:iCs/>
                <w:sz w:val="24"/>
              </w:rPr>
              <w:t>“Contrato de Coordenação, Colocação e Distribuição Pública, sob o Regime de Garantia Firme de Colocação, de Debêntures</w:t>
            </w:r>
            <w:r w:rsidR="0020368D" w:rsidRPr="00E66C26">
              <w:rPr>
                <w:rFonts w:ascii="Calibri" w:hAnsi="Calibri" w:cs="Calibri"/>
                <w:i/>
                <w:iCs/>
                <w:sz w:val="24"/>
              </w:rPr>
              <w:t xml:space="preserve"> Simples,</w:t>
            </w:r>
            <w:r w:rsidRPr="00E66C26">
              <w:rPr>
                <w:rFonts w:ascii="Calibri" w:hAnsi="Calibri" w:cs="Calibri"/>
                <w:i/>
                <w:iCs/>
                <w:sz w:val="24"/>
              </w:rPr>
              <w:t xml:space="preserve"> Não Conversíveis em Ações, da Espécie Quirografária, em até Duas Séries, da 4ª (quarta) Emissão da São Martinho S.A</w:t>
            </w:r>
            <w:r w:rsidRPr="00E66C26">
              <w:rPr>
                <w:rFonts w:ascii="Calibri" w:hAnsi="Calibri" w:cs="Calibri"/>
                <w:sz w:val="24"/>
              </w:rPr>
              <w:t>.” (“</w:t>
            </w:r>
            <w:r w:rsidRPr="00E66C26">
              <w:rPr>
                <w:rFonts w:ascii="Calibri" w:hAnsi="Calibri" w:cs="Calibri"/>
                <w:sz w:val="24"/>
                <w:u w:val="single"/>
              </w:rPr>
              <w:t>Contrato de Distribuição</w:t>
            </w:r>
            <w:r w:rsidRPr="00E66C26">
              <w:rPr>
                <w:rFonts w:ascii="Calibri" w:hAnsi="Calibri" w:cs="Calibri"/>
                <w:sz w:val="24"/>
              </w:rPr>
              <w:t>”)</w:t>
            </w:r>
            <w:r w:rsidR="00B70B01">
              <w:rPr>
                <w:rFonts w:ascii="Calibri" w:hAnsi="Calibri" w:cs="Calibri"/>
                <w:sz w:val="24"/>
              </w:rPr>
              <w:t xml:space="preserve"> e do “</w:t>
            </w:r>
            <w:r w:rsidR="00B70B01" w:rsidRPr="009431A3">
              <w:rPr>
                <w:rFonts w:ascii="Calibri" w:hAnsi="Calibri" w:cs="Calibri"/>
                <w:i/>
                <w:iCs/>
                <w:sz w:val="24"/>
              </w:rPr>
              <w:t xml:space="preserve">Primeiro Aditamento ao </w:t>
            </w:r>
            <w:r w:rsidR="00B70B01" w:rsidRPr="00B70B01">
              <w:rPr>
                <w:rFonts w:ascii="Calibri" w:hAnsi="Calibri" w:cs="Calibri"/>
                <w:i/>
                <w:iCs/>
                <w:sz w:val="24"/>
              </w:rPr>
              <w:t>Contrato de Coordenação, Colocação e</w:t>
            </w:r>
            <w:r w:rsidR="00B70B01" w:rsidRPr="00E66C26">
              <w:rPr>
                <w:rFonts w:ascii="Calibri" w:hAnsi="Calibri" w:cs="Calibri"/>
                <w:i/>
                <w:iCs/>
                <w:sz w:val="24"/>
              </w:rPr>
              <w:t xml:space="preserve"> Distribuição Pública, sob o Regime de Garantia Firme de Colocação, de Debêntures Simples, Não Conversíveis em Ações, da Espécie Quirografária, em até Duas Séries, da 4ª (quarta) Emissão da São Martinho S.A</w:t>
            </w:r>
            <w:r w:rsidR="00B70B01" w:rsidRPr="00E66C26">
              <w:rPr>
                <w:rFonts w:ascii="Calibri" w:hAnsi="Calibri" w:cs="Calibri"/>
                <w:sz w:val="24"/>
              </w:rPr>
              <w:t>.</w:t>
            </w:r>
            <w:r w:rsidR="00B70B01">
              <w:rPr>
                <w:rFonts w:ascii="Calibri" w:hAnsi="Calibri" w:cs="Calibri"/>
                <w:sz w:val="24"/>
              </w:rPr>
              <w:t>” (“</w:t>
            </w:r>
            <w:r w:rsidR="00B70B01" w:rsidRPr="009431A3">
              <w:rPr>
                <w:rFonts w:ascii="Calibri" w:hAnsi="Calibri" w:cs="Calibri"/>
                <w:sz w:val="24"/>
                <w:u w:val="single"/>
              </w:rPr>
              <w:t>Primeiro Aditamento ao Contrato de Distribuição</w:t>
            </w:r>
            <w:r w:rsidR="00B70B01">
              <w:rPr>
                <w:rFonts w:ascii="Calibri" w:hAnsi="Calibri" w:cs="Calibri"/>
                <w:sz w:val="24"/>
              </w:rPr>
              <w:t>”)</w:t>
            </w:r>
            <w:r w:rsidRPr="00E66C26">
              <w:rPr>
                <w:rFonts w:ascii="Calibri" w:hAnsi="Calibri" w:cs="Calibri"/>
                <w:sz w:val="24"/>
              </w:rPr>
              <w:t xml:space="preserve">, com a intermediação </w:t>
            </w:r>
            <w:r w:rsidR="00DD3D64" w:rsidRPr="00E66C26">
              <w:rPr>
                <w:rFonts w:ascii="Calibri" w:hAnsi="Calibri" w:cs="Calibri"/>
                <w:sz w:val="24"/>
              </w:rPr>
              <w:t xml:space="preserve">do </w:t>
            </w:r>
            <w:r w:rsidRPr="00E66C26">
              <w:rPr>
                <w:rFonts w:ascii="Calibri" w:hAnsi="Calibri" w:cs="Calibri"/>
                <w:sz w:val="24"/>
              </w:rPr>
              <w:t>Coordenador Líder, com a participação de outras instituições financeiras autorizadas a operar no mercado de capitais para participar da colocação das Debêntures junto a potenciais investidores e clientes (“</w:t>
            </w:r>
            <w:r w:rsidRPr="00E66C26">
              <w:rPr>
                <w:rFonts w:ascii="Calibri" w:hAnsi="Calibri" w:cs="Calibri"/>
                <w:sz w:val="24"/>
                <w:u w:val="single"/>
              </w:rPr>
              <w:t>Participantes Especiais</w:t>
            </w:r>
            <w:r w:rsidRPr="00E66C26">
              <w:rPr>
                <w:rFonts w:ascii="Calibri" w:hAnsi="Calibri" w:cs="Calibri"/>
                <w:sz w:val="24"/>
              </w:rPr>
              <w:t>” e, em conjunto com o Coordenador Líder, “</w:t>
            </w:r>
            <w:r w:rsidRPr="00E66C26">
              <w:rPr>
                <w:rFonts w:ascii="Calibri" w:hAnsi="Calibri" w:cs="Calibri"/>
                <w:sz w:val="24"/>
                <w:u w:val="single"/>
              </w:rPr>
              <w:t>Instituições Participantes da Oferta</w:t>
            </w:r>
            <w:r w:rsidRPr="00E66C26">
              <w:rPr>
                <w:rFonts w:ascii="Calibri" w:hAnsi="Calibri" w:cs="Calibri"/>
                <w:sz w:val="24"/>
              </w:rPr>
              <w:t>”), observado o procedimento previsto no parágrafo 3º do artigo 33 da Instrução CVM 400 (“</w:t>
            </w:r>
            <w:r w:rsidRPr="00E66C26">
              <w:rPr>
                <w:rFonts w:ascii="Calibri" w:hAnsi="Calibri" w:cs="Calibri"/>
                <w:sz w:val="24"/>
                <w:u w:val="single"/>
              </w:rPr>
              <w:t>Plano de Distribuição</w:t>
            </w:r>
            <w:r w:rsidRPr="00E66C26">
              <w:rPr>
                <w:rFonts w:ascii="Calibri" w:hAnsi="Calibri" w:cs="Calibri"/>
                <w:sz w:val="24"/>
              </w:rPr>
              <w:t xml:space="preserve">”). Os termos </w:t>
            </w:r>
            <w:r w:rsidRPr="00E66C26">
              <w:rPr>
                <w:rFonts w:ascii="Calibri" w:hAnsi="Calibri" w:cs="Calibri"/>
                <w:sz w:val="24"/>
              </w:rPr>
              <w:lastRenderedPageBreak/>
              <w:t>e condições do Plano de Distribuição seguem descritos no Contrato de Distribuição</w:t>
            </w:r>
            <w:r w:rsidR="00B70B01">
              <w:rPr>
                <w:rFonts w:ascii="Calibri" w:hAnsi="Calibri" w:cs="Calibri"/>
                <w:sz w:val="24"/>
              </w:rPr>
              <w:t xml:space="preserve">, no </w:t>
            </w:r>
            <w:r w:rsidR="00B70B01" w:rsidRPr="00B70B01">
              <w:rPr>
                <w:rFonts w:ascii="Calibri" w:hAnsi="Calibri" w:cs="Calibri"/>
                <w:sz w:val="24"/>
              </w:rPr>
              <w:t>Primeiro Aditamento ao Contrato de Distribuição</w:t>
            </w:r>
            <w:r w:rsidRPr="00E66C26">
              <w:rPr>
                <w:rFonts w:ascii="Calibri" w:hAnsi="Calibri" w:cs="Calibri"/>
                <w:sz w:val="24"/>
              </w:rPr>
              <w:t xml:space="preserve"> e nos demais documentos da Oferta. A Oferta não contará com esforços de colocação no exterior.</w:t>
            </w:r>
            <w:bookmarkStart w:id="17" w:name="_Ref459752333"/>
          </w:p>
          <w:p w14:paraId="7568D50E" w14:textId="5AB50857" w:rsidR="00FA2439" w:rsidRPr="00E66C26" w:rsidRDefault="00FA2439" w:rsidP="0029198E">
            <w:pPr>
              <w:pStyle w:val="Body"/>
              <w:rPr>
                <w:rFonts w:ascii="Calibri" w:hAnsi="Calibri" w:cs="Calibri"/>
                <w:sz w:val="24"/>
              </w:rPr>
            </w:pPr>
            <w:r w:rsidRPr="00E66C26">
              <w:rPr>
                <w:rFonts w:ascii="Calibri" w:hAnsi="Calibri" w:cs="Calibri"/>
                <w:sz w:val="24"/>
              </w:rPr>
              <w:t>No</w:t>
            </w:r>
            <w:r w:rsidR="00D327C5" w:rsidRPr="00E66C26">
              <w:rPr>
                <w:rFonts w:ascii="Calibri" w:hAnsi="Calibri" w:cs="Calibri"/>
                <w:sz w:val="24"/>
              </w:rPr>
              <w:t>s</w:t>
            </w:r>
            <w:r w:rsidRPr="00E66C26">
              <w:rPr>
                <w:rFonts w:ascii="Calibri" w:hAnsi="Calibri" w:cs="Calibri"/>
                <w:sz w:val="24"/>
              </w:rPr>
              <w:t xml:space="preserve"> termos da Instrução CVM 400, a Oferta somente ocorrerá após: (i) a concessão do registro da Oferta pela CVM; (</w:t>
            </w:r>
            <w:proofErr w:type="spellStart"/>
            <w:r w:rsidRPr="00E66C26">
              <w:rPr>
                <w:rFonts w:ascii="Calibri" w:hAnsi="Calibri" w:cs="Calibri"/>
                <w:sz w:val="24"/>
              </w:rPr>
              <w:t>ii</w:t>
            </w:r>
            <w:proofErr w:type="spellEnd"/>
            <w:r w:rsidRPr="00E66C26">
              <w:rPr>
                <w:rFonts w:ascii="Calibri" w:hAnsi="Calibri" w:cs="Calibri"/>
                <w:sz w:val="24"/>
              </w:rPr>
              <w:t>) a divulgação do anúncio de início de distribuição pública das Debêntures (“</w:t>
            </w:r>
            <w:r w:rsidRPr="00E66C26">
              <w:rPr>
                <w:rFonts w:ascii="Calibri" w:hAnsi="Calibri" w:cs="Calibri"/>
                <w:sz w:val="24"/>
                <w:u w:val="single"/>
              </w:rPr>
              <w:t>Anúncio de Início da Oferta</w:t>
            </w:r>
            <w:r w:rsidRPr="00E66C26">
              <w:rPr>
                <w:rFonts w:ascii="Calibri" w:hAnsi="Calibri" w:cs="Calibri"/>
                <w:sz w:val="24"/>
              </w:rPr>
              <w:t>”), nos termos do artigo 54-A da Instrução CVM 400; e (</w:t>
            </w:r>
            <w:proofErr w:type="spellStart"/>
            <w:r w:rsidRPr="00E66C26">
              <w:rPr>
                <w:rFonts w:ascii="Calibri" w:hAnsi="Calibri" w:cs="Calibri"/>
                <w:sz w:val="24"/>
              </w:rPr>
              <w:t>iii</w:t>
            </w:r>
            <w:proofErr w:type="spellEnd"/>
            <w:r w:rsidRPr="00E66C26">
              <w:rPr>
                <w:rFonts w:ascii="Calibri" w:hAnsi="Calibri" w:cs="Calibri"/>
                <w:sz w:val="24"/>
              </w:rPr>
              <w:t>) a disponibilização de prospecto definitivo contendo informações sobre a Oferta (“</w:t>
            </w:r>
            <w:r w:rsidRPr="00E66C26">
              <w:rPr>
                <w:rFonts w:ascii="Calibri" w:hAnsi="Calibri" w:cs="Calibri"/>
                <w:sz w:val="24"/>
                <w:u w:val="single"/>
              </w:rPr>
              <w:t>Prospecto Definitivo</w:t>
            </w:r>
            <w:r w:rsidRPr="00E66C26">
              <w:rPr>
                <w:rFonts w:ascii="Calibri" w:hAnsi="Calibri" w:cs="Calibri"/>
                <w:sz w:val="24"/>
              </w:rPr>
              <w:t>”) aos investidores e seu envio à CVM, nos termos do artigo 42 da Instrução CVM 400.</w:t>
            </w:r>
          </w:p>
          <w:p w14:paraId="07B10C20" w14:textId="63753A65" w:rsidR="00FA2439" w:rsidRPr="00E66C26" w:rsidRDefault="00FA2439" w:rsidP="0029198E">
            <w:pPr>
              <w:pStyle w:val="Body"/>
              <w:rPr>
                <w:rFonts w:ascii="Calibri" w:hAnsi="Calibri" w:cs="Calibri"/>
                <w:sz w:val="24"/>
              </w:rPr>
            </w:pPr>
            <w:r w:rsidRPr="00E66C26">
              <w:rPr>
                <w:rFonts w:ascii="Calibri" w:hAnsi="Calibri" w:cs="Calibri"/>
                <w:sz w:val="24"/>
              </w:rPr>
              <w:t>Observados os requisitos indicados na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w:t>
            </w:r>
            <w:r w:rsidR="00D327C5" w:rsidRPr="00E66C26">
              <w:rPr>
                <w:rFonts w:ascii="Calibri" w:hAnsi="Calibri" w:cs="Calibri"/>
                <w:sz w:val="24"/>
              </w:rPr>
              <w:t>.</w:t>
            </w:r>
          </w:p>
          <w:p w14:paraId="234E0F95" w14:textId="0A0258BC" w:rsidR="00D327C5" w:rsidRPr="00E66C26" w:rsidRDefault="00D327C5" w:rsidP="0029198E">
            <w:pPr>
              <w:pStyle w:val="Body"/>
              <w:rPr>
                <w:rFonts w:ascii="Calibri" w:hAnsi="Calibri" w:cs="Calibri"/>
                <w:sz w:val="24"/>
              </w:rPr>
            </w:pPr>
            <w:r w:rsidRPr="00E66C26">
              <w:rPr>
                <w:rFonts w:ascii="Calibri" w:hAnsi="Calibri" w:cs="Calibri"/>
                <w:sz w:val="24"/>
              </w:rPr>
              <w:t>Após a colocação das Debêntures, será divulgado o anúncio de encerramento da Oferta (“</w:t>
            </w:r>
            <w:r w:rsidRPr="00E66C26">
              <w:rPr>
                <w:rFonts w:ascii="Calibri" w:hAnsi="Calibri" w:cs="Calibri"/>
                <w:sz w:val="24"/>
                <w:u w:val="single"/>
              </w:rPr>
              <w:t>Anúncio de Encerramento da Oferta</w:t>
            </w:r>
            <w:r w:rsidRPr="00E66C26">
              <w:rPr>
                <w:rFonts w:ascii="Calibri" w:hAnsi="Calibri" w:cs="Calibri"/>
                <w:sz w:val="24"/>
              </w:rPr>
              <w:t>”).</w:t>
            </w:r>
          </w:p>
          <w:p w14:paraId="3A601489" w14:textId="738FE514" w:rsidR="00546802" w:rsidRPr="00E66C26" w:rsidRDefault="000A2994" w:rsidP="0029198E">
            <w:pPr>
              <w:pStyle w:val="Body"/>
              <w:rPr>
                <w:rFonts w:ascii="Calibri" w:hAnsi="Calibri" w:cs="Calibri"/>
                <w:sz w:val="24"/>
              </w:rPr>
            </w:pPr>
            <w:bookmarkStart w:id="18" w:name="_Ref421268145"/>
            <w:bookmarkEnd w:id="17"/>
            <w:r w:rsidRPr="00E66C26">
              <w:rPr>
                <w:rFonts w:ascii="Calibri" w:hAnsi="Calibri" w:cs="Calibri"/>
                <w:b/>
                <w:sz w:val="24"/>
              </w:rPr>
              <w:t>Para mais informações, ve</w:t>
            </w:r>
            <w:r w:rsidR="0011467B" w:rsidRPr="00E66C26">
              <w:rPr>
                <w:rFonts w:ascii="Calibri" w:hAnsi="Calibri" w:cs="Calibri"/>
                <w:b/>
                <w:sz w:val="24"/>
              </w:rPr>
              <w:t>ja</w:t>
            </w:r>
            <w:r w:rsidRPr="00E66C26">
              <w:rPr>
                <w:rFonts w:ascii="Calibri" w:hAnsi="Calibri" w:cs="Calibri"/>
                <w:b/>
                <w:sz w:val="24"/>
              </w:rPr>
              <w:t xml:space="preserve"> </w:t>
            </w:r>
            <w:r w:rsidR="0011467B" w:rsidRPr="00E66C26">
              <w:rPr>
                <w:rFonts w:ascii="Calibri" w:hAnsi="Calibri" w:cs="Calibri"/>
                <w:b/>
                <w:sz w:val="24"/>
              </w:rPr>
              <w:t xml:space="preserve">a </w:t>
            </w:r>
            <w:r w:rsidRPr="00E66C26">
              <w:rPr>
                <w:rFonts w:ascii="Calibri" w:hAnsi="Calibri" w:cs="Calibri"/>
                <w:b/>
                <w:sz w:val="24"/>
              </w:rPr>
              <w:t xml:space="preserve">seção </w:t>
            </w:r>
            <w:r w:rsidR="00E05330" w:rsidRPr="00E66C26">
              <w:rPr>
                <w:rFonts w:ascii="Calibri" w:hAnsi="Calibri" w:cs="Calibri"/>
                <w:b/>
                <w:sz w:val="24"/>
                <w:lang w:eastAsia="pt-BR"/>
              </w:rPr>
              <w:t>“</w:t>
            </w:r>
            <w:r w:rsidRPr="00E66C26">
              <w:rPr>
                <w:rFonts w:ascii="Calibri" w:hAnsi="Calibri" w:cs="Calibri"/>
                <w:b/>
                <w:sz w:val="24"/>
                <w:lang w:eastAsia="pt-BR"/>
              </w:rPr>
              <w:t xml:space="preserve">Informações </w:t>
            </w:r>
            <w:r w:rsidR="00451136" w:rsidRPr="00E66C26">
              <w:rPr>
                <w:rFonts w:ascii="Calibri" w:hAnsi="Calibri" w:cs="Calibri"/>
                <w:b/>
                <w:sz w:val="24"/>
                <w:lang w:eastAsia="pt-BR"/>
              </w:rPr>
              <w:t>Relativas à</w:t>
            </w:r>
            <w:r w:rsidRPr="00E66C26">
              <w:rPr>
                <w:rFonts w:ascii="Calibri" w:hAnsi="Calibri" w:cs="Calibri"/>
                <w:b/>
                <w:sz w:val="24"/>
                <w:lang w:eastAsia="pt-BR"/>
              </w:rPr>
              <w:t xml:space="preserve"> Emissão, </w:t>
            </w:r>
            <w:r w:rsidR="00451136" w:rsidRPr="00E66C26">
              <w:rPr>
                <w:rFonts w:ascii="Calibri" w:hAnsi="Calibri" w:cs="Calibri"/>
                <w:b/>
                <w:sz w:val="24"/>
                <w:lang w:eastAsia="pt-BR"/>
              </w:rPr>
              <w:t>à</w:t>
            </w:r>
            <w:r w:rsidRPr="00E66C26">
              <w:rPr>
                <w:rFonts w:ascii="Calibri" w:hAnsi="Calibri" w:cs="Calibri"/>
                <w:b/>
                <w:sz w:val="24"/>
                <w:lang w:eastAsia="pt-BR"/>
              </w:rPr>
              <w:t xml:space="preserve"> Oferta e </w:t>
            </w:r>
            <w:r w:rsidR="00451136" w:rsidRPr="00E66C26">
              <w:rPr>
                <w:rFonts w:ascii="Calibri" w:hAnsi="Calibri" w:cs="Calibri"/>
                <w:b/>
                <w:sz w:val="24"/>
                <w:lang w:eastAsia="pt-BR"/>
              </w:rPr>
              <w:t>às</w:t>
            </w:r>
            <w:r w:rsidRPr="00E66C26">
              <w:rPr>
                <w:rFonts w:ascii="Calibri" w:hAnsi="Calibri" w:cs="Calibri"/>
                <w:b/>
                <w:sz w:val="24"/>
                <w:lang w:eastAsia="pt-BR"/>
              </w:rPr>
              <w:t xml:space="preserve"> Debêntures – Contrato de Distribuição – Regime de Colocação</w:t>
            </w:r>
            <w:r w:rsidR="00E05330" w:rsidRPr="00E66C26">
              <w:rPr>
                <w:rFonts w:ascii="Calibri" w:hAnsi="Calibri" w:cs="Calibri"/>
                <w:b/>
                <w:sz w:val="24"/>
                <w:lang w:eastAsia="pt-BR"/>
              </w:rPr>
              <w:t>”</w:t>
            </w:r>
            <w:r w:rsidR="0011467B" w:rsidRPr="00E66C26">
              <w:rPr>
                <w:rFonts w:ascii="Calibri" w:hAnsi="Calibri" w:cs="Calibri"/>
                <w:b/>
                <w:sz w:val="24"/>
                <w:lang w:eastAsia="pt-BR"/>
              </w:rPr>
              <w:t>,</w:t>
            </w:r>
            <w:r w:rsidRPr="00E66C26">
              <w:rPr>
                <w:rFonts w:ascii="Calibri" w:hAnsi="Calibri" w:cs="Calibri"/>
                <w:b/>
                <w:sz w:val="24"/>
                <w:lang w:eastAsia="pt-BR"/>
              </w:rPr>
              <w:t xml:space="preserve"> </w:t>
            </w:r>
            <w:r w:rsidR="0011467B" w:rsidRPr="00E66C26">
              <w:rPr>
                <w:rFonts w:ascii="Calibri" w:hAnsi="Calibri" w:cs="Calibri"/>
                <w:b/>
                <w:sz w:val="24"/>
                <w:lang w:eastAsia="pt-BR"/>
              </w:rPr>
              <w:t>n</w:t>
            </w:r>
            <w:r w:rsidRPr="00E66C26">
              <w:rPr>
                <w:rFonts w:ascii="Calibri" w:hAnsi="Calibri" w:cs="Calibri"/>
                <w:b/>
                <w:sz w:val="24"/>
                <w:lang w:eastAsia="pt-BR"/>
              </w:rPr>
              <w:t>o Prospecto Preliminar.</w:t>
            </w:r>
            <w:bookmarkEnd w:id="18"/>
          </w:p>
        </w:tc>
      </w:tr>
      <w:tr w:rsidR="00136667" w:rsidRPr="00E66C26" w14:paraId="5741637E" w14:textId="77777777" w:rsidTr="00546802">
        <w:trPr>
          <w:jc w:val="center"/>
        </w:trPr>
        <w:tc>
          <w:tcPr>
            <w:tcW w:w="3119" w:type="dxa"/>
          </w:tcPr>
          <w:p w14:paraId="2D9DCCF5" w14:textId="35B9D233"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Oferta Institucional</w:t>
            </w:r>
          </w:p>
        </w:tc>
        <w:tc>
          <w:tcPr>
            <w:tcW w:w="5611" w:type="dxa"/>
          </w:tcPr>
          <w:p w14:paraId="4A2F0577" w14:textId="7D5F2AD8" w:rsidR="00136667" w:rsidRDefault="00136667" w:rsidP="00136667">
            <w:pPr>
              <w:pStyle w:val="Body"/>
              <w:rPr>
                <w:rFonts w:ascii="Calibri" w:hAnsi="Calibri" w:cs="Calibri"/>
                <w:sz w:val="24"/>
              </w:rPr>
            </w:pPr>
            <w:r w:rsidRPr="00E66C26">
              <w:rPr>
                <w:rFonts w:ascii="Calibri" w:hAnsi="Calibri" w:cs="Calibri"/>
                <w:sz w:val="24"/>
              </w:rPr>
              <w:t>A oferta de Debêntures destinada aos Investidores Institucionais.</w:t>
            </w:r>
            <w:r w:rsidR="00E66C26">
              <w:rPr>
                <w:rFonts w:ascii="Calibri" w:hAnsi="Calibri" w:cs="Calibri"/>
                <w:sz w:val="24"/>
              </w:rPr>
              <w:t xml:space="preserve"> </w:t>
            </w:r>
            <w:r w:rsidR="00E66C26" w:rsidRPr="00E66C26">
              <w:rPr>
                <w:rFonts w:ascii="Calibri" w:hAnsi="Calibri" w:cs="Calibri"/>
                <w:sz w:val="24"/>
              </w:rPr>
              <w:t xml:space="preserve">Os Investidores Institucionais, sejam eles considerados ou não Pessoas Vinculadas, observados o público-alvo da Oferta e a Oferta Não Institucional, </w:t>
            </w:r>
            <w:r w:rsidR="00E66C26" w:rsidRPr="00E66C26">
              <w:rPr>
                <w:rFonts w:ascii="Calibri" w:hAnsi="Calibri" w:cs="Calibri"/>
                <w:sz w:val="24"/>
              </w:rPr>
              <w:lastRenderedPageBreak/>
              <w:t>interessados em adquirir as Debêntures, deverão observar</w:t>
            </w:r>
            <w:r w:rsidR="00E66C26">
              <w:rPr>
                <w:rFonts w:ascii="Calibri" w:hAnsi="Calibri" w:cs="Calibri"/>
                <w:sz w:val="24"/>
              </w:rPr>
              <w:t xml:space="preserve"> os procedimentos descritos no Prospecto Preliminar.</w:t>
            </w:r>
          </w:p>
          <w:p w14:paraId="2B052C70" w14:textId="6F193942" w:rsidR="00E66C26" w:rsidRDefault="00E66C26" w:rsidP="00136667">
            <w:pPr>
              <w:pStyle w:val="Body"/>
              <w:rPr>
                <w:rFonts w:ascii="Calibri" w:hAnsi="Calibri" w:cs="Calibri"/>
                <w:sz w:val="24"/>
              </w:rPr>
            </w:pPr>
            <w:r w:rsidRPr="00E66C26">
              <w:rPr>
                <w:rFonts w:ascii="Calibri" w:hAnsi="Calibri" w:cs="Calibri"/>
                <w:sz w:val="24"/>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r>
              <w:rPr>
                <w:rFonts w:ascii="Calibri" w:hAnsi="Calibri" w:cs="Calibri"/>
                <w:sz w:val="24"/>
              </w:rPr>
              <w:t>.</w:t>
            </w:r>
          </w:p>
          <w:p w14:paraId="19CC8CC7" w14:textId="734B4D8D" w:rsidR="00E66C26" w:rsidRPr="00E66C26" w:rsidRDefault="00E66C26" w:rsidP="00136667">
            <w:pPr>
              <w:pStyle w:val="Body"/>
              <w:rPr>
                <w:rFonts w:ascii="Calibri" w:hAnsi="Calibri" w:cs="Calibri"/>
                <w:sz w:val="24"/>
              </w:rPr>
            </w:pPr>
            <w:r w:rsidRPr="00E66C26">
              <w:rPr>
                <w:rFonts w:ascii="Calibri" w:hAnsi="Calibri" w:cs="Calibri"/>
                <w:b/>
                <w:sz w:val="24"/>
              </w:rPr>
              <w:t xml:space="preserve">Para mais informações, veja a seção </w:t>
            </w:r>
            <w:r w:rsidRPr="00E66C26">
              <w:rPr>
                <w:rFonts w:ascii="Calibri" w:hAnsi="Calibri" w:cs="Calibri"/>
                <w:b/>
                <w:sz w:val="24"/>
                <w:lang w:eastAsia="pt-BR"/>
              </w:rPr>
              <w:t>“</w:t>
            </w:r>
            <w:r>
              <w:rPr>
                <w:rFonts w:ascii="Calibri" w:hAnsi="Calibri" w:cs="Calibri"/>
                <w:b/>
                <w:sz w:val="24"/>
                <w:lang w:eastAsia="pt-BR"/>
              </w:rPr>
              <w:t>Características da Oferta – Oferta Institucional</w:t>
            </w:r>
            <w:r w:rsidRPr="00E66C26">
              <w:rPr>
                <w:rFonts w:ascii="Calibri" w:hAnsi="Calibri" w:cs="Calibri"/>
                <w:b/>
                <w:sz w:val="24"/>
                <w:lang w:eastAsia="pt-BR"/>
              </w:rPr>
              <w:t>”, no Prospecto Preliminar</w:t>
            </w:r>
            <w:r>
              <w:rPr>
                <w:rFonts w:ascii="Calibri" w:hAnsi="Calibri" w:cs="Calibri"/>
                <w:b/>
                <w:sz w:val="24"/>
                <w:lang w:eastAsia="pt-BR"/>
              </w:rPr>
              <w:t>.</w:t>
            </w:r>
          </w:p>
        </w:tc>
      </w:tr>
      <w:tr w:rsidR="00136667" w:rsidRPr="00E66C26" w14:paraId="4FF5C590" w14:textId="77777777" w:rsidTr="004468EF">
        <w:trPr>
          <w:jc w:val="center"/>
        </w:trPr>
        <w:tc>
          <w:tcPr>
            <w:tcW w:w="3119" w:type="dxa"/>
          </w:tcPr>
          <w:p w14:paraId="620E0797" w14:textId="6D3CE3D3"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Oferta Não Institucional</w:t>
            </w:r>
          </w:p>
        </w:tc>
        <w:tc>
          <w:tcPr>
            <w:tcW w:w="5611" w:type="dxa"/>
          </w:tcPr>
          <w:p w14:paraId="23FEE3F8" w14:textId="77777777" w:rsidR="00136667" w:rsidRDefault="00136667" w:rsidP="00136667">
            <w:pPr>
              <w:pStyle w:val="Body"/>
              <w:rPr>
                <w:rFonts w:ascii="Calibri" w:hAnsi="Calibri" w:cs="Calibri"/>
                <w:sz w:val="24"/>
              </w:rPr>
            </w:pPr>
            <w:r w:rsidRPr="00E66C26">
              <w:rPr>
                <w:rFonts w:ascii="Calibri" w:hAnsi="Calibri" w:cs="Calibri"/>
                <w:sz w:val="24"/>
              </w:rPr>
              <w:t>A oferta de Debêntures destinada aos Investidores Não Institucionais</w:t>
            </w:r>
            <w:r w:rsidR="00E66C26">
              <w:rPr>
                <w:rFonts w:ascii="Calibri" w:hAnsi="Calibri" w:cs="Calibri"/>
                <w:sz w:val="24"/>
              </w:rPr>
              <w:t>.</w:t>
            </w:r>
          </w:p>
          <w:p w14:paraId="029F7D65" w14:textId="77777777" w:rsidR="00E66C26" w:rsidRDefault="00E66C26" w:rsidP="00136667">
            <w:pPr>
              <w:pStyle w:val="Body"/>
              <w:rPr>
                <w:rFonts w:ascii="Calibri" w:hAnsi="Calibri" w:cs="Calibri"/>
                <w:sz w:val="24"/>
              </w:rPr>
            </w:pPr>
            <w:r w:rsidRPr="00E66C26">
              <w:rPr>
                <w:rFonts w:ascii="Calibri" w:hAnsi="Calibri" w:cs="Calibri"/>
                <w:sz w:val="24"/>
              </w:rPr>
              <w:t xml:space="preserve">No mínimo 20% (vinte por cento) do Valor Total da Emissão será destinado prioritariamente para Investidores Não Institucionais, no âmbito da Oferta Não Institucional, podendo o Coordenador Líder, em comum acordo com a Emissora, manter a quantidade de Debêntures inicialmente destinada à Oferta Não Institucional ou elevar tal quantidade a um patamar compatível com os objetivos da Oferta, de forma a atender, total ou parcialmente, os Pedidos de Reserva. Caso o total de Debêntures objeto dos Pedidos de Reserva apresentados pelos Investidores Não Institucionais seja (a) igual ou inferior a 20% (vinte por cento) das Debêntures objeto da Emissão, todos os Pedidos de Reserva não cancelados serão integralmente </w:t>
            </w:r>
            <w:r w:rsidRPr="00E66C26">
              <w:rPr>
                <w:rFonts w:ascii="Calibri" w:hAnsi="Calibri" w:cs="Calibri"/>
                <w:sz w:val="24"/>
              </w:rPr>
              <w:lastRenderedPageBreak/>
              <w:t>atendidos e as Debêntures remanescentes serão destinados aos Investidores Institucionais nos termos da Oferta Institucional; ou (b) exceda o percentual prioritariamente destinado à Oferta Não Institucional, as Debêntures destinados à Oferta Não Institucional serão rateadas entre os Investidores Não Institucionais, proporcionalmente ao montante de Debêntures indicado nos respectivos Pedidos de Reserva e não alocado aos Investidores Não Institucionais, desconsideradas frações de Debêntures. Após o atendimento dos Pedidos de Reserva realizados no âmbito da Oferta Não Institucional, as Debêntures remanescentes serão destinados aos Investidores Institucionais</w:t>
            </w:r>
            <w:r>
              <w:rPr>
                <w:rFonts w:ascii="Calibri" w:hAnsi="Calibri" w:cs="Calibri"/>
                <w:sz w:val="24"/>
              </w:rPr>
              <w:t>.</w:t>
            </w:r>
          </w:p>
          <w:p w14:paraId="4F461DE5" w14:textId="0E3DD58B" w:rsidR="00E66C26" w:rsidRPr="00E66C26" w:rsidRDefault="00E66C26" w:rsidP="00136667">
            <w:pPr>
              <w:pStyle w:val="Body"/>
              <w:rPr>
                <w:rFonts w:ascii="Calibri" w:hAnsi="Calibri" w:cs="Calibri"/>
                <w:sz w:val="24"/>
              </w:rPr>
            </w:pPr>
            <w:r w:rsidRPr="00E66C26">
              <w:rPr>
                <w:rFonts w:ascii="Calibri" w:hAnsi="Calibri" w:cs="Calibri"/>
                <w:b/>
                <w:sz w:val="24"/>
              </w:rPr>
              <w:t xml:space="preserve">Para mais informações, veja a seção </w:t>
            </w:r>
            <w:r w:rsidRPr="00E66C26">
              <w:rPr>
                <w:rFonts w:ascii="Calibri" w:hAnsi="Calibri" w:cs="Calibri"/>
                <w:b/>
                <w:sz w:val="24"/>
                <w:lang w:eastAsia="pt-BR"/>
              </w:rPr>
              <w:t>“</w:t>
            </w:r>
            <w:r>
              <w:rPr>
                <w:rFonts w:ascii="Calibri" w:hAnsi="Calibri" w:cs="Calibri"/>
                <w:b/>
                <w:sz w:val="24"/>
                <w:lang w:eastAsia="pt-BR"/>
              </w:rPr>
              <w:t>Características da Oferta – Oferta Não Institucional</w:t>
            </w:r>
            <w:r w:rsidRPr="00E66C26">
              <w:rPr>
                <w:rFonts w:ascii="Calibri" w:hAnsi="Calibri" w:cs="Calibri"/>
                <w:b/>
                <w:sz w:val="24"/>
                <w:lang w:eastAsia="pt-BR"/>
              </w:rPr>
              <w:t>”, no Prospecto Preliminar</w:t>
            </w:r>
          </w:p>
        </w:tc>
      </w:tr>
      <w:tr w:rsidR="00136667" w:rsidRPr="00E66C26" w14:paraId="22C0A073" w14:textId="77777777" w:rsidTr="004468EF">
        <w:trPr>
          <w:jc w:val="center"/>
        </w:trPr>
        <w:tc>
          <w:tcPr>
            <w:tcW w:w="3119" w:type="dxa"/>
          </w:tcPr>
          <w:p w14:paraId="75BAF19D" w14:textId="5980475B" w:rsidR="00136667" w:rsidRPr="00E66C26" w:rsidRDefault="00136667" w:rsidP="00136667">
            <w:pPr>
              <w:pStyle w:val="Body"/>
              <w:jc w:val="left"/>
              <w:rPr>
                <w:rFonts w:ascii="Calibri" w:hAnsi="Calibri" w:cs="Calibri"/>
                <w:b/>
                <w:bCs/>
                <w:sz w:val="24"/>
              </w:rPr>
            </w:pPr>
            <w:r w:rsidRPr="00E66C26">
              <w:rPr>
                <w:rFonts w:ascii="Calibri" w:hAnsi="Calibri" w:cs="Calibri"/>
                <w:b/>
                <w:bCs/>
                <w:sz w:val="24"/>
              </w:rPr>
              <w:lastRenderedPageBreak/>
              <w:t>Investidores</w:t>
            </w:r>
          </w:p>
        </w:tc>
        <w:tc>
          <w:tcPr>
            <w:tcW w:w="5611" w:type="dxa"/>
          </w:tcPr>
          <w:p w14:paraId="1FD3FDE9" w14:textId="24B182E5" w:rsidR="00136667" w:rsidRPr="00E66C26" w:rsidRDefault="00136667" w:rsidP="00136667">
            <w:pPr>
              <w:pStyle w:val="Body"/>
              <w:rPr>
                <w:rFonts w:ascii="Calibri" w:hAnsi="Calibri" w:cs="Calibri"/>
                <w:sz w:val="24"/>
              </w:rPr>
            </w:pPr>
            <w:r w:rsidRPr="00E66C26">
              <w:rPr>
                <w:rFonts w:ascii="Calibri" w:hAnsi="Calibri" w:cs="Calibri"/>
                <w:sz w:val="24"/>
              </w:rPr>
              <w:t>Os Investidores Não Institucionais e os Investidores Institucionais, em conjunto.</w:t>
            </w:r>
          </w:p>
        </w:tc>
      </w:tr>
      <w:tr w:rsidR="00136667" w:rsidRPr="00E66C26" w14:paraId="6DFAEF13" w14:textId="77777777" w:rsidTr="004468EF">
        <w:trPr>
          <w:jc w:val="center"/>
        </w:trPr>
        <w:tc>
          <w:tcPr>
            <w:tcW w:w="3119" w:type="dxa"/>
          </w:tcPr>
          <w:p w14:paraId="17BC276E" w14:textId="043B12B6" w:rsidR="00136667" w:rsidRPr="00E66C26" w:rsidRDefault="00136667" w:rsidP="00136667">
            <w:pPr>
              <w:pStyle w:val="Body"/>
              <w:jc w:val="left"/>
              <w:rPr>
                <w:rFonts w:ascii="Calibri" w:hAnsi="Calibri" w:cs="Calibri"/>
                <w:b/>
                <w:sz w:val="24"/>
              </w:rPr>
            </w:pPr>
            <w:r w:rsidRPr="00E66C26">
              <w:rPr>
                <w:rFonts w:ascii="Calibri" w:hAnsi="Calibri" w:cs="Calibri"/>
                <w:b/>
                <w:sz w:val="24"/>
              </w:rPr>
              <w:t>Público-Alvo da Oferta</w:t>
            </w:r>
          </w:p>
        </w:tc>
        <w:tc>
          <w:tcPr>
            <w:tcW w:w="5611" w:type="dxa"/>
          </w:tcPr>
          <w:p w14:paraId="284158DD" w14:textId="31F6CAC3" w:rsidR="00136667" w:rsidRPr="00E66C26" w:rsidRDefault="002170CB" w:rsidP="00136667">
            <w:pPr>
              <w:pStyle w:val="Body"/>
              <w:rPr>
                <w:rFonts w:ascii="Calibri" w:hAnsi="Calibri" w:cs="Calibri"/>
                <w:sz w:val="24"/>
              </w:rPr>
            </w:pPr>
            <w:r w:rsidRPr="00E66C26">
              <w:rPr>
                <w:rFonts w:ascii="Calibri" w:hAnsi="Calibri" w:cs="Calibri"/>
                <w:sz w:val="24"/>
              </w:rPr>
              <w:t>O público alvo da Oferta, levando-se sempre em conta o perfil de risco dos seus destinatários, será composto por (i) “Investidores Institucionais”, definidos como investidores que sejam fundos de investimento, clubes de investimento, carteiras administradas, fundos de pensão, entidades administradoras de recursos de terceiros registradas na CVM, entidades autorizadas a funcionar pelo Banco Central do Brasil (“</w:t>
            </w:r>
            <w:r w:rsidRPr="00E66C26">
              <w:rPr>
                <w:rFonts w:ascii="Calibri" w:hAnsi="Calibri" w:cs="Calibri"/>
                <w:sz w:val="24"/>
                <w:u w:val="single"/>
              </w:rPr>
              <w:t>BACEN</w:t>
            </w:r>
            <w:r w:rsidRPr="00E66C26">
              <w:rPr>
                <w:rFonts w:ascii="Calibri" w:hAnsi="Calibri" w:cs="Calibri"/>
                <w:sz w:val="24"/>
              </w:rPr>
              <w:t xml:space="preserve">”), seguradoras, entidades de previdência complementar e de capitalização, bem como pessoas físicas ou jurídicas que sejam considerados investidores profissionais ou investidores qualificados, conforme definido nos artigos 11 e 12 da Resolução da CVM nº 30, de 11 e maio de </w:t>
            </w:r>
            <w:r w:rsidRPr="00E66C26">
              <w:rPr>
                <w:rFonts w:ascii="Calibri" w:hAnsi="Calibri" w:cs="Calibri"/>
                <w:sz w:val="24"/>
              </w:rPr>
              <w:lastRenderedPageBreak/>
              <w:t>2021, assim como, investidores pessoas físicas ou jurídicas que formalizem o Pedido de Reserva em valor igual ou superior a R$1.000.000,00 (um milhão de reais); e (</w:t>
            </w:r>
            <w:proofErr w:type="spellStart"/>
            <w:r w:rsidRPr="00E66C26">
              <w:rPr>
                <w:rFonts w:ascii="Calibri" w:hAnsi="Calibri" w:cs="Calibri"/>
                <w:sz w:val="24"/>
              </w:rPr>
              <w:t>ii</w:t>
            </w:r>
            <w:proofErr w:type="spellEnd"/>
            <w:r w:rsidRPr="00E66C26">
              <w:rPr>
                <w:rFonts w:ascii="Calibri" w:hAnsi="Calibri" w:cs="Calibri"/>
                <w:sz w:val="24"/>
              </w:rPr>
              <w:t>) “Investidores Não Institucionais”, definidos como investidores, pessoas físicas ou jurídicas, que não estejam compreendidos na definição de Investidores Institucionais, observado que o valor máximo por Pedido de Reserva (conforme abaixo definido) seja de R$1.000.000,00 (um milhão de reais) por Investidor Não Institucional (sendo os Investidores Institucionais e os Investidores Não Institucionais, em conjunto, “</w:t>
            </w:r>
            <w:r w:rsidRPr="00E66C26">
              <w:rPr>
                <w:rFonts w:ascii="Calibri" w:hAnsi="Calibri" w:cs="Calibri"/>
                <w:sz w:val="24"/>
                <w:u w:val="single"/>
              </w:rPr>
              <w:t>Investidores da Oferta</w:t>
            </w:r>
            <w:r w:rsidRPr="00E66C26">
              <w:rPr>
                <w:rFonts w:ascii="Calibri" w:hAnsi="Calibri" w:cs="Calibri"/>
                <w:sz w:val="24"/>
              </w:rPr>
              <w:t>”).</w:t>
            </w:r>
          </w:p>
        </w:tc>
      </w:tr>
      <w:tr w:rsidR="00136667" w:rsidRPr="00E66C26" w14:paraId="51EBF935" w14:textId="77777777" w:rsidTr="00546802">
        <w:trPr>
          <w:jc w:val="center"/>
        </w:trPr>
        <w:tc>
          <w:tcPr>
            <w:tcW w:w="3119" w:type="dxa"/>
          </w:tcPr>
          <w:p w14:paraId="4EB28F1B" w14:textId="7BBC0EB2"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 xml:space="preserve">Coleta de Intenções de Investimento (Procedimento de </w:t>
            </w:r>
            <w:proofErr w:type="spellStart"/>
            <w:r w:rsidRPr="00E66C26">
              <w:rPr>
                <w:rFonts w:ascii="Calibri" w:hAnsi="Calibri" w:cs="Calibri"/>
                <w:b/>
                <w:i/>
                <w:iCs/>
                <w:sz w:val="24"/>
              </w:rPr>
              <w:t>Bookbuilding</w:t>
            </w:r>
            <w:proofErr w:type="spellEnd"/>
            <w:r w:rsidRPr="00E66C26">
              <w:rPr>
                <w:rFonts w:ascii="Calibri" w:hAnsi="Calibri" w:cs="Calibri"/>
                <w:b/>
                <w:sz w:val="24"/>
              </w:rPr>
              <w:t>)</w:t>
            </w:r>
          </w:p>
        </w:tc>
        <w:tc>
          <w:tcPr>
            <w:tcW w:w="5611" w:type="dxa"/>
          </w:tcPr>
          <w:p w14:paraId="3328EB88" w14:textId="0750F1B3" w:rsidR="00136667" w:rsidRPr="00E66C26" w:rsidRDefault="00136667" w:rsidP="00136667">
            <w:pPr>
              <w:pStyle w:val="Body"/>
              <w:rPr>
                <w:rFonts w:ascii="Calibri" w:hAnsi="Calibri" w:cs="Calibri"/>
                <w:sz w:val="24"/>
              </w:rPr>
            </w:pPr>
            <w:r w:rsidRPr="00E66C26">
              <w:rPr>
                <w:rFonts w:ascii="Calibri" w:hAnsi="Calibri" w:cs="Calibri"/>
                <w:sz w:val="24"/>
              </w:rPr>
              <w:t>O Coordenador Líder organizará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w:t>
            </w:r>
            <w:r w:rsidR="00F068CF" w:rsidRPr="00E66C26">
              <w:rPr>
                <w:rFonts w:ascii="Calibri" w:hAnsi="Calibri" w:cs="Calibri"/>
                <w:sz w:val="24"/>
              </w:rPr>
              <w:t>x</w:t>
            </w:r>
            <w:r w:rsidRPr="00E66C26">
              <w:rPr>
                <w:rFonts w:ascii="Calibri" w:hAnsi="Calibri" w:cs="Calibri"/>
                <w:sz w:val="24"/>
              </w:rPr>
              <w:t>a de juros, de forma a, de comum acordo com a Emissora: (i) verificar a existência de demanda para a colocação da totalidade das Debêntures, sem considerar as Debêntures Adicionais, e, sendo verificada tal demanda, definir sobre a realização da Emissão em série única ou em 2 (duas) séries; (</w:t>
            </w:r>
            <w:proofErr w:type="spellStart"/>
            <w:r w:rsidRPr="00E66C26">
              <w:rPr>
                <w:rFonts w:ascii="Calibri" w:hAnsi="Calibri" w:cs="Calibri"/>
                <w:sz w:val="24"/>
              </w:rPr>
              <w:t>ii</w:t>
            </w:r>
            <w:proofErr w:type="spellEnd"/>
            <w:r w:rsidRPr="00E66C26">
              <w:rPr>
                <w:rFonts w:ascii="Calibri" w:hAnsi="Calibri" w:cs="Calibri"/>
                <w:sz w:val="24"/>
              </w:rPr>
              <w:t>) definir sobre a emissão e a quantidade de Debêntures da Primeira Série e/ou de Debêntures da Segunda Série, observado o disposto na Cláusula 6.8 da Escritura de Emissão; (</w:t>
            </w:r>
            <w:proofErr w:type="spellStart"/>
            <w:r w:rsidRPr="00E66C26">
              <w:rPr>
                <w:rFonts w:ascii="Calibri" w:hAnsi="Calibri" w:cs="Calibri"/>
                <w:sz w:val="24"/>
              </w:rPr>
              <w:t>iii</w:t>
            </w:r>
            <w:proofErr w:type="spellEnd"/>
            <w:r w:rsidRPr="00E66C26">
              <w:rPr>
                <w:rFonts w:ascii="Calibri" w:hAnsi="Calibri" w:cs="Calibri"/>
                <w:sz w:val="24"/>
              </w:rPr>
              <w:t>) definir a taxa final dos Juros Remuneratórios da Primeira Série, nos termos da Cláusula 6.9.5 da Escritura de Emissão, caso sejam emitidas Debêntures da Primeira Série; (</w:t>
            </w:r>
            <w:proofErr w:type="spellStart"/>
            <w:r w:rsidRPr="00E66C26">
              <w:rPr>
                <w:rFonts w:ascii="Calibri" w:hAnsi="Calibri" w:cs="Calibri"/>
                <w:sz w:val="24"/>
              </w:rPr>
              <w:t>iv</w:t>
            </w:r>
            <w:proofErr w:type="spellEnd"/>
            <w:r w:rsidRPr="00E66C26">
              <w:rPr>
                <w:rFonts w:ascii="Calibri" w:hAnsi="Calibri" w:cs="Calibri"/>
                <w:sz w:val="24"/>
              </w:rPr>
              <w:t xml:space="preserve">) definir a taxa final dos Juros Remuneratórios da Segunda Série, </w:t>
            </w:r>
            <w:r w:rsidRPr="00E66C26">
              <w:rPr>
                <w:rFonts w:ascii="Calibri" w:hAnsi="Calibri" w:cs="Calibri"/>
                <w:sz w:val="24"/>
              </w:rPr>
              <w:lastRenderedPageBreak/>
              <w:t>nos termos da Cláusula 6.9.6 da Escritura de Emissão, caso sejam emitidas Debêntures da Segunda Série; (v) definir a alocação das Debêntures entre os Investidores da Oferta; e (vi) definir a colocação, ou não, das Debêntures Adicionais, bem como a(s) respectiva(s) Série(s) na(s) qual(</w:t>
            </w:r>
            <w:proofErr w:type="spellStart"/>
            <w:r w:rsidRPr="00E66C26">
              <w:rPr>
                <w:rFonts w:ascii="Calibri" w:hAnsi="Calibri" w:cs="Calibri"/>
                <w:sz w:val="24"/>
              </w:rPr>
              <w:t>is</w:t>
            </w:r>
            <w:proofErr w:type="spellEnd"/>
            <w:r w:rsidRPr="00E66C26">
              <w:rPr>
                <w:rFonts w:ascii="Calibri" w:hAnsi="Calibri" w:cs="Calibri"/>
                <w:sz w:val="24"/>
              </w:rPr>
              <w:t>) será(</w:t>
            </w:r>
            <w:proofErr w:type="spellStart"/>
            <w:r w:rsidRPr="00E66C26">
              <w:rPr>
                <w:rFonts w:ascii="Calibri" w:hAnsi="Calibri" w:cs="Calibri"/>
                <w:sz w:val="24"/>
              </w:rPr>
              <w:t>ão</w:t>
            </w:r>
            <w:proofErr w:type="spellEnd"/>
            <w:r w:rsidRPr="00E66C26">
              <w:rPr>
                <w:rFonts w:ascii="Calibri" w:hAnsi="Calibri" w:cs="Calibri"/>
                <w:sz w:val="24"/>
              </w:rPr>
              <w:t>) alocada(s) as Debêntures Adicionais e, consequentemente, a quantidade de Debêntures a ser alocada em cada uma das Séries (“</w:t>
            </w:r>
            <w:r w:rsidRPr="00E66C26">
              <w:rPr>
                <w:rFonts w:ascii="Calibri" w:hAnsi="Calibri" w:cs="Calibri"/>
                <w:sz w:val="24"/>
                <w:u w:val="single"/>
              </w:rPr>
              <w:t xml:space="preserve">Procedimento de </w:t>
            </w:r>
            <w:proofErr w:type="spellStart"/>
            <w:r w:rsidRPr="00E66C26">
              <w:rPr>
                <w:rFonts w:ascii="Calibri" w:hAnsi="Calibri" w:cs="Calibri"/>
                <w:i/>
                <w:iCs/>
                <w:sz w:val="24"/>
                <w:u w:val="single"/>
              </w:rPr>
              <w:t>Bookbuilding</w:t>
            </w:r>
            <w:proofErr w:type="spellEnd"/>
            <w:r w:rsidRPr="00E66C26">
              <w:rPr>
                <w:rFonts w:ascii="Calibri" w:hAnsi="Calibri" w:cs="Calibri"/>
                <w:sz w:val="24"/>
              </w:rPr>
              <w:t>”).</w:t>
            </w:r>
          </w:p>
          <w:p w14:paraId="636F716F" w14:textId="67BEA0FB" w:rsidR="00136667" w:rsidRPr="00E66C26" w:rsidRDefault="00136667" w:rsidP="00136667">
            <w:pPr>
              <w:pStyle w:val="Body"/>
              <w:rPr>
                <w:rFonts w:ascii="Calibri" w:eastAsia="Calibri" w:hAnsi="Calibri" w:cs="Calibri"/>
                <w:bCs/>
                <w:sz w:val="24"/>
              </w:rPr>
            </w:pPr>
            <w:r w:rsidRPr="00E66C26">
              <w:rPr>
                <w:rFonts w:ascii="Calibri" w:eastAsia="Calibri" w:hAnsi="Calibri" w:cs="Calibri"/>
                <w:bCs/>
                <w:sz w:val="24"/>
              </w:rPr>
              <w:t xml:space="preserve">A alocação das Debêntures entre Debêntures da Primeira Série e Debêntures da Segunda Série será realizada no sistema de vasos comunicantes, ou seja, a alocação da quantidade total de Debêntures entre Debêntures de Primeira Série e Debêntures de Segunda Série, se emitidas, será definida no Procedimento de </w:t>
            </w:r>
            <w:proofErr w:type="spellStart"/>
            <w:r w:rsidRPr="00E66C26">
              <w:rPr>
                <w:rFonts w:ascii="Calibri" w:eastAsia="Calibri" w:hAnsi="Calibri" w:cs="Calibri"/>
                <w:bCs/>
                <w:i/>
                <w:iCs/>
                <w:sz w:val="24"/>
              </w:rPr>
              <w:t>Bookbuiling</w:t>
            </w:r>
            <w:proofErr w:type="spellEnd"/>
            <w:r w:rsidRPr="00E66C26">
              <w:rPr>
                <w:rFonts w:ascii="Calibri" w:eastAsia="Calibri" w:hAnsi="Calibri" w:cs="Calibri"/>
                <w:bCs/>
                <w:i/>
                <w:iCs/>
                <w:sz w:val="24"/>
              </w:rPr>
              <w:t>,</w:t>
            </w:r>
            <w:r w:rsidRPr="00E66C26">
              <w:rPr>
                <w:rFonts w:ascii="Calibri" w:eastAsia="Calibri" w:hAnsi="Calibri" w:cs="Calibri"/>
                <w:bCs/>
                <w:sz w:val="24"/>
              </w:rPr>
              <w:t xml:space="preserve"> observado que (i) uma das Séries poderá não ser emitida, hipótese na qual a Emissão será realizada em série única; e (</w:t>
            </w:r>
            <w:proofErr w:type="spellStart"/>
            <w:r w:rsidRPr="00E66C26">
              <w:rPr>
                <w:rFonts w:ascii="Calibri" w:eastAsia="Calibri" w:hAnsi="Calibri" w:cs="Calibri"/>
                <w:bCs/>
                <w:sz w:val="24"/>
              </w:rPr>
              <w:t>ii</w:t>
            </w:r>
            <w:proofErr w:type="spellEnd"/>
            <w:r w:rsidRPr="00E66C26">
              <w:rPr>
                <w:rFonts w:ascii="Calibri" w:eastAsia="Calibri" w:hAnsi="Calibri" w:cs="Calibri"/>
                <w:bCs/>
                <w:sz w:val="24"/>
              </w:rPr>
              <w:t>) o somatório das Debêntures da Primeira Série e das Debêntures da Segunda Série não excederá o Valor Total da Emissão, observada a possibilidade de emissão das Debêntures Adicionais (“</w:t>
            </w:r>
            <w:r w:rsidRPr="00E66C26">
              <w:rPr>
                <w:rFonts w:ascii="Calibri" w:eastAsia="Calibri" w:hAnsi="Calibri" w:cs="Calibri"/>
                <w:bCs/>
                <w:sz w:val="24"/>
                <w:u w:val="single"/>
              </w:rPr>
              <w:t>Sistema de Vasos Comunicantes</w:t>
            </w:r>
            <w:r w:rsidRPr="00E66C26">
              <w:rPr>
                <w:rFonts w:ascii="Calibri" w:eastAsia="Calibri" w:hAnsi="Calibri" w:cs="Calibri"/>
                <w:bCs/>
                <w:sz w:val="24"/>
              </w:rPr>
              <w:t>”).</w:t>
            </w:r>
          </w:p>
          <w:p w14:paraId="1732BB5E" w14:textId="2E1DF389" w:rsidR="00136667" w:rsidRPr="00E66C26" w:rsidRDefault="00136667" w:rsidP="00136667">
            <w:pPr>
              <w:pStyle w:val="Body"/>
              <w:rPr>
                <w:rFonts w:ascii="Calibri" w:eastAsia="Calibri" w:hAnsi="Calibri" w:cs="Calibri"/>
                <w:bCs/>
                <w:sz w:val="24"/>
              </w:rPr>
            </w:pPr>
            <w:r w:rsidRPr="00E66C26">
              <w:rPr>
                <w:rFonts w:ascii="Calibri" w:eastAsia="Calibri" w:hAnsi="Calibri" w:cs="Calibri"/>
                <w:bCs/>
                <w:sz w:val="24"/>
              </w:rPr>
              <w:t xml:space="preserve">Participarão do Procedimento de </w:t>
            </w:r>
            <w:proofErr w:type="spellStart"/>
            <w:r w:rsidRPr="00E66C26">
              <w:rPr>
                <w:rFonts w:ascii="Calibri" w:eastAsia="Calibri" w:hAnsi="Calibri" w:cs="Calibri"/>
                <w:bCs/>
                <w:i/>
                <w:iCs/>
                <w:sz w:val="24"/>
              </w:rPr>
              <w:t>Bookbuilding</w:t>
            </w:r>
            <w:proofErr w:type="spellEnd"/>
            <w:r w:rsidRPr="00E66C26">
              <w:rPr>
                <w:rFonts w:ascii="Calibri" w:eastAsia="Calibri" w:hAnsi="Calibri" w:cs="Calibri"/>
                <w:bCs/>
                <w:sz w:val="24"/>
              </w:rPr>
              <w:t xml:space="preserve"> para definição dos Juros Remuneratórios e alocação das Debêntures entre as Séries exclusivamente Investidores Institucionais. Nesse sentido, os Investidores Não Institucionais não participarão do Procedimento de </w:t>
            </w:r>
            <w:proofErr w:type="spellStart"/>
            <w:r w:rsidRPr="00E66C26">
              <w:rPr>
                <w:rFonts w:ascii="Calibri" w:eastAsia="Calibri" w:hAnsi="Calibri" w:cs="Calibri"/>
                <w:bCs/>
                <w:i/>
                <w:iCs/>
                <w:sz w:val="24"/>
              </w:rPr>
              <w:t>Bookbuilding</w:t>
            </w:r>
            <w:proofErr w:type="spellEnd"/>
            <w:r w:rsidRPr="00E66C26">
              <w:rPr>
                <w:rFonts w:ascii="Calibri" w:eastAsia="Calibri" w:hAnsi="Calibri" w:cs="Calibri"/>
                <w:bCs/>
                <w:i/>
                <w:iCs/>
                <w:sz w:val="24"/>
              </w:rPr>
              <w:t xml:space="preserve"> </w:t>
            </w:r>
            <w:r w:rsidRPr="00E66C26">
              <w:rPr>
                <w:rFonts w:ascii="Calibri" w:eastAsia="Calibri" w:hAnsi="Calibri" w:cs="Calibri"/>
                <w:bCs/>
                <w:sz w:val="24"/>
              </w:rPr>
              <w:t>para a definição dos Juros Remuneratórios e alocação das Debêntures entre as Séries.</w:t>
            </w:r>
          </w:p>
          <w:p w14:paraId="4E148EFC" w14:textId="7B8FC1BC" w:rsidR="00136667" w:rsidRPr="00E66C26" w:rsidRDefault="00136667" w:rsidP="00136667">
            <w:pPr>
              <w:pStyle w:val="Body"/>
              <w:rPr>
                <w:rFonts w:ascii="Calibri" w:eastAsia="Calibri" w:hAnsi="Calibri" w:cs="Calibri"/>
                <w:bCs/>
                <w:sz w:val="24"/>
              </w:rPr>
            </w:pPr>
            <w:r w:rsidRPr="00E66C26">
              <w:rPr>
                <w:rFonts w:ascii="Calibri" w:eastAsia="Calibri" w:hAnsi="Calibri" w:cs="Calibri"/>
                <w:bCs/>
                <w:sz w:val="24"/>
              </w:rPr>
              <w:t xml:space="preserve">Ao final do Procedimento de </w:t>
            </w:r>
            <w:proofErr w:type="spellStart"/>
            <w:r w:rsidRPr="00E66C26">
              <w:rPr>
                <w:rFonts w:ascii="Calibri" w:eastAsia="Calibri" w:hAnsi="Calibri" w:cs="Calibri"/>
                <w:bCs/>
                <w:sz w:val="24"/>
              </w:rPr>
              <w:t>Bookbuilding</w:t>
            </w:r>
            <w:proofErr w:type="spellEnd"/>
            <w:r w:rsidRPr="00E66C26">
              <w:rPr>
                <w:rFonts w:ascii="Calibri" w:eastAsia="Calibri" w:hAnsi="Calibri" w:cs="Calibri"/>
                <w:bCs/>
                <w:sz w:val="24"/>
              </w:rPr>
              <w:t>, a Emissora ratificará (i) a quantidade de Séries; (</w:t>
            </w:r>
            <w:proofErr w:type="spellStart"/>
            <w:r w:rsidRPr="00E66C26">
              <w:rPr>
                <w:rFonts w:ascii="Calibri" w:eastAsia="Calibri" w:hAnsi="Calibri" w:cs="Calibri"/>
                <w:bCs/>
                <w:sz w:val="24"/>
              </w:rPr>
              <w:t>ii</w:t>
            </w:r>
            <w:proofErr w:type="spellEnd"/>
            <w:r w:rsidRPr="00E66C26">
              <w:rPr>
                <w:rFonts w:ascii="Calibri" w:eastAsia="Calibri" w:hAnsi="Calibri" w:cs="Calibri"/>
                <w:bCs/>
                <w:sz w:val="24"/>
              </w:rPr>
              <w:t>) a taxa final dos Juros Remuneratórios; (</w:t>
            </w:r>
            <w:proofErr w:type="spellStart"/>
            <w:r w:rsidRPr="00E66C26">
              <w:rPr>
                <w:rFonts w:ascii="Calibri" w:eastAsia="Calibri" w:hAnsi="Calibri" w:cs="Calibri"/>
                <w:bCs/>
                <w:sz w:val="24"/>
              </w:rPr>
              <w:t>iii</w:t>
            </w:r>
            <w:proofErr w:type="spellEnd"/>
            <w:r w:rsidRPr="00E66C26">
              <w:rPr>
                <w:rFonts w:ascii="Calibri" w:eastAsia="Calibri" w:hAnsi="Calibri" w:cs="Calibri"/>
                <w:bCs/>
                <w:sz w:val="24"/>
              </w:rPr>
              <w:t xml:space="preserve">) a alocação das Debêntures </w:t>
            </w:r>
            <w:r w:rsidRPr="00E66C26">
              <w:rPr>
                <w:rFonts w:ascii="Calibri" w:eastAsia="Calibri" w:hAnsi="Calibri" w:cs="Calibri"/>
                <w:bCs/>
                <w:sz w:val="24"/>
              </w:rPr>
              <w:lastRenderedPageBreak/>
              <w:t>entre as Séries; e (</w:t>
            </w:r>
            <w:proofErr w:type="spellStart"/>
            <w:r w:rsidRPr="00E66C26">
              <w:rPr>
                <w:rFonts w:ascii="Calibri" w:eastAsia="Calibri" w:hAnsi="Calibri" w:cs="Calibri"/>
                <w:bCs/>
                <w:sz w:val="24"/>
              </w:rPr>
              <w:t>iv</w:t>
            </w:r>
            <w:proofErr w:type="spellEnd"/>
            <w:r w:rsidRPr="00E66C26">
              <w:rPr>
                <w:rFonts w:ascii="Calibri" w:eastAsia="Calibri" w:hAnsi="Calibri" w:cs="Calibri"/>
                <w:bCs/>
                <w:sz w:val="24"/>
              </w:rPr>
              <w:t xml:space="preserve">) a colocação ou não das Debêntures Adicionais e a(s) respectiva(s) Série(s) de alocação das Debêntures Adicionais, caso emitidas, por meio de aditamento a Escritura de Emissão, que deverá ser arquivado na JUCESP, sem necessidade de nova aprovação societária pela Emissora, nos termos da RCA da Emissão, ou de realização de Assembleia Geral de Debenturistas. O resultado do Procedimento de </w:t>
            </w:r>
            <w:proofErr w:type="spellStart"/>
            <w:r w:rsidRPr="00E66C26">
              <w:rPr>
                <w:rFonts w:ascii="Calibri" w:eastAsia="Calibri" w:hAnsi="Calibri" w:cs="Calibri"/>
                <w:bCs/>
                <w:sz w:val="24"/>
              </w:rPr>
              <w:t>Bookbuilding</w:t>
            </w:r>
            <w:proofErr w:type="spellEnd"/>
            <w:r w:rsidRPr="00E66C26">
              <w:rPr>
                <w:rFonts w:ascii="Calibri" w:eastAsia="Calibri" w:hAnsi="Calibri" w:cs="Calibri"/>
                <w:bCs/>
                <w:sz w:val="24"/>
              </w:rPr>
              <w:t xml:space="preserve"> será divulgado por meio do Anúncio de Início, nos termos do artigo 23, parágrafo 2º, da Instrução CVM 400.</w:t>
            </w:r>
          </w:p>
          <w:p w14:paraId="4769C7AE" w14:textId="6B8784B6" w:rsidR="00136667" w:rsidRPr="00E66C26" w:rsidRDefault="00136667" w:rsidP="00136667">
            <w:pPr>
              <w:pStyle w:val="Body"/>
              <w:rPr>
                <w:rFonts w:ascii="Calibri" w:eastAsia="Calibri" w:hAnsi="Calibri" w:cs="Calibri"/>
                <w:bCs/>
                <w:sz w:val="24"/>
              </w:rPr>
            </w:pPr>
            <w:r w:rsidRPr="00E66C26">
              <w:rPr>
                <w:rFonts w:ascii="Calibri" w:eastAsia="Calibri" w:hAnsi="Calibri" w:cs="Calibri"/>
                <w:bCs/>
                <w:sz w:val="24"/>
              </w:rPr>
              <w:t>Nos termos do artigo 55 da Instrução CVM 400, poderá ser aceita a participação de Investidores da Oferta que sejam Pessoas Vinculadas. Caso seja verificado excesso de demanda superior em 1/3 (um terço) à quantidade 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572C19F0" w14:textId="0CFCBAEE" w:rsidR="00136667" w:rsidRPr="00E66C26" w:rsidRDefault="00136667" w:rsidP="00136667">
            <w:pPr>
              <w:pStyle w:val="Body"/>
              <w:rPr>
                <w:rFonts w:ascii="Calibri" w:hAnsi="Calibri" w:cs="Calibri"/>
                <w:sz w:val="24"/>
              </w:rPr>
            </w:pPr>
            <w:r w:rsidRPr="00E66C26">
              <w:rPr>
                <w:rFonts w:ascii="Calibri" w:eastAsia="MS Mincho" w:hAnsi="Calibri" w:cs="Calibri"/>
                <w:b/>
                <w:spacing w:val="-4"/>
                <w:sz w:val="24"/>
              </w:rPr>
              <w:t xml:space="preserve">O investimento nas Debêntures por Investidores que sejam Pessoas Vinculadas (conforme abaixo definida) poderá afetar a liquidez das Debêntures no mercado secundário. </w:t>
            </w:r>
            <w:r w:rsidRPr="00E66C26">
              <w:rPr>
                <w:rFonts w:ascii="Calibri" w:eastAsia="Calibri" w:hAnsi="Calibri" w:cs="Calibri"/>
                <w:b/>
                <w:sz w:val="24"/>
              </w:rPr>
              <w:t xml:space="preserve">Para mais informações acerca do Procedimento de </w:t>
            </w:r>
            <w:proofErr w:type="spellStart"/>
            <w:r w:rsidRPr="00E66C26">
              <w:rPr>
                <w:rFonts w:ascii="Calibri" w:eastAsia="Calibri" w:hAnsi="Calibri" w:cs="Calibri"/>
                <w:b/>
                <w:i/>
                <w:sz w:val="24"/>
              </w:rPr>
              <w:t>Bookbuilding</w:t>
            </w:r>
            <w:proofErr w:type="spellEnd"/>
            <w:r w:rsidRPr="00E66C26">
              <w:rPr>
                <w:rFonts w:ascii="Calibri" w:eastAsia="Calibri" w:hAnsi="Calibri" w:cs="Calibri"/>
                <w:b/>
                <w:sz w:val="24"/>
              </w:rPr>
              <w:t xml:space="preserve">, veja as seções “Informações Relacionadas à Emissão, à Oferta e às Debêntures – Características da Oferta – Procedimento de Coleta de Intenções de Investimento (Procedimento de </w:t>
            </w:r>
            <w:proofErr w:type="spellStart"/>
            <w:r w:rsidRPr="00E66C26">
              <w:rPr>
                <w:rFonts w:ascii="Calibri" w:eastAsia="Calibri" w:hAnsi="Calibri" w:cs="Calibri"/>
                <w:b/>
                <w:i/>
                <w:sz w:val="24"/>
              </w:rPr>
              <w:t>Bookbuilding</w:t>
            </w:r>
            <w:proofErr w:type="spellEnd"/>
            <w:r w:rsidRPr="00E66C26">
              <w:rPr>
                <w:rFonts w:ascii="Calibri" w:eastAsia="Calibri" w:hAnsi="Calibri" w:cs="Calibri"/>
                <w:b/>
                <w:sz w:val="24"/>
              </w:rPr>
              <w:t xml:space="preserve">)” e “Fatores de Risco Relacionados à Oferta e às Debêntures – </w:t>
            </w:r>
            <w:r w:rsidRPr="00E66C26">
              <w:rPr>
                <w:rFonts w:ascii="Calibri" w:hAnsi="Calibri" w:cs="Calibri"/>
                <w:b/>
                <w:bCs/>
                <w:sz w:val="24"/>
              </w:rPr>
              <w:t xml:space="preserve">O investimento nas Debêntures por Investidores da Oferta que sejam </w:t>
            </w:r>
            <w:r w:rsidRPr="00E66C26">
              <w:rPr>
                <w:rFonts w:ascii="Calibri" w:hAnsi="Calibri" w:cs="Calibri"/>
                <w:b/>
                <w:bCs/>
                <w:sz w:val="24"/>
              </w:rPr>
              <w:lastRenderedPageBreak/>
              <w:t>Pessoas Vinculadas poderá ter um impacto adverso na liquidez das Debêntures no mercado secundário.</w:t>
            </w:r>
            <w:r w:rsidRPr="00E66C26">
              <w:rPr>
                <w:rFonts w:ascii="Calibri" w:eastAsia="MS Mincho" w:hAnsi="Calibri" w:cs="Calibri"/>
                <w:b/>
                <w:spacing w:val="-4"/>
                <w:sz w:val="24"/>
              </w:rPr>
              <w:t xml:space="preserve">” </w:t>
            </w:r>
            <w:r w:rsidRPr="00E66C26">
              <w:rPr>
                <w:rFonts w:ascii="Calibri" w:eastAsia="Calibri" w:hAnsi="Calibri" w:cs="Calibri"/>
                <w:b/>
                <w:sz w:val="24"/>
              </w:rPr>
              <w:t>do Prospecto Preliminar.</w:t>
            </w:r>
          </w:p>
        </w:tc>
      </w:tr>
      <w:tr w:rsidR="00136667" w:rsidRPr="00E66C26" w14:paraId="1DBCA91A" w14:textId="77777777" w:rsidTr="00546802">
        <w:trPr>
          <w:jc w:val="center"/>
        </w:trPr>
        <w:tc>
          <w:tcPr>
            <w:tcW w:w="3119" w:type="dxa"/>
          </w:tcPr>
          <w:p w14:paraId="532C062D" w14:textId="77777777"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Pessoas Vinculadas</w:t>
            </w:r>
          </w:p>
        </w:tc>
        <w:tc>
          <w:tcPr>
            <w:tcW w:w="5611" w:type="dxa"/>
          </w:tcPr>
          <w:p w14:paraId="08F54DE0" w14:textId="452BE6F8" w:rsidR="00136667" w:rsidRPr="00E66C26" w:rsidRDefault="00136667" w:rsidP="00136667">
            <w:pPr>
              <w:pStyle w:val="Body"/>
              <w:rPr>
                <w:rFonts w:ascii="Calibri" w:hAnsi="Calibri" w:cs="Calibri"/>
                <w:sz w:val="24"/>
              </w:rPr>
            </w:pPr>
            <w:r w:rsidRPr="00E66C26">
              <w:rPr>
                <w:rFonts w:ascii="Calibri" w:hAnsi="Calibri" w:cs="Calibri"/>
                <w:sz w:val="24"/>
              </w:rPr>
              <w:t>São consideradas “Pessoas Vinculadas”: (i) administradores, funcionários, operadores e demais prepostos da Emissora e/ou das Instituições Participantes da Oferta, que desempenhem atividades de intermediação ou de suporte operacional diretamente envolvidos na Oferta; (</w:t>
            </w:r>
            <w:proofErr w:type="spellStart"/>
            <w:r w:rsidRPr="00E66C26">
              <w:rPr>
                <w:rFonts w:ascii="Calibri" w:hAnsi="Calibri" w:cs="Calibri"/>
                <w:sz w:val="24"/>
              </w:rPr>
              <w:t>ii</w:t>
            </w:r>
            <w:proofErr w:type="spellEnd"/>
            <w:r w:rsidRPr="00E66C26">
              <w:rPr>
                <w:rFonts w:ascii="Calibri" w:hAnsi="Calibri" w:cs="Calibri"/>
                <w:sz w:val="24"/>
              </w:rPr>
              <w:t>) agentes autônomos que prestem serviços à Emissora e/ou às Instituições Participantes da Oferta no âmbito da Oferta; (</w:t>
            </w:r>
            <w:proofErr w:type="spellStart"/>
            <w:r w:rsidRPr="00E66C26">
              <w:rPr>
                <w:rFonts w:ascii="Calibri" w:hAnsi="Calibri" w:cs="Calibri"/>
                <w:sz w:val="24"/>
              </w:rPr>
              <w:t>iii</w:t>
            </w:r>
            <w:proofErr w:type="spellEnd"/>
            <w:r w:rsidRPr="00E66C26">
              <w:rPr>
                <w:rFonts w:ascii="Calibri" w:hAnsi="Calibri" w:cs="Calibri"/>
                <w:sz w:val="24"/>
              </w:rPr>
              <w:t>) demais profissionais que mantenham, com a Emissora e/ou as Instituições Participantes da Oferta, contrato de prestação de serviços diretamente relacionados à atividade de intermediação ou de suporte operacional no âmbito da Oferta; (</w:t>
            </w:r>
            <w:proofErr w:type="spellStart"/>
            <w:r w:rsidRPr="00E66C26">
              <w:rPr>
                <w:rFonts w:ascii="Calibri" w:hAnsi="Calibri" w:cs="Calibri"/>
                <w:sz w:val="24"/>
              </w:rPr>
              <w:t>iv</w:t>
            </w:r>
            <w:proofErr w:type="spellEnd"/>
            <w:r w:rsidRPr="00E66C26">
              <w:rPr>
                <w:rFonts w:ascii="Calibri" w:hAnsi="Calibri" w:cs="Calibri"/>
                <w:sz w:val="24"/>
              </w:rPr>
              <w:t>) pessoas naturais que sejam, direta ou indiretamente, controladoras ou participem do controle societário da Emissora e/ou das Instituições Participantes da Oferta; (v) sociedades controladas, direta ou indiretamente, pela Emissora e/ou pelas Instituições Participantes da Oferta ou por pessoas a elas vinculadas; (vi) cônjuges ou companheiros e filhos menores das pessoas mencionadas nos itens (i) a (</w:t>
            </w:r>
            <w:proofErr w:type="spellStart"/>
            <w:r w:rsidRPr="00E66C26">
              <w:rPr>
                <w:rFonts w:ascii="Calibri" w:hAnsi="Calibri" w:cs="Calibri"/>
                <w:sz w:val="24"/>
              </w:rPr>
              <w:t>iv</w:t>
            </w:r>
            <w:proofErr w:type="spellEnd"/>
            <w:r w:rsidRPr="00E66C26">
              <w:rPr>
                <w:rFonts w:ascii="Calibri" w:hAnsi="Calibri" w:cs="Calibri"/>
                <w:sz w:val="24"/>
              </w:rPr>
              <w:t>); e (</w:t>
            </w:r>
            <w:proofErr w:type="spellStart"/>
            <w:r w:rsidRPr="00E66C26">
              <w:rPr>
                <w:rFonts w:ascii="Calibri" w:hAnsi="Calibri" w:cs="Calibri"/>
                <w:sz w:val="24"/>
              </w:rPr>
              <w:t>vii</w:t>
            </w:r>
            <w:proofErr w:type="spellEnd"/>
            <w:r w:rsidRPr="00E66C26">
              <w:rPr>
                <w:rFonts w:ascii="Calibri" w:hAnsi="Calibri" w:cs="Calibri"/>
                <w:sz w:val="24"/>
              </w:rPr>
              <w:t xml:space="preserve">) clubes e fundos de investimento cuja maioria das cotas pertença a Pessoas Vinculadas indicadas nos itens acima, salvo se geridos discricionariamente por terceiros não vinculados, nos termos do artigo 55 da Instrução CVM 400 e do artigo </w:t>
            </w:r>
            <w:r w:rsidR="00333250" w:rsidRPr="00E66C26">
              <w:rPr>
                <w:rFonts w:ascii="Calibri" w:hAnsi="Calibri" w:cs="Calibri"/>
                <w:sz w:val="24"/>
              </w:rPr>
              <w:t>2</w:t>
            </w:r>
            <w:r w:rsidRPr="00E66C26">
              <w:rPr>
                <w:rFonts w:ascii="Calibri" w:hAnsi="Calibri" w:cs="Calibri"/>
                <w:sz w:val="24"/>
              </w:rPr>
              <w:t xml:space="preserve">º, inciso </w:t>
            </w:r>
            <w:r w:rsidR="00333250" w:rsidRPr="00E66C26">
              <w:rPr>
                <w:rFonts w:ascii="Calibri" w:hAnsi="Calibri" w:cs="Calibri"/>
                <w:sz w:val="24"/>
              </w:rPr>
              <w:t>XII</w:t>
            </w:r>
            <w:r w:rsidRPr="00E66C26">
              <w:rPr>
                <w:rFonts w:ascii="Calibri" w:hAnsi="Calibri" w:cs="Calibri"/>
                <w:sz w:val="24"/>
              </w:rPr>
              <w:t xml:space="preserve"> da </w:t>
            </w:r>
            <w:r w:rsidR="00333250" w:rsidRPr="00E66C26">
              <w:rPr>
                <w:rFonts w:ascii="Calibri" w:hAnsi="Calibri" w:cs="Calibri"/>
                <w:sz w:val="24"/>
              </w:rPr>
              <w:t>Resolução CVM 35.</w:t>
            </w:r>
            <w:r w:rsidRPr="00E66C26">
              <w:rPr>
                <w:rFonts w:ascii="Calibri" w:hAnsi="Calibri" w:cs="Calibri"/>
                <w:sz w:val="24"/>
              </w:rPr>
              <w:t xml:space="preserve"> </w:t>
            </w:r>
            <w:bookmarkStart w:id="19" w:name="_DV_C150"/>
            <w:bookmarkEnd w:id="19"/>
          </w:p>
          <w:p w14:paraId="1E980C3C" w14:textId="77777777" w:rsidR="00136667" w:rsidRPr="00E66C26" w:rsidRDefault="00136667" w:rsidP="00136667">
            <w:pPr>
              <w:pStyle w:val="Level3"/>
              <w:ind w:left="81"/>
              <w:rPr>
                <w:rFonts w:ascii="Calibri" w:hAnsi="Calibri" w:cs="Calibri"/>
                <w:sz w:val="24"/>
                <w:szCs w:val="24"/>
              </w:rPr>
            </w:pPr>
            <w:r w:rsidRPr="00E66C26">
              <w:rPr>
                <w:rFonts w:ascii="Calibri" w:hAnsi="Calibri" w:cs="Calibri"/>
                <w:sz w:val="24"/>
                <w:szCs w:val="24"/>
              </w:rPr>
              <w:t xml:space="preserve">Nos termos do artigo 55 da Instrução CVM 400, poderá ser aceita a participação de Investidores da Oferta que sejam Pessoas Vinculadas. Caso seja verificado excesso de demanda superior em 1/3 (um terço) à quantidade </w:t>
            </w:r>
            <w:r w:rsidRPr="00E66C26">
              <w:rPr>
                <w:rFonts w:ascii="Calibri" w:hAnsi="Calibri" w:cs="Calibri"/>
                <w:sz w:val="24"/>
                <w:szCs w:val="24"/>
              </w:rPr>
              <w:lastRenderedPageBreak/>
              <w:t>de Debêntures inicialmente ofertada (sem considerar as Debêntures Adicionais), não será permitida a colocação de Debêntures junto aos Investidores da Oferta que sejam Pessoas Vinculadas, sendo suas ordens de investimento ou Pedidos de Reserva, conforme o caso, automaticamente cancelados.</w:t>
            </w:r>
          </w:p>
          <w:p w14:paraId="764705F6" w14:textId="45B933F6" w:rsidR="00136667" w:rsidRPr="00E66C26" w:rsidRDefault="00136667" w:rsidP="00136667">
            <w:pPr>
              <w:pStyle w:val="Body"/>
              <w:rPr>
                <w:rFonts w:ascii="Calibri" w:hAnsi="Calibri" w:cs="Calibri"/>
                <w:sz w:val="24"/>
              </w:rPr>
            </w:pPr>
            <w:r w:rsidRPr="00E66C26">
              <w:rPr>
                <w:rFonts w:ascii="Calibri" w:eastAsia="Calibri" w:hAnsi="Calibri" w:cs="Calibri"/>
                <w:b/>
                <w:sz w:val="24"/>
              </w:rPr>
              <w:t xml:space="preserve">Para mais informações sobre a participação de Pessoas Vinculadas na Oferta, veja as seções “Informações Relativas à Emissão, à Oferta e às Debêntures – Características da Oferta – Pessoas Vinculadas” e “Fatores de Risco Relacionados à Oferta e às Debêntures – </w:t>
            </w:r>
            <w:r w:rsidRPr="00E66C26">
              <w:rPr>
                <w:rFonts w:ascii="Calibri" w:hAnsi="Calibri" w:cs="Calibri"/>
                <w:b/>
                <w:bCs/>
                <w:sz w:val="24"/>
              </w:rPr>
              <w:t>O investimento nas Debêntures por Investidores da Oferta que sejam Pessoas Vinculadas poderá ter um impacto adverso na liquidez das Debêntures no mercado secundário.</w:t>
            </w:r>
            <w:r w:rsidRPr="00E66C26">
              <w:rPr>
                <w:rFonts w:ascii="Calibri" w:eastAsia="Calibri" w:hAnsi="Calibri" w:cs="Calibri"/>
                <w:b/>
                <w:sz w:val="24"/>
              </w:rPr>
              <w:t>” do Prospecto Preliminar.</w:t>
            </w:r>
          </w:p>
        </w:tc>
      </w:tr>
      <w:tr w:rsidR="00136667" w:rsidRPr="00E66C26" w14:paraId="5F8C9027" w14:textId="77777777" w:rsidTr="00546802">
        <w:trPr>
          <w:jc w:val="center"/>
        </w:trPr>
        <w:tc>
          <w:tcPr>
            <w:tcW w:w="3119" w:type="dxa"/>
          </w:tcPr>
          <w:p w14:paraId="69B01226" w14:textId="399338B8"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Período de Reserva</w:t>
            </w:r>
          </w:p>
        </w:tc>
        <w:tc>
          <w:tcPr>
            <w:tcW w:w="5611" w:type="dxa"/>
          </w:tcPr>
          <w:p w14:paraId="1F2B69F5" w14:textId="3CFF6B0C" w:rsidR="00136667" w:rsidRPr="00E66C26" w:rsidRDefault="00136667" w:rsidP="00136667">
            <w:pPr>
              <w:pStyle w:val="Level2"/>
              <w:widowControl w:val="0"/>
              <w:rPr>
                <w:rFonts w:ascii="Calibri" w:hAnsi="Calibri" w:cs="Calibri"/>
                <w:bCs/>
                <w:sz w:val="24"/>
                <w:szCs w:val="24"/>
              </w:rPr>
            </w:pPr>
            <w:r w:rsidRPr="00E66C26">
              <w:rPr>
                <w:rFonts w:ascii="Calibri" w:hAnsi="Calibri" w:cs="Calibri"/>
                <w:bCs/>
                <w:sz w:val="24"/>
                <w:szCs w:val="24"/>
              </w:rPr>
              <w:t>Os Investidores da Oferta, inclusive aqueles considerados Pessoas Vinculadas, poderão apresentar suas ordens de investimento por meio de um ou mais pedidos de reserva (“</w:t>
            </w:r>
            <w:r w:rsidRPr="00E66C26">
              <w:rPr>
                <w:rFonts w:ascii="Calibri" w:hAnsi="Calibri" w:cs="Calibri"/>
                <w:bCs/>
                <w:sz w:val="24"/>
                <w:szCs w:val="24"/>
                <w:u w:val="single"/>
              </w:rPr>
              <w:t>Pedido de Reserva</w:t>
            </w:r>
            <w:r w:rsidRPr="00E66C26">
              <w:rPr>
                <w:rFonts w:ascii="Calibri" w:hAnsi="Calibri" w:cs="Calibri"/>
                <w:bCs/>
                <w:sz w:val="24"/>
                <w:szCs w:val="24"/>
              </w:rPr>
              <w:t>”), durante um período de reserva específico a ser definido no âmbito da Oferta (“</w:t>
            </w:r>
            <w:r w:rsidRPr="00E66C26">
              <w:rPr>
                <w:rFonts w:ascii="Calibri" w:hAnsi="Calibri" w:cs="Calibri"/>
                <w:bCs/>
                <w:sz w:val="24"/>
                <w:szCs w:val="24"/>
                <w:u w:val="single"/>
              </w:rPr>
              <w:t>Período de Reserva</w:t>
            </w:r>
            <w:r w:rsidRPr="00E66C26">
              <w:rPr>
                <w:rFonts w:ascii="Calibri" w:hAnsi="Calibri" w:cs="Calibri"/>
                <w:bCs/>
                <w:sz w:val="24"/>
                <w:szCs w:val="24"/>
              </w:rPr>
              <w:t>”). O Prospecto Preliminar deverá estar disponível nos mesmos locais em que será disponibilizado o Prospecto Definitivo pelo menos 5 (cinco) Dias Úteis antes do prazo inicial para o recebimento dos Pedidos de Reserva.</w:t>
            </w:r>
          </w:p>
        </w:tc>
      </w:tr>
      <w:tr w:rsidR="00136667" w:rsidRPr="00E66C26" w14:paraId="526093B4" w14:textId="77777777" w:rsidTr="00546802">
        <w:trPr>
          <w:jc w:val="center"/>
        </w:trPr>
        <w:tc>
          <w:tcPr>
            <w:tcW w:w="3119" w:type="dxa"/>
          </w:tcPr>
          <w:p w14:paraId="4728F7F9" w14:textId="77777777" w:rsidR="00136667" w:rsidRPr="00E66C26" w:rsidRDefault="00136667" w:rsidP="00136667">
            <w:pPr>
              <w:pStyle w:val="Body"/>
              <w:jc w:val="left"/>
              <w:rPr>
                <w:rFonts w:ascii="Calibri" w:hAnsi="Calibri" w:cs="Calibri"/>
                <w:b/>
                <w:bCs/>
                <w:sz w:val="24"/>
              </w:rPr>
            </w:pPr>
            <w:r w:rsidRPr="00E66C26">
              <w:rPr>
                <w:rFonts w:ascii="Calibri" w:hAnsi="Calibri" w:cs="Calibri"/>
                <w:b/>
                <w:bCs/>
                <w:sz w:val="24"/>
              </w:rPr>
              <w:t>Distribuição Parcial</w:t>
            </w:r>
          </w:p>
        </w:tc>
        <w:tc>
          <w:tcPr>
            <w:tcW w:w="5611" w:type="dxa"/>
          </w:tcPr>
          <w:p w14:paraId="09BDD352" w14:textId="23672E08" w:rsidR="00136667" w:rsidRPr="00E66C26" w:rsidRDefault="00136667" w:rsidP="00136667">
            <w:pPr>
              <w:autoSpaceDE w:val="0"/>
              <w:autoSpaceDN w:val="0"/>
              <w:adjustRightInd w:val="0"/>
              <w:spacing w:after="140" w:line="290" w:lineRule="auto"/>
              <w:jc w:val="both"/>
              <w:rPr>
                <w:rFonts w:ascii="Calibri" w:hAnsi="Calibri" w:cs="Calibri"/>
                <w:bCs/>
                <w:sz w:val="24"/>
              </w:rPr>
            </w:pPr>
            <w:r w:rsidRPr="00E66C26">
              <w:rPr>
                <w:rFonts w:ascii="Calibri" w:hAnsi="Calibri" w:cs="Calibri"/>
                <w:bCs/>
                <w:sz w:val="24"/>
              </w:rPr>
              <w:t>Não será admitida a distribuição parcial das Debêntures correspondentes ao Valor Total da Emissão, tendo em vista que tais Debêntures incialmente ofertadas (sem considerar as Debêntures Adicionais) serão colocadas sob o regime de garantia firme de colocação.</w:t>
            </w:r>
          </w:p>
        </w:tc>
      </w:tr>
      <w:tr w:rsidR="00136667" w:rsidRPr="00E66C26" w14:paraId="2D90541E" w14:textId="77777777" w:rsidTr="00546802">
        <w:trPr>
          <w:jc w:val="center"/>
        </w:trPr>
        <w:tc>
          <w:tcPr>
            <w:tcW w:w="3119" w:type="dxa"/>
          </w:tcPr>
          <w:p w14:paraId="5E0F52F4" w14:textId="77777777"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Inadequação da Oferta a Certos Investidores</w:t>
            </w:r>
          </w:p>
        </w:tc>
        <w:tc>
          <w:tcPr>
            <w:tcW w:w="5611" w:type="dxa"/>
          </w:tcPr>
          <w:p w14:paraId="0CEE506E" w14:textId="783CA08E" w:rsidR="00136667" w:rsidRPr="00E66C26" w:rsidRDefault="00136667" w:rsidP="00136667">
            <w:pPr>
              <w:pStyle w:val="Body"/>
              <w:rPr>
                <w:rFonts w:ascii="Calibri" w:hAnsi="Calibri" w:cs="Calibri"/>
                <w:sz w:val="24"/>
              </w:rPr>
            </w:pPr>
            <w:r w:rsidRPr="00E66C26">
              <w:rPr>
                <w:rFonts w:ascii="Calibri" w:hAnsi="Calibri" w:cs="Calibri"/>
                <w:b/>
                <w:sz w:val="24"/>
              </w:rPr>
              <w:t>O investimento nas Debêntures não é adequado a investidores que: (i) não tenham profundo conhecimento dos riscos envolvidos na operação ou que não tenham acesso a consultoria especializada; (</w:t>
            </w:r>
            <w:proofErr w:type="spellStart"/>
            <w:r w:rsidRPr="00E66C26">
              <w:rPr>
                <w:rFonts w:ascii="Calibri" w:hAnsi="Calibri" w:cs="Calibri"/>
                <w:b/>
                <w:sz w:val="24"/>
              </w:rPr>
              <w:t>ii</w:t>
            </w:r>
            <w:proofErr w:type="spellEnd"/>
            <w:r w:rsidRPr="00E66C26">
              <w:rPr>
                <w:rFonts w:ascii="Calibri" w:hAnsi="Calibri" w:cs="Calibri"/>
                <w:b/>
                <w:sz w:val="24"/>
              </w:rPr>
              <w:t>) necessitem de liquidez com relação às Debêntures a serem subscritas, tendo em vista a possibilidade de serem pequenas ou inexistentes as negociações das Debêntures no mercado secundário; e/ou (</w:t>
            </w:r>
            <w:proofErr w:type="spellStart"/>
            <w:r w:rsidRPr="00E66C26">
              <w:rPr>
                <w:rFonts w:ascii="Calibri" w:hAnsi="Calibri" w:cs="Calibri"/>
                <w:b/>
                <w:sz w:val="24"/>
              </w:rPr>
              <w:t>iii</w:t>
            </w:r>
            <w:proofErr w:type="spellEnd"/>
            <w:r w:rsidRPr="00E66C26">
              <w:rPr>
                <w:rFonts w:ascii="Calibri" w:hAnsi="Calibri" w:cs="Calibri"/>
                <w:b/>
                <w:sz w:val="24"/>
              </w:rPr>
              <w:t>) não estejam dispostos a correr o risco de crédito de empresa do setor privado e/ou dos setores em que a Emissora atua, em particular na transmissão de energia elétrica. Para uma avaliação adequada dos riscos associados ao investimento nas Debêntures, os investidores deverão ler a seção “Fatores de Risco Relacionados à Oferta e às Debêntures”, do Prospecto Preliminar, bem como o item “4. Fatores de Risco” do Formulário de Referência antes de aceitar a Oferta.</w:t>
            </w:r>
          </w:p>
        </w:tc>
      </w:tr>
      <w:tr w:rsidR="00136667" w:rsidRPr="00E66C26" w14:paraId="28065AFB" w14:textId="77777777" w:rsidTr="00546802">
        <w:trPr>
          <w:jc w:val="center"/>
        </w:trPr>
        <w:tc>
          <w:tcPr>
            <w:tcW w:w="3119" w:type="dxa"/>
          </w:tcPr>
          <w:p w14:paraId="14F7D9AB" w14:textId="77777777" w:rsidR="00136667" w:rsidRPr="00E66C26" w:rsidRDefault="00136667" w:rsidP="00136667">
            <w:pPr>
              <w:pStyle w:val="Body"/>
              <w:jc w:val="left"/>
              <w:rPr>
                <w:rFonts w:ascii="Calibri" w:hAnsi="Calibri" w:cs="Calibri"/>
                <w:b/>
                <w:sz w:val="24"/>
              </w:rPr>
            </w:pPr>
            <w:r w:rsidRPr="00E66C26">
              <w:rPr>
                <w:rFonts w:ascii="Calibri" w:hAnsi="Calibri" w:cs="Calibri"/>
                <w:b/>
                <w:sz w:val="24"/>
              </w:rPr>
              <w:t>Modificação da Oferta</w:t>
            </w:r>
          </w:p>
        </w:tc>
        <w:tc>
          <w:tcPr>
            <w:tcW w:w="5611" w:type="dxa"/>
          </w:tcPr>
          <w:p w14:paraId="036635A3" w14:textId="7EB69F98" w:rsidR="00136667" w:rsidRPr="00E66C26" w:rsidRDefault="00136667" w:rsidP="00136667">
            <w:pPr>
              <w:pStyle w:val="Body"/>
              <w:rPr>
                <w:rFonts w:ascii="Calibri" w:hAnsi="Calibri" w:cs="Calibri"/>
                <w:sz w:val="24"/>
              </w:rPr>
            </w:pPr>
            <w:r w:rsidRPr="00E66C26">
              <w:rPr>
                <w:rFonts w:ascii="Calibri" w:hAnsi="Calibri" w:cs="Calibri"/>
                <w:sz w:val="24"/>
              </w:rPr>
              <w:t xml:space="preserve">Nos termos do artigo 25 e seguintes da Instrução CVM 400, havendo, a juízo da CVM, alteração substancial, posterior e imprevisível nas circunstâncias de fato existentes quando da apresentação do pedido de registro da Oferta, ou que o fundamentem, acarretando aumento relevante dos riscos assumidos pela Emissora e inerentes à própria Oferta, a CVM poderá acolher pleito de modificação da Oferta. O pleito de modificação da Oferta presumir-se-á deferido caso não haja manifestação da CVM em sentido contrário no prazo de 10 (dez) Dias Úteis, contado do seu protocolo na CVM. Tendo sido deferida a modificação, a CVM poderá, por sua própria iniciativa ou a requerimento do ofertante, prorrogar o prazo da Oferta por até 90 (noventa) dias. É sempre permitida a modificação da Oferta para melhorá-la em </w:t>
            </w:r>
            <w:r w:rsidRPr="00E66C26">
              <w:rPr>
                <w:rFonts w:ascii="Calibri" w:hAnsi="Calibri" w:cs="Calibri"/>
                <w:sz w:val="24"/>
              </w:rPr>
              <w:lastRenderedPageBreak/>
              <w:t xml:space="preserve">favor dos investidores ou para renúncia a condição da Oferta estabelecida pela Emissora. Caso a Oferta seja modificada, nos termos dos artigos 25 a 27 da Instrução CVM 400: </w:t>
            </w:r>
            <w:r w:rsidRPr="00E66C26">
              <w:rPr>
                <w:rFonts w:ascii="Calibri" w:hAnsi="Calibri" w:cs="Calibri"/>
                <w:b/>
                <w:sz w:val="24"/>
              </w:rPr>
              <w:t>(i)</w:t>
            </w:r>
            <w:r w:rsidRPr="00E66C26">
              <w:rPr>
                <w:rFonts w:ascii="Calibri" w:hAnsi="Calibri" w:cs="Calibri"/>
                <w:sz w:val="24"/>
              </w:rPr>
              <w:t xml:space="preserve"> a modificação deverá ser divulgada imediatamente através de meios ao menos iguais aos utilizados para a divulgação da Oferta; </w:t>
            </w:r>
            <w:r w:rsidRPr="00E66C26">
              <w:rPr>
                <w:rFonts w:ascii="Calibri" w:hAnsi="Calibri" w:cs="Calibri"/>
                <w:b/>
                <w:sz w:val="24"/>
              </w:rPr>
              <w:t>(</w:t>
            </w:r>
            <w:proofErr w:type="spellStart"/>
            <w:r w:rsidRPr="00E66C26">
              <w:rPr>
                <w:rFonts w:ascii="Calibri" w:hAnsi="Calibri" w:cs="Calibri"/>
                <w:b/>
                <w:sz w:val="24"/>
              </w:rPr>
              <w:t>ii</w:t>
            </w:r>
            <w:proofErr w:type="spellEnd"/>
            <w:r w:rsidRPr="00E66C26">
              <w:rPr>
                <w:rFonts w:ascii="Calibri" w:hAnsi="Calibri" w:cs="Calibri"/>
                <w:b/>
                <w:sz w:val="24"/>
              </w:rPr>
              <w:t>)</w:t>
            </w:r>
            <w:r w:rsidRPr="00E66C26">
              <w:rPr>
                <w:rFonts w:ascii="Calibri" w:hAnsi="Calibri" w:cs="Calibri"/>
                <w:sz w:val="24"/>
              </w:rPr>
              <w:t xml:space="preserve"> as Instituições Participantes da Oferta deverão se acautelar e se certificar, no momento do recebimento das aceitações da Oferta, de que o investidor está ciente de que a Oferta foi alterada e de que tem conhecimento das novas condições; e </w:t>
            </w:r>
            <w:r w:rsidRPr="00E66C26">
              <w:rPr>
                <w:rFonts w:ascii="Calibri" w:hAnsi="Calibri" w:cs="Calibri"/>
                <w:b/>
                <w:sz w:val="24"/>
              </w:rPr>
              <w:t>(</w:t>
            </w:r>
            <w:proofErr w:type="spellStart"/>
            <w:r w:rsidRPr="00E66C26">
              <w:rPr>
                <w:rFonts w:ascii="Calibri" w:hAnsi="Calibri" w:cs="Calibri"/>
                <w:b/>
                <w:sz w:val="24"/>
              </w:rPr>
              <w:t>iii</w:t>
            </w:r>
            <w:proofErr w:type="spellEnd"/>
            <w:r w:rsidRPr="00E66C26">
              <w:rPr>
                <w:rFonts w:ascii="Calibri" w:hAnsi="Calibri" w:cs="Calibri"/>
                <w:b/>
                <w:sz w:val="24"/>
              </w:rPr>
              <w:t>)</w:t>
            </w:r>
            <w:r w:rsidRPr="00E66C26">
              <w:rPr>
                <w:rFonts w:ascii="Calibri" w:hAnsi="Calibri" w:cs="Calibri"/>
                <w:sz w:val="24"/>
              </w:rPr>
              <w:t> os investidores que já tiverem aderido à Oferta deverão ser comunicados diretamente, por correio eletrônico, correspondência física ou qualquer outra forma de comunicação passível de comprovação, a respeito da modificação efetuada, para que confirmem, até as 16h00 (dezesseis horas) do 5º (quinto) Dia Útil subsequente à data em que foi comunicada ao investidor a modificação da Oferta, o interesse em revogar sua aceitação à Oferta, presumindo-se, na falta da manifestação, o interesse do investidor em não revogar sua aceitação. Se o investidor revogar sua aceitação e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da respectiva revogação.</w:t>
            </w:r>
          </w:p>
          <w:p w14:paraId="032470C1" w14:textId="2614F5D0" w:rsidR="00136667" w:rsidRPr="00E66C26" w:rsidRDefault="00136667" w:rsidP="00136667">
            <w:pPr>
              <w:pStyle w:val="Body"/>
              <w:rPr>
                <w:rFonts w:ascii="Calibri" w:hAnsi="Calibri" w:cs="Calibri"/>
                <w:sz w:val="24"/>
              </w:rPr>
            </w:pPr>
            <w:r w:rsidRPr="00E66C26">
              <w:rPr>
                <w:rFonts w:ascii="Calibri" w:hAnsi="Calibri" w:cs="Calibri"/>
                <w:b/>
                <w:sz w:val="24"/>
              </w:rPr>
              <w:t>Para informações adicionais a respeito da modificação da Oferta, vide item</w:t>
            </w:r>
            <w:r w:rsidRPr="00E66C26">
              <w:rPr>
                <w:rFonts w:ascii="Calibri" w:hAnsi="Calibri" w:cs="Calibri"/>
                <w:sz w:val="24"/>
              </w:rPr>
              <w:t xml:space="preserve"> </w:t>
            </w:r>
            <w:r w:rsidRPr="00E66C26">
              <w:rPr>
                <w:rFonts w:ascii="Calibri" w:hAnsi="Calibri" w:cs="Calibri"/>
                <w:b/>
                <w:bCs/>
                <w:sz w:val="24"/>
              </w:rPr>
              <w:t>“Informações Relativas à Emissão, à Oferta e às Debêntures - Características da Oferta – Modificação da Oferta” do Prospecto Preliminar.</w:t>
            </w:r>
          </w:p>
        </w:tc>
      </w:tr>
      <w:tr w:rsidR="00136667" w:rsidRPr="00E66C26" w14:paraId="6BD1E67E" w14:textId="77777777" w:rsidTr="00546802">
        <w:trPr>
          <w:jc w:val="center"/>
        </w:trPr>
        <w:tc>
          <w:tcPr>
            <w:tcW w:w="3119" w:type="dxa"/>
          </w:tcPr>
          <w:p w14:paraId="16DD11E0" w14:textId="151E41FA"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Suspensão da Oferta ou Verificação de Divergência Relevante entre o Prospecto Preliminar e o Prospecto Definitivo.</w:t>
            </w:r>
          </w:p>
        </w:tc>
        <w:tc>
          <w:tcPr>
            <w:tcW w:w="5611" w:type="dxa"/>
          </w:tcPr>
          <w:p w14:paraId="0FD5DC77" w14:textId="77777777" w:rsidR="00136667" w:rsidRPr="00E66C26" w:rsidRDefault="00136667" w:rsidP="00136667">
            <w:pPr>
              <w:pStyle w:val="Body"/>
              <w:rPr>
                <w:rFonts w:ascii="Calibri" w:hAnsi="Calibri" w:cs="Calibri"/>
                <w:sz w:val="24"/>
              </w:rPr>
            </w:pPr>
            <w:r w:rsidRPr="00E66C26">
              <w:rPr>
                <w:rFonts w:ascii="Calibri" w:hAnsi="Calibri" w:cs="Calibri"/>
                <w:sz w:val="24"/>
              </w:rPr>
              <w:t xml:space="preserve">Nos termos do artigo 19 da Instrução CVM 400, a CVM: </w:t>
            </w:r>
            <w:r w:rsidRPr="00E66C26">
              <w:rPr>
                <w:rFonts w:ascii="Calibri" w:hAnsi="Calibri" w:cs="Calibri"/>
                <w:b/>
                <w:sz w:val="24"/>
              </w:rPr>
              <w:t>(i)</w:t>
            </w:r>
            <w:r w:rsidRPr="00E66C26">
              <w:rPr>
                <w:rFonts w:ascii="Calibri" w:hAnsi="Calibri" w:cs="Calibri"/>
                <w:sz w:val="24"/>
              </w:rPr>
              <w:t xml:space="preserve"> poderá suspender, a qualquer tempo, a Oferta se: </w:t>
            </w:r>
            <w:r w:rsidRPr="00E66C26">
              <w:rPr>
                <w:rFonts w:ascii="Calibri" w:hAnsi="Calibri" w:cs="Calibri"/>
                <w:b/>
                <w:sz w:val="24"/>
              </w:rPr>
              <w:t>(a)</w:t>
            </w:r>
            <w:r w:rsidRPr="00E66C26">
              <w:rPr>
                <w:rFonts w:ascii="Calibri" w:hAnsi="Calibri" w:cs="Calibri"/>
                <w:sz w:val="24"/>
              </w:rPr>
              <w:t xml:space="preserve"> estiver se processando em condições diversas das constantes da Instrução CVM 400 ou do registro da Oferta; ou </w:t>
            </w:r>
            <w:r w:rsidRPr="00E66C26">
              <w:rPr>
                <w:rFonts w:ascii="Calibri" w:hAnsi="Calibri" w:cs="Calibri"/>
                <w:b/>
                <w:sz w:val="24"/>
              </w:rPr>
              <w:t>(b)</w:t>
            </w:r>
            <w:r w:rsidRPr="00E66C26">
              <w:rPr>
                <w:rFonts w:ascii="Calibri" w:hAnsi="Calibri" w:cs="Calibri"/>
                <w:sz w:val="24"/>
              </w:rPr>
              <w:t xml:space="preserve"> for havida por ilegal, contrária à regulamentação da CVM ou fraudulenta, ainda que após obtido o respectivo registro da Oferta; e </w:t>
            </w:r>
            <w:r w:rsidRPr="00E66C26">
              <w:rPr>
                <w:rFonts w:ascii="Calibri" w:hAnsi="Calibri" w:cs="Calibri"/>
                <w:b/>
                <w:sz w:val="24"/>
              </w:rPr>
              <w:t>(</w:t>
            </w:r>
            <w:proofErr w:type="spellStart"/>
            <w:r w:rsidRPr="00E66C26">
              <w:rPr>
                <w:rFonts w:ascii="Calibri" w:hAnsi="Calibri" w:cs="Calibri"/>
                <w:b/>
                <w:sz w:val="24"/>
              </w:rPr>
              <w:t>ii</w:t>
            </w:r>
            <w:proofErr w:type="spellEnd"/>
            <w:r w:rsidRPr="00E66C26">
              <w:rPr>
                <w:rFonts w:ascii="Calibri" w:hAnsi="Calibri" w:cs="Calibri"/>
                <w:b/>
                <w:sz w:val="24"/>
              </w:rPr>
              <w:t>)</w:t>
            </w:r>
            <w:r w:rsidRPr="00E66C26">
              <w:rPr>
                <w:rFonts w:ascii="Calibri" w:hAnsi="Calibri" w:cs="Calibri"/>
                <w:sz w:val="24"/>
              </w:rPr>
              <w:t> deverá suspender a Oferta quando verificar ilegalidade ou violação de regulamento sanáveis.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 Emissora deverá dar conhecimento da suspensão diretamente aos investidores que já tenham aceitado a Oferta, ao menos pelos meios utilizados para a divulgação da Oferta, facultando-lhes a possibilidade de revogar a aceitação até às 16h00 (dezesseis horas) do 5º (quinto) Dia Útil subsequente à data em que foi comunicada ao investidor a suspensão da Oferta, presumindo-se, na falta da manifestação, o interesse do investidor em não revogar sua aceitação. Se o investidor revogar sua aceitação e se o investidor já tiver efetuado o pagamento do Preço de Integralização, o referido Preço de Integralização será devolvido sem juros ou correção monetária, sem reembolso e com dedução dos valores relativos aos tributos e encargos incidentes, se existentes, no prazo de 5 (cinco) Dias Úteis contados da data da respectiva revogação.</w:t>
            </w:r>
          </w:p>
          <w:p w14:paraId="32B1D8AB" w14:textId="7C781604" w:rsidR="00136667" w:rsidRPr="00E66C26" w:rsidRDefault="00136667" w:rsidP="00136667">
            <w:pPr>
              <w:pStyle w:val="Body"/>
              <w:rPr>
                <w:rFonts w:ascii="Calibri" w:hAnsi="Calibri" w:cs="Calibri"/>
                <w:sz w:val="24"/>
                <w:lang w:eastAsia="pt-BR"/>
              </w:rPr>
            </w:pPr>
            <w:r w:rsidRPr="00E66C26">
              <w:rPr>
                <w:rFonts w:ascii="Calibri" w:eastAsia="MS Mincho" w:hAnsi="Calibri" w:cs="Calibri"/>
                <w:sz w:val="24"/>
                <w:lang w:eastAsia="pt-BR"/>
              </w:rPr>
              <w:t xml:space="preserve">Caso </w:t>
            </w:r>
            <w:r w:rsidRPr="00E66C26">
              <w:rPr>
                <w:rFonts w:ascii="Calibri" w:eastAsia="MS Mincho" w:hAnsi="Calibri" w:cs="Calibri"/>
                <w:b/>
                <w:bCs/>
                <w:sz w:val="24"/>
                <w:lang w:eastAsia="pt-BR"/>
              </w:rPr>
              <w:t xml:space="preserve">(a) </w:t>
            </w:r>
            <w:r w:rsidRPr="00E66C26">
              <w:rPr>
                <w:rFonts w:ascii="Calibri" w:eastAsia="MS Mincho" w:hAnsi="Calibri" w:cs="Calibri"/>
                <w:sz w:val="24"/>
                <w:lang w:eastAsia="pt-BR"/>
              </w:rPr>
              <w:t xml:space="preserve">a Oferta seja suspensa, conforme disposto no parágrafo acima e nos termos dos artigos 19 e 20 da Instrução CVM 400, ou </w:t>
            </w:r>
            <w:r w:rsidRPr="00E66C26">
              <w:rPr>
                <w:rFonts w:ascii="Calibri" w:eastAsia="MS Mincho" w:hAnsi="Calibri" w:cs="Calibri"/>
                <w:b/>
                <w:bCs/>
                <w:sz w:val="24"/>
                <w:lang w:eastAsia="pt-BR"/>
              </w:rPr>
              <w:t>(b)</w:t>
            </w:r>
            <w:r w:rsidRPr="00E66C26">
              <w:rPr>
                <w:rFonts w:ascii="Calibri" w:eastAsia="MS Mincho" w:hAnsi="Calibri" w:cs="Calibri"/>
                <w:sz w:val="24"/>
                <w:lang w:eastAsia="pt-BR"/>
              </w:rPr>
              <w:t xml:space="preserve"> caso seja verificada </w:t>
            </w:r>
            <w:r w:rsidRPr="00E66C26">
              <w:rPr>
                <w:rFonts w:ascii="Calibri" w:eastAsia="MS Mincho" w:hAnsi="Calibri" w:cs="Calibri"/>
                <w:sz w:val="24"/>
                <w:lang w:eastAsia="pt-BR"/>
              </w:rPr>
              <w:lastRenderedPageBreak/>
              <w:t>divergência relevante entre as informações constantes deste Prospecto Preliminar e do Prospecto Definitivo que altere substancialmente o risco assumido pelo investidor ou a sua decisão de investimento, o investidor que já tiver aderido à Oferta deverá ser diretamente comunicado, por correio eletrônico, correspondência física ou qualquer forma de comunicação passível de comprovação, a respeito e poderá revogar sua aceitação à Oferta, devendo, para tanto, informar sua decisão à Instituição Participante da Oferta com quem tenha realizado sua intenção de investimento (i) até o 5º (quinto) Dia Útil subsequente à data de disponibilização do Prospecto Definitivo, no caso da alínea (b) acima; e (</w:t>
            </w:r>
            <w:proofErr w:type="spellStart"/>
            <w:r w:rsidRPr="00E66C26">
              <w:rPr>
                <w:rFonts w:ascii="Calibri" w:eastAsia="MS Mincho" w:hAnsi="Calibri" w:cs="Calibri"/>
                <w:sz w:val="24"/>
                <w:lang w:eastAsia="pt-BR"/>
              </w:rPr>
              <w:t>ii</w:t>
            </w:r>
            <w:proofErr w:type="spellEnd"/>
            <w:r w:rsidRPr="00E66C26">
              <w:rPr>
                <w:rFonts w:ascii="Calibri" w:eastAsia="MS Mincho" w:hAnsi="Calibri" w:cs="Calibri"/>
                <w:sz w:val="24"/>
                <w:lang w:eastAsia="pt-BR"/>
              </w:rPr>
              <w:t>) até o 5º (quinto) Dia Útil subsequente à data em que foi diretamente comunicado por escrito sobre a suspensão da Oferta, no caso da alínea (a) acima, presumindo-se, na falta da manifestação, o interesse do investidor em não revogar sua aceitação. Se o investidor revogar sua aceitação e se o investidor já tiver efetuado o pagamento do Preço de Subscrição das Debêntures que houver subscrito, referido Preço de Subscrição será devolvido sem juros ou correção monetária, sem reembolso e com dedução dos valores relativos aos tributos e encargos incidentes, se existentes, no prazo de 5 (cinco) Dias Úteis contados da data da respectiva revogaçã</w:t>
            </w:r>
            <w:r w:rsidRPr="00E66C26">
              <w:rPr>
                <w:rFonts w:ascii="Calibri" w:hAnsi="Calibri" w:cs="Calibri"/>
                <w:sz w:val="24"/>
                <w:lang w:eastAsia="pt-BR"/>
              </w:rPr>
              <w:t>o</w:t>
            </w:r>
            <w:r w:rsidRPr="00E66C26">
              <w:rPr>
                <w:rFonts w:ascii="Calibri" w:hAnsi="Calibri" w:cs="Calibri"/>
                <w:b/>
                <w:bCs/>
                <w:sz w:val="24"/>
              </w:rPr>
              <w:t>.</w:t>
            </w:r>
          </w:p>
        </w:tc>
      </w:tr>
      <w:tr w:rsidR="00136667" w:rsidRPr="00E66C26" w14:paraId="74125B27" w14:textId="77777777" w:rsidTr="00546802">
        <w:trPr>
          <w:jc w:val="center"/>
        </w:trPr>
        <w:tc>
          <w:tcPr>
            <w:tcW w:w="3119" w:type="dxa"/>
          </w:tcPr>
          <w:p w14:paraId="6E846FD3" w14:textId="5F660C8E" w:rsidR="00136667" w:rsidRPr="00E66C26" w:rsidRDefault="00136667" w:rsidP="00136667">
            <w:pPr>
              <w:pStyle w:val="Body"/>
              <w:jc w:val="left"/>
              <w:rPr>
                <w:rFonts w:ascii="Calibri" w:hAnsi="Calibri" w:cs="Calibri"/>
                <w:b/>
                <w:sz w:val="24"/>
              </w:rPr>
            </w:pPr>
            <w:r w:rsidRPr="00E66C26">
              <w:rPr>
                <w:rFonts w:ascii="Calibri" w:hAnsi="Calibri" w:cs="Calibri"/>
                <w:b/>
                <w:sz w:val="24"/>
              </w:rPr>
              <w:lastRenderedPageBreak/>
              <w:t>Cancelamento, Revogação da Oferta ou Resilição do Contrato de Distribuição</w:t>
            </w:r>
          </w:p>
        </w:tc>
        <w:tc>
          <w:tcPr>
            <w:tcW w:w="5611" w:type="dxa"/>
          </w:tcPr>
          <w:p w14:paraId="07E1AF52" w14:textId="77777777" w:rsidR="00136667" w:rsidRPr="00E66C26" w:rsidRDefault="00136667" w:rsidP="00136667">
            <w:pPr>
              <w:pStyle w:val="Body"/>
              <w:rPr>
                <w:rFonts w:ascii="Calibri" w:hAnsi="Calibri" w:cs="Calibri"/>
                <w:sz w:val="24"/>
              </w:rPr>
            </w:pPr>
            <w:r w:rsidRPr="00E66C26">
              <w:rPr>
                <w:rFonts w:ascii="Calibri" w:hAnsi="Calibri" w:cs="Calibri"/>
                <w:sz w:val="24"/>
              </w:rPr>
              <w:t xml:space="preserve">Nos termos dos artigos 19 e 20 da Instrução CVM 400, a CVM poderá cancelar, a qualquer tempo, a Oferta que: </w:t>
            </w:r>
            <w:r w:rsidRPr="00E66C26">
              <w:rPr>
                <w:rFonts w:ascii="Calibri" w:hAnsi="Calibri" w:cs="Calibri"/>
                <w:b/>
                <w:sz w:val="24"/>
              </w:rPr>
              <w:t>(i)</w:t>
            </w:r>
            <w:r w:rsidRPr="00E66C26">
              <w:rPr>
                <w:rFonts w:ascii="Calibri" w:hAnsi="Calibri" w:cs="Calibri"/>
                <w:sz w:val="24"/>
              </w:rPr>
              <w:t xml:space="preserve"> estiver se processando em condições diversas das constantes da Instrução CVM 400 ou do registro da Oferta; ou </w:t>
            </w:r>
            <w:r w:rsidRPr="00E66C26">
              <w:rPr>
                <w:rFonts w:ascii="Calibri" w:hAnsi="Calibri" w:cs="Calibri"/>
                <w:b/>
                <w:sz w:val="24"/>
              </w:rPr>
              <w:t>(</w:t>
            </w:r>
            <w:proofErr w:type="spellStart"/>
            <w:r w:rsidRPr="00E66C26">
              <w:rPr>
                <w:rFonts w:ascii="Calibri" w:hAnsi="Calibri" w:cs="Calibri"/>
                <w:b/>
                <w:sz w:val="24"/>
              </w:rPr>
              <w:t>ii</w:t>
            </w:r>
            <w:proofErr w:type="spellEnd"/>
            <w:r w:rsidRPr="00E66C26">
              <w:rPr>
                <w:rFonts w:ascii="Calibri" w:hAnsi="Calibri" w:cs="Calibri"/>
                <w:b/>
                <w:sz w:val="24"/>
              </w:rPr>
              <w:t>)</w:t>
            </w:r>
            <w:r w:rsidRPr="00E66C26">
              <w:rPr>
                <w:rFonts w:ascii="Calibri" w:hAnsi="Calibri" w:cs="Calibri"/>
                <w:sz w:val="24"/>
              </w:rPr>
              <w:t xml:space="preserve"> for havida por ilegal, contrária à regulamentação da CVM ou fraudulenta, ainda que após obtido o respectivo registro da Oferta. Adicionalmente, a </w:t>
            </w:r>
            <w:r w:rsidRPr="00E66C26">
              <w:rPr>
                <w:rFonts w:ascii="Calibri" w:hAnsi="Calibri" w:cs="Calibri"/>
                <w:sz w:val="24"/>
              </w:rPr>
              <w:lastRenderedPageBreak/>
              <w:t>rescisão do Contrato de Distribuição também importará no cancelamento do registro da Oferta. Nos termos do artigo 25 e seguintes da Instrução CVM 400, havendo, a juízo da CVM, alteração substancial, posterior e imprevisível nas circunstâncias de fato existentes quando da apresentação do pedido de registro da Oferta, ou que o fundamentem, acarretando aumento relevante dos riscos assumidos pela Emissora e inerentes à própria Oferta, a CVM poderá acolher pleito de revogação da Oferta.</w:t>
            </w:r>
          </w:p>
          <w:p w14:paraId="05CEEEB1" w14:textId="77777777" w:rsidR="00136667" w:rsidRPr="00E66C26" w:rsidRDefault="00136667" w:rsidP="00136667">
            <w:pPr>
              <w:pStyle w:val="Body"/>
              <w:rPr>
                <w:rFonts w:ascii="Calibri" w:hAnsi="Calibri" w:cs="Calibri"/>
                <w:sz w:val="24"/>
              </w:rPr>
            </w:pPr>
            <w:r w:rsidRPr="00E66C26">
              <w:rPr>
                <w:rFonts w:ascii="Calibri" w:hAnsi="Calibri" w:cs="Calibri"/>
                <w:sz w:val="24"/>
              </w:rPr>
              <w:t>Em caso de cancelamento ou revogação da Oferta ou caso o investidor revogue sua aceitação e, em ambos os casos,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do cancelamento da Oferta ou respectiva revogação, conforme o caso.</w:t>
            </w:r>
          </w:p>
          <w:p w14:paraId="60FD64D6" w14:textId="2ED7E188" w:rsidR="00136667" w:rsidRPr="00E66C26" w:rsidRDefault="00136667" w:rsidP="00136667">
            <w:pPr>
              <w:pStyle w:val="Body"/>
              <w:rPr>
                <w:rFonts w:ascii="Calibri" w:hAnsi="Calibri" w:cs="Calibri"/>
                <w:sz w:val="24"/>
              </w:rPr>
            </w:pPr>
            <w:r w:rsidRPr="00E66C26">
              <w:rPr>
                <w:rFonts w:ascii="Calibri" w:hAnsi="Calibri" w:cs="Calibri"/>
                <w:sz w:val="24"/>
              </w:rPr>
              <w:t>No caso de resilição do Contrato de Distribuição, deverá ser submetido à análise prévia da CVM pleito justificado de cancelamento do registro da Oferta, para que seja apreciada a aplicabilidade do artigo 19, §4º da Instrução CVM 400.</w:t>
            </w:r>
          </w:p>
        </w:tc>
      </w:tr>
    </w:tbl>
    <w:p w14:paraId="62919F14" w14:textId="77777777" w:rsidR="007566F8" w:rsidRDefault="007566F8">
      <w:pPr>
        <w:rPr>
          <w:rFonts w:ascii="Calibri" w:hAnsi="Calibri" w:cs="Calibri"/>
          <w:b/>
          <w:bCs/>
          <w:caps/>
          <w:color w:val="203463"/>
          <w:kern w:val="20"/>
          <w:sz w:val="28"/>
          <w:szCs w:val="28"/>
        </w:rPr>
      </w:pPr>
      <w:bookmarkStart w:id="20" w:name="_Ref430119538"/>
      <w:r>
        <w:rPr>
          <w:rFonts w:ascii="Calibri" w:hAnsi="Calibri" w:cs="Calibri"/>
          <w:caps/>
          <w:color w:val="203463"/>
          <w:sz w:val="28"/>
          <w:szCs w:val="28"/>
        </w:rPr>
        <w:lastRenderedPageBreak/>
        <w:br w:type="page"/>
      </w:r>
    </w:p>
    <w:p w14:paraId="7F3FD935" w14:textId="5A895BBF" w:rsidR="00E80B84" w:rsidRPr="00643349" w:rsidRDefault="00F13D49" w:rsidP="00643349">
      <w:pPr>
        <w:pStyle w:val="Level1"/>
        <w:numPr>
          <w:ilvl w:val="0"/>
          <w:numId w:val="20"/>
        </w:numPr>
        <w:tabs>
          <w:tab w:val="clear" w:pos="680"/>
          <w:tab w:val="num" w:pos="426"/>
        </w:tabs>
        <w:rPr>
          <w:rFonts w:ascii="Calibri" w:hAnsi="Calibri" w:cs="Calibri"/>
          <w:caps/>
          <w:color w:val="203463"/>
          <w:sz w:val="28"/>
          <w:szCs w:val="28"/>
        </w:rPr>
      </w:pPr>
      <w:r w:rsidRPr="00643349">
        <w:rPr>
          <w:rFonts w:ascii="Calibri" w:hAnsi="Calibri" w:cs="Calibri"/>
          <w:caps/>
          <w:color w:val="203463"/>
          <w:sz w:val="28"/>
          <w:szCs w:val="28"/>
        </w:rPr>
        <w:lastRenderedPageBreak/>
        <w:t>CRONOGRAMA ESTIMADO DAS ETAPAS DA OFERTA</w:t>
      </w:r>
      <w:bookmarkEnd w:id="20"/>
      <w:r w:rsidR="00136667" w:rsidRPr="00643349">
        <w:rPr>
          <w:rFonts w:ascii="Calibri" w:hAnsi="Calibri" w:cs="Calibri"/>
          <w:caps/>
          <w:color w:val="203463"/>
          <w:sz w:val="28"/>
          <w:szCs w:val="28"/>
        </w:rPr>
        <w:t xml:space="preserve"> </w:t>
      </w:r>
    </w:p>
    <w:p w14:paraId="4F7CB1A0" w14:textId="0A2BFBA1" w:rsidR="001C0B1F" w:rsidRPr="00E66C26" w:rsidRDefault="001C0B1F" w:rsidP="0029198E">
      <w:pPr>
        <w:pStyle w:val="HOMEBRBodyText"/>
        <w:keepLines w:val="0"/>
        <w:widowControl w:val="0"/>
        <w:spacing w:after="140" w:line="290" w:lineRule="auto"/>
        <w:jc w:val="both"/>
        <w:rPr>
          <w:rFonts w:ascii="Calibri" w:hAnsi="Calibri" w:cs="Calibri"/>
          <w:sz w:val="24"/>
          <w:szCs w:val="24"/>
          <w:lang w:val="pt-BR"/>
        </w:rPr>
      </w:pPr>
      <w:r w:rsidRPr="00E66C26">
        <w:rPr>
          <w:rFonts w:ascii="Calibri" w:hAnsi="Calibri" w:cs="Calibri"/>
          <w:sz w:val="24"/>
          <w:szCs w:val="24"/>
          <w:lang w:val="pt-BR"/>
        </w:rPr>
        <w:t>Encontra-se abaixo o cronograma estimado para as principais etapas da Oferta:</w:t>
      </w:r>
    </w:p>
    <w:tbl>
      <w:tblPr>
        <w:tblW w:w="5034" w:type="pct"/>
        <w:tblCellMar>
          <w:top w:w="57" w:type="dxa"/>
          <w:left w:w="70" w:type="dxa"/>
          <w:bottom w:w="57" w:type="dxa"/>
          <w:right w:w="70" w:type="dxa"/>
        </w:tblCellMar>
        <w:tblLook w:val="0000" w:firstRow="0" w:lastRow="0" w:firstColumn="0" w:lastColumn="0" w:noHBand="0" w:noVBand="0"/>
      </w:tblPr>
      <w:tblGrid>
        <w:gridCol w:w="544"/>
        <w:gridCol w:w="5695"/>
        <w:gridCol w:w="2887"/>
      </w:tblGrid>
      <w:tr w:rsidR="004900EE" w:rsidRPr="00E66C26" w14:paraId="21CE419B" w14:textId="77777777" w:rsidTr="000134F2">
        <w:trPr>
          <w:trHeight w:val="449"/>
        </w:trPr>
        <w:tc>
          <w:tcPr>
            <w:tcW w:w="298" w:type="pct"/>
            <w:tcBorders>
              <w:top w:val="single" w:sz="4" w:space="0" w:color="auto"/>
              <w:bottom w:val="single" w:sz="4" w:space="0" w:color="auto"/>
            </w:tcBorders>
            <w:shd w:val="clear" w:color="auto" w:fill="A6A6A6"/>
            <w:vAlign w:val="center"/>
          </w:tcPr>
          <w:p w14:paraId="79EB93D6" w14:textId="76F2827A" w:rsidR="004900EE" w:rsidRPr="00E66C26" w:rsidRDefault="004900EE" w:rsidP="007566F8">
            <w:pPr>
              <w:spacing w:before="80" w:afterLines="80" w:after="192"/>
              <w:jc w:val="center"/>
              <w:rPr>
                <w:rFonts w:ascii="Calibri" w:eastAsia="MS Mincho" w:hAnsi="Calibri" w:cs="Calibri"/>
                <w:b/>
                <w:bCs/>
                <w:color w:val="FFFFFF"/>
                <w:sz w:val="24"/>
              </w:rPr>
            </w:pPr>
            <w:r w:rsidRPr="00E66C26">
              <w:rPr>
                <w:rFonts w:ascii="Calibri" w:eastAsia="MS Mincho" w:hAnsi="Calibri" w:cs="Calibri"/>
                <w:b/>
                <w:bCs/>
                <w:color w:val="FFFFFF"/>
                <w:sz w:val="24"/>
              </w:rPr>
              <w:t>#</w:t>
            </w:r>
          </w:p>
        </w:tc>
        <w:tc>
          <w:tcPr>
            <w:tcW w:w="3120" w:type="pct"/>
            <w:tcBorders>
              <w:top w:val="single" w:sz="4" w:space="0" w:color="auto"/>
              <w:left w:val="nil"/>
              <w:bottom w:val="single" w:sz="4" w:space="0" w:color="auto"/>
            </w:tcBorders>
            <w:shd w:val="clear" w:color="auto" w:fill="A6A6A6"/>
            <w:vAlign w:val="center"/>
          </w:tcPr>
          <w:p w14:paraId="5D936EAE" w14:textId="77777777" w:rsidR="004900EE" w:rsidRPr="00E66C26" w:rsidRDefault="004900EE" w:rsidP="007566F8">
            <w:pPr>
              <w:spacing w:before="80" w:afterLines="80" w:after="192"/>
              <w:jc w:val="center"/>
              <w:rPr>
                <w:rFonts w:ascii="Calibri" w:hAnsi="Calibri" w:cs="Calibri"/>
                <w:b/>
                <w:color w:val="FFFFFF"/>
                <w:sz w:val="24"/>
                <w:szCs w:val="22"/>
              </w:rPr>
            </w:pPr>
            <w:r w:rsidRPr="00E66C26">
              <w:rPr>
                <w:rFonts w:ascii="Calibri" w:hAnsi="Calibri" w:cs="Calibri"/>
                <w:b/>
                <w:color w:val="FFFFFF"/>
                <w:sz w:val="24"/>
                <w:szCs w:val="22"/>
              </w:rPr>
              <w:t>Eventos</w:t>
            </w:r>
          </w:p>
        </w:tc>
        <w:tc>
          <w:tcPr>
            <w:tcW w:w="1582" w:type="pct"/>
            <w:tcBorders>
              <w:top w:val="single" w:sz="4" w:space="0" w:color="auto"/>
              <w:bottom w:val="single" w:sz="4" w:space="0" w:color="auto"/>
            </w:tcBorders>
            <w:shd w:val="clear" w:color="auto" w:fill="A6A6A6"/>
            <w:vAlign w:val="center"/>
          </w:tcPr>
          <w:p w14:paraId="7C09DF73" w14:textId="08EE8A72" w:rsidR="004900EE" w:rsidRPr="00E66C26" w:rsidRDefault="004900EE" w:rsidP="000134F2">
            <w:pPr>
              <w:spacing w:before="80" w:afterLines="80" w:after="192"/>
              <w:jc w:val="center"/>
              <w:rPr>
                <w:rFonts w:ascii="Calibri" w:hAnsi="Calibri" w:cs="Calibri"/>
                <w:b/>
                <w:color w:val="FFFFFF"/>
                <w:sz w:val="24"/>
              </w:rPr>
            </w:pPr>
            <w:proofErr w:type="gramStart"/>
            <w:r w:rsidRPr="00E66C26">
              <w:rPr>
                <w:rFonts w:ascii="Calibri" w:hAnsi="Calibri" w:cs="Calibri"/>
                <w:b/>
                <w:color w:val="FFFFFF"/>
                <w:sz w:val="24"/>
              </w:rPr>
              <w:t>Data</w:t>
            </w:r>
            <w:r w:rsidRPr="00E66C26">
              <w:rPr>
                <w:rFonts w:ascii="Calibri" w:hAnsi="Calibri" w:cs="Calibri"/>
                <w:b/>
                <w:color w:val="FFFFFF"/>
                <w:sz w:val="24"/>
                <w:vertAlign w:val="superscript"/>
              </w:rPr>
              <w:t>(</w:t>
            </w:r>
            <w:proofErr w:type="gramEnd"/>
            <w:r w:rsidRPr="00E66C26">
              <w:rPr>
                <w:rFonts w:ascii="Calibri" w:hAnsi="Calibri" w:cs="Calibri"/>
                <w:b/>
                <w:color w:val="FFFFFF"/>
                <w:sz w:val="24"/>
                <w:vertAlign w:val="superscript"/>
              </w:rPr>
              <w:t>1)(2)</w:t>
            </w:r>
            <w:r w:rsidR="004876C9" w:rsidRPr="00E66C26">
              <w:rPr>
                <w:rFonts w:ascii="Calibri" w:hAnsi="Calibri" w:cs="Calibri"/>
                <w:b/>
                <w:color w:val="FFFFFF"/>
                <w:sz w:val="24"/>
                <w:vertAlign w:val="superscript"/>
              </w:rPr>
              <w:t>(3)</w:t>
            </w:r>
          </w:p>
        </w:tc>
      </w:tr>
      <w:tr w:rsidR="00136667" w:rsidRPr="00E66C26" w14:paraId="0882D471" w14:textId="77777777" w:rsidTr="000134F2">
        <w:tc>
          <w:tcPr>
            <w:tcW w:w="298" w:type="pct"/>
            <w:tcBorders>
              <w:top w:val="single" w:sz="4" w:space="0" w:color="auto"/>
              <w:bottom w:val="single" w:sz="4" w:space="0" w:color="auto"/>
            </w:tcBorders>
            <w:shd w:val="clear" w:color="auto" w:fill="auto"/>
            <w:vAlign w:val="center"/>
          </w:tcPr>
          <w:p w14:paraId="00B7907C" w14:textId="57E7FA2B" w:rsidR="00136667" w:rsidRPr="00E66C26" w:rsidRDefault="00136667" w:rsidP="007566F8">
            <w:pPr>
              <w:spacing w:before="80" w:afterLines="80" w:after="192"/>
              <w:contextualSpacing/>
              <w:rPr>
                <w:rFonts w:ascii="Calibri" w:eastAsia="Arial" w:hAnsi="Calibri" w:cs="Calibri"/>
                <w:kern w:val="20"/>
                <w:sz w:val="24"/>
              </w:rPr>
            </w:pPr>
            <w:r w:rsidRPr="00E66C26">
              <w:rPr>
                <w:rFonts w:ascii="Calibri" w:eastAsia="Arial" w:hAnsi="Calibri" w:cs="Calibri"/>
                <w:sz w:val="24"/>
              </w:rPr>
              <w:t>1</w:t>
            </w:r>
          </w:p>
        </w:tc>
        <w:tc>
          <w:tcPr>
            <w:tcW w:w="3120" w:type="pct"/>
            <w:tcBorders>
              <w:top w:val="single" w:sz="4" w:space="0" w:color="auto"/>
              <w:left w:val="nil"/>
              <w:bottom w:val="single" w:sz="4" w:space="0" w:color="auto"/>
            </w:tcBorders>
            <w:shd w:val="clear" w:color="auto" w:fill="auto"/>
          </w:tcPr>
          <w:p w14:paraId="218AEFA2" w14:textId="6DE789F5" w:rsidR="00136667" w:rsidRDefault="00136667" w:rsidP="007566F8">
            <w:pPr>
              <w:spacing w:before="80" w:afterLines="80" w:after="192"/>
              <w:contextualSpacing/>
              <w:rPr>
                <w:rFonts w:ascii="Calibri" w:hAnsi="Calibri" w:cs="Calibri"/>
                <w:sz w:val="24"/>
                <w:szCs w:val="22"/>
              </w:rPr>
            </w:pPr>
            <w:r w:rsidRPr="00E66C26">
              <w:rPr>
                <w:rFonts w:ascii="Calibri" w:hAnsi="Calibri" w:cs="Calibri"/>
                <w:sz w:val="24"/>
                <w:szCs w:val="22"/>
              </w:rPr>
              <w:t>Protocolo na CVM do pedido de registro da Oferta.</w:t>
            </w:r>
          </w:p>
          <w:p w14:paraId="1D2E88DD" w14:textId="2333A490" w:rsidR="000C5040" w:rsidRPr="00E66C26" w:rsidRDefault="000C5040" w:rsidP="007566F8">
            <w:pPr>
              <w:spacing w:before="80" w:afterLines="80" w:after="192"/>
              <w:contextualSpacing/>
              <w:rPr>
                <w:rFonts w:ascii="Calibri" w:eastAsia="Arial" w:hAnsi="Calibri" w:cs="Calibri"/>
                <w:kern w:val="20"/>
                <w:sz w:val="24"/>
                <w:szCs w:val="22"/>
              </w:rPr>
            </w:pPr>
            <w:r>
              <w:rPr>
                <w:rFonts w:ascii="Calibri" w:eastAsia="Arial" w:hAnsi="Calibri" w:cs="Calibri"/>
                <w:kern w:val="20"/>
                <w:sz w:val="24"/>
                <w:szCs w:val="22"/>
              </w:rPr>
              <w:t>Divulgação do Aviso ao Mercado e disponibilização do Prospecto Preliminar aos Investidores da Oferta</w:t>
            </w:r>
          </w:p>
        </w:tc>
        <w:tc>
          <w:tcPr>
            <w:tcW w:w="1582" w:type="pct"/>
            <w:tcBorders>
              <w:top w:val="single" w:sz="4" w:space="0" w:color="auto"/>
              <w:bottom w:val="single" w:sz="4" w:space="0" w:color="auto"/>
            </w:tcBorders>
            <w:shd w:val="clear" w:color="auto" w:fill="auto"/>
            <w:vAlign w:val="center"/>
          </w:tcPr>
          <w:p w14:paraId="1D455962" w14:textId="2FC543A8" w:rsidR="00136667" w:rsidRPr="00E66C26" w:rsidRDefault="00136667" w:rsidP="000134F2">
            <w:pPr>
              <w:spacing w:before="80" w:afterLines="80" w:after="192"/>
              <w:contextualSpacing/>
              <w:jc w:val="center"/>
              <w:rPr>
                <w:rFonts w:ascii="Calibri" w:eastAsia="Arial" w:hAnsi="Calibri" w:cs="Calibri"/>
                <w:kern w:val="20"/>
                <w:sz w:val="24"/>
                <w:szCs w:val="22"/>
              </w:rPr>
            </w:pPr>
            <w:r w:rsidRPr="00E66C26">
              <w:rPr>
                <w:rFonts w:ascii="Calibri" w:eastAsia="Arial" w:hAnsi="Calibri" w:cs="Calibri"/>
                <w:sz w:val="24"/>
                <w:szCs w:val="22"/>
              </w:rPr>
              <w:t>13 de dezembro de 2021</w:t>
            </w:r>
          </w:p>
        </w:tc>
      </w:tr>
      <w:tr w:rsidR="00F13D49" w:rsidRPr="00E66C26" w14:paraId="47C9E9B5" w14:textId="77777777" w:rsidTr="000134F2">
        <w:tc>
          <w:tcPr>
            <w:tcW w:w="298" w:type="pct"/>
            <w:tcBorders>
              <w:top w:val="single" w:sz="4" w:space="0" w:color="auto"/>
              <w:bottom w:val="single" w:sz="4" w:space="0" w:color="auto"/>
            </w:tcBorders>
            <w:shd w:val="clear" w:color="auto" w:fill="auto"/>
            <w:vAlign w:val="center"/>
          </w:tcPr>
          <w:p w14:paraId="79DC919A" w14:textId="6150855B" w:rsidR="00F13D49" w:rsidRPr="00E66C26" w:rsidRDefault="00DC3B85" w:rsidP="007566F8">
            <w:pPr>
              <w:spacing w:before="80" w:afterLines="80" w:after="192"/>
              <w:contextualSpacing/>
              <w:rPr>
                <w:rFonts w:ascii="Calibri" w:eastAsia="Arial" w:hAnsi="Calibri" w:cs="Calibri"/>
                <w:kern w:val="20"/>
                <w:sz w:val="24"/>
              </w:rPr>
            </w:pPr>
            <w:r>
              <w:rPr>
                <w:rFonts w:ascii="Calibri" w:eastAsia="Arial" w:hAnsi="Calibri" w:cs="Calibri"/>
                <w:kern w:val="20"/>
                <w:sz w:val="24"/>
              </w:rPr>
              <w:t>2</w:t>
            </w:r>
          </w:p>
        </w:tc>
        <w:tc>
          <w:tcPr>
            <w:tcW w:w="3120" w:type="pct"/>
            <w:tcBorders>
              <w:top w:val="single" w:sz="4" w:space="0" w:color="auto"/>
              <w:left w:val="nil"/>
              <w:bottom w:val="single" w:sz="4" w:space="0" w:color="auto"/>
            </w:tcBorders>
            <w:shd w:val="clear" w:color="auto" w:fill="auto"/>
            <w:vAlign w:val="center"/>
          </w:tcPr>
          <w:p w14:paraId="1DCAC68B" w14:textId="3DC14764" w:rsidR="00F13D49" w:rsidRPr="00E66C26" w:rsidRDefault="00136667" w:rsidP="007566F8">
            <w:pPr>
              <w:spacing w:before="80" w:afterLines="80" w:after="192"/>
              <w:contextualSpacing/>
              <w:rPr>
                <w:rFonts w:ascii="Calibri" w:eastAsia="Arial" w:hAnsi="Calibri" w:cs="Calibri"/>
                <w:kern w:val="20"/>
                <w:sz w:val="24"/>
              </w:rPr>
            </w:pPr>
            <w:r w:rsidRPr="00E66C26">
              <w:rPr>
                <w:rFonts w:ascii="Calibri" w:eastAsia="Arial" w:hAnsi="Calibri" w:cs="Calibri"/>
                <w:sz w:val="24"/>
              </w:rPr>
              <w:t xml:space="preserve">Início das apresentações de </w:t>
            </w:r>
            <w:proofErr w:type="spellStart"/>
            <w:r w:rsidRPr="00E66C26">
              <w:rPr>
                <w:rFonts w:ascii="Calibri" w:eastAsia="Arial" w:hAnsi="Calibri" w:cs="Calibri"/>
                <w:i/>
                <w:iCs/>
                <w:sz w:val="24"/>
              </w:rPr>
              <w:t>Roadshow</w:t>
            </w:r>
            <w:proofErr w:type="spellEnd"/>
            <w:r w:rsidRPr="00E66C26">
              <w:rPr>
                <w:rFonts w:ascii="Calibri" w:eastAsia="Arial" w:hAnsi="Calibri" w:cs="Calibri"/>
                <w:i/>
                <w:iCs/>
                <w:sz w:val="24"/>
              </w:rPr>
              <w:t>.</w:t>
            </w:r>
          </w:p>
        </w:tc>
        <w:tc>
          <w:tcPr>
            <w:tcW w:w="1582" w:type="pct"/>
            <w:tcBorders>
              <w:top w:val="single" w:sz="4" w:space="0" w:color="auto"/>
              <w:bottom w:val="single" w:sz="4" w:space="0" w:color="auto"/>
            </w:tcBorders>
            <w:shd w:val="clear" w:color="auto" w:fill="auto"/>
            <w:vAlign w:val="center"/>
          </w:tcPr>
          <w:p w14:paraId="072F973E" w14:textId="3ED1CCC4" w:rsidR="00F13D49" w:rsidRPr="00E66C26" w:rsidRDefault="00136667" w:rsidP="000134F2">
            <w:pPr>
              <w:spacing w:before="80" w:afterLines="80" w:after="192"/>
              <w:contextualSpacing/>
              <w:jc w:val="center"/>
              <w:rPr>
                <w:rFonts w:ascii="Calibri" w:eastAsia="Arial" w:hAnsi="Calibri" w:cs="Calibri"/>
                <w:kern w:val="20"/>
                <w:sz w:val="24"/>
              </w:rPr>
            </w:pPr>
            <w:r w:rsidRPr="00E66C26">
              <w:rPr>
                <w:rFonts w:ascii="Calibri" w:eastAsia="Arial" w:hAnsi="Calibri" w:cs="Calibri"/>
                <w:sz w:val="24"/>
                <w:szCs w:val="20"/>
              </w:rPr>
              <w:t>15 de dezembro de 2021</w:t>
            </w:r>
          </w:p>
        </w:tc>
      </w:tr>
      <w:tr w:rsidR="00E41EE3" w:rsidRPr="00E66C26" w14:paraId="1AAF3A23" w14:textId="77777777" w:rsidTr="000134F2">
        <w:tc>
          <w:tcPr>
            <w:tcW w:w="298" w:type="pct"/>
            <w:tcBorders>
              <w:top w:val="single" w:sz="4" w:space="0" w:color="auto"/>
              <w:bottom w:val="single" w:sz="4" w:space="0" w:color="auto"/>
            </w:tcBorders>
            <w:shd w:val="clear" w:color="auto" w:fill="auto"/>
            <w:vAlign w:val="center"/>
          </w:tcPr>
          <w:p w14:paraId="5E0D1000" w14:textId="6918ED37" w:rsidR="00E41EE3" w:rsidRPr="00E66C26" w:rsidRDefault="00DC3B85" w:rsidP="007566F8">
            <w:pPr>
              <w:spacing w:before="80" w:afterLines="80" w:after="192"/>
              <w:contextualSpacing/>
              <w:rPr>
                <w:rFonts w:ascii="Calibri" w:eastAsia="Arial" w:hAnsi="Calibri" w:cs="Calibri"/>
                <w:sz w:val="24"/>
              </w:rPr>
            </w:pPr>
            <w:r>
              <w:rPr>
                <w:rFonts w:ascii="Calibri" w:eastAsia="Arial" w:hAnsi="Calibri" w:cs="Calibri"/>
                <w:sz w:val="24"/>
              </w:rPr>
              <w:t>3</w:t>
            </w:r>
          </w:p>
        </w:tc>
        <w:tc>
          <w:tcPr>
            <w:tcW w:w="3120" w:type="pct"/>
            <w:tcBorders>
              <w:top w:val="single" w:sz="4" w:space="0" w:color="auto"/>
              <w:left w:val="nil"/>
              <w:bottom w:val="single" w:sz="4" w:space="0" w:color="auto"/>
            </w:tcBorders>
            <w:shd w:val="clear" w:color="auto" w:fill="auto"/>
            <w:vAlign w:val="center"/>
          </w:tcPr>
          <w:p w14:paraId="362BA56B" w14:textId="11A94C21" w:rsidR="00E41EE3" w:rsidRPr="00E66C26" w:rsidRDefault="00E41EE3" w:rsidP="007566F8">
            <w:pPr>
              <w:spacing w:before="80" w:afterLines="80" w:after="192"/>
              <w:contextualSpacing/>
              <w:rPr>
                <w:rFonts w:ascii="Calibri" w:eastAsia="Arial" w:hAnsi="Calibri" w:cs="Calibri"/>
                <w:sz w:val="24"/>
              </w:rPr>
            </w:pPr>
            <w:r>
              <w:rPr>
                <w:rFonts w:ascii="Calibri" w:eastAsia="Arial" w:hAnsi="Calibri" w:cs="Calibri"/>
                <w:sz w:val="24"/>
              </w:rPr>
              <w:t xml:space="preserve">Encerramento das apresentações de </w:t>
            </w:r>
            <w:proofErr w:type="spellStart"/>
            <w:r w:rsidRPr="00E41EE3">
              <w:rPr>
                <w:rFonts w:ascii="Calibri" w:eastAsia="Arial" w:hAnsi="Calibri" w:cs="Calibri"/>
                <w:i/>
                <w:sz w:val="24"/>
              </w:rPr>
              <w:t>Roadshow</w:t>
            </w:r>
            <w:proofErr w:type="spellEnd"/>
          </w:p>
        </w:tc>
        <w:tc>
          <w:tcPr>
            <w:tcW w:w="1582" w:type="pct"/>
            <w:tcBorders>
              <w:top w:val="single" w:sz="4" w:space="0" w:color="auto"/>
              <w:bottom w:val="single" w:sz="4" w:space="0" w:color="auto"/>
            </w:tcBorders>
            <w:shd w:val="clear" w:color="auto" w:fill="auto"/>
            <w:vAlign w:val="center"/>
          </w:tcPr>
          <w:p w14:paraId="4375D668" w14:textId="1F0B3886" w:rsidR="00E41EE3" w:rsidRPr="00E66C26" w:rsidRDefault="00805FFC" w:rsidP="000134F2">
            <w:pPr>
              <w:spacing w:before="80" w:afterLines="80" w:after="192"/>
              <w:contextualSpacing/>
              <w:jc w:val="center"/>
              <w:rPr>
                <w:rFonts w:ascii="Calibri" w:eastAsia="Arial" w:hAnsi="Calibri" w:cs="Calibri"/>
                <w:sz w:val="24"/>
                <w:szCs w:val="20"/>
              </w:rPr>
            </w:pPr>
            <w:r>
              <w:rPr>
                <w:rFonts w:ascii="Calibri" w:eastAsia="Arial" w:hAnsi="Calibri" w:cs="Calibri"/>
                <w:sz w:val="24"/>
                <w:szCs w:val="20"/>
              </w:rPr>
              <w:t>17</w:t>
            </w:r>
            <w:r w:rsidR="00E41EE3">
              <w:rPr>
                <w:rFonts w:ascii="Calibri" w:eastAsia="Arial" w:hAnsi="Calibri" w:cs="Calibri"/>
                <w:sz w:val="24"/>
                <w:szCs w:val="20"/>
              </w:rPr>
              <w:t xml:space="preserve"> de dezembro de 2021</w:t>
            </w:r>
          </w:p>
        </w:tc>
      </w:tr>
      <w:tr w:rsidR="00B20E3A" w:rsidRPr="00E66C26" w14:paraId="53310C4C" w14:textId="77777777" w:rsidTr="000134F2">
        <w:tc>
          <w:tcPr>
            <w:tcW w:w="298" w:type="pct"/>
            <w:tcBorders>
              <w:top w:val="single" w:sz="4" w:space="0" w:color="auto"/>
              <w:bottom w:val="single" w:sz="4" w:space="0" w:color="auto"/>
            </w:tcBorders>
            <w:shd w:val="clear" w:color="auto" w:fill="auto"/>
            <w:vAlign w:val="center"/>
          </w:tcPr>
          <w:p w14:paraId="7014A1A4" w14:textId="5E2E7A92" w:rsidR="00B20E3A" w:rsidRDefault="00B20E3A" w:rsidP="007566F8">
            <w:pPr>
              <w:spacing w:before="80" w:afterLines="80" w:after="192"/>
              <w:contextualSpacing/>
              <w:rPr>
                <w:rFonts w:ascii="Calibri" w:eastAsia="Arial" w:hAnsi="Calibri" w:cs="Calibri"/>
                <w:kern w:val="20"/>
                <w:sz w:val="24"/>
              </w:rPr>
            </w:pPr>
            <w:r>
              <w:rPr>
                <w:rFonts w:ascii="Calibri" w:eastAsia="Arial" w:hAnsi="Calibri" w:cs="Calibri"/>
                <w:kern w:val="20"/>
                <w:sz w:val="24"/>
              </w:rPr>
              <w:t>4</w:t>
            </w:r>
          </w:p>
        </w:tc>
        <w:tc>
          <w:tcPr>
            <w:tcW w:w="3120" w:type="pct"/>
            <w:tcBorders>
              <w:top w:val="single" w:sz="4" w:space="0" w:color="auto"/>
              <w:left w:val="nil"/>
              <w:bottom w:val="single" w:sz="4" w:space="0" w:color="auto"/>
            </w:tcBorders>
            <w:shd w:val="clear" w:color="auto" w:fill="auto"/>
            <w:vAlign w:val="center"/>
          </w:tcPr>
          <w:p w14:paraId="628A0158" w14:textId="38D0CBF8" w:rsidR="00B20E3A" w:rsidRPr="005F136A" w:rsidRDefault="00B20E3A" w:rsidP="007566F8">
            <w:pPr>
              <w:spacing w:before="80" w:afterLines="80" w:after="192"/>
              <w:contextualSpacing/>
              <w:rPr>
                <w:rFonts w:ascii="Calibri" w:eastAsia="Arial" w:hAnsi="Calibri"/>
                <w:sz w:val="24"/>
              </w:rPr>
            </w:pPr>
            <w:r>
              <w:rPr>
                <w:rFonts w:ascii="Calibri" w:eastAsia="Arial" w:hAnsi="Calibri" w:cs="Calibri"/>
                <w:sz w:val="24"/>
              </w:rPr>
              <w:t>Divulgação do Comunicado ao Mercado de Modificação da Oferta.</w:t>
            </w:r>
          </w:p>
        </w:tc>
        <w:tc>
          <w:tcPr>
            <w:tcW w:w="1582" w:type="pct"/>
            <w:tcBorders>
              <w:top w:val="single" w:sz="4" w:space="0" w:color="auto"/>
              <w:bottom w:val="single" w:sz="4" w:space="0" w:color="auto"/>
            </w:tcBorders>
            <w:shd w:val="clear" w:color="auto" w:fill="auto"/>
            <w:vAlign w:val="center"/>
          </w:tcPr>
          <w:p w14:paraId="6362750B" w14:textId="3D2DC3C2" w:rsidR="00B20E3A" w:rsidRPr="005F136A" w:rsidRDefault="00B20E3A" w:rsidP="000134F2">
            <w:pPr>
              <w:spacing w:before="80" w:afterLines="80" w:after="192"/>
              <w:contextualSpacing/>
              <w:jc w:val="center"/>
              <w:rPr>
                <w:rFonts w:ascii="Calibri" w:eastAsia="Arial" w:hAnsi="Calibri"/>
                <w:sz w:val="24"/>
              </w:rPr>
            </w:pPr>
            <w:r w:rsidRPr="00E66C26">
              <w:rPr>
                <w:rFonts w:ascii="Calibri" w:eastAsia="Arial" w:hAnsi="Calibri" w:cs="Calibri"/>
                <w:sz w:val="24"/>
                <w:szCs w:val="20"/>
              </w:rPr>
              <w:t>2</w:t>
            </w:r>
            <w:r w:rsidR="00AD1572">
              <w:rPr>
                <w:rFonts w:ascii="Calibri" w:eastAsia="Arial" w:hAnsi="Calibri" w:cs="Calibri"/>
                <w:sz w:val="24"/>
                <w:szCs w:val="20"/>
              </w:rPr>
              <w:t>2</w:t>
            </w:r>
            <w:r w:rsidRPr="00E66C26">
              <w:rPr>
                <w:rFonts w:ascii="Calibri" w:eastAsia="Arial" w:hAnsi="Calibri" w:cs="Calibri"/>
                <w:sz w:val="24"/>
                <w:szCs w:val="20"/>
              </w:rPr>
              <w:t xml:space="preserve"> de dezembro de 2021</w:t>
            </w:r>
          </w:p>
        </w:tc>
      </w:tr>
      <w:tr w:rsidR="00F13D49" w:rsidRPr="00E66C26" w14:paraId="588912FC" w14:textId="77777777" w:rsidTr="000134F2">
        <w:tc>
          <w:tcPr>
            <w:tcW w:w="298" w:type="pct"/>
            <w:tcBorders>
              <w:top w:val="single" w:sz="4" w:space="0" w:color="auto"/>
              <w:bottom w:val="single" w:sz="4" w:space="0" w:color="auto"/>
            </w:tcBorders>
            <w:shd w:val="clear" w:color="auto" w:fill="auto"/>
            <w:vAlign w:val="center"/>
          </w:tcPr>
          <w:p w14:paraId="2817A9D5" w14:textId="2B60FF06" w:rsidR="00F13D49" w:rsidRPr="00E66C26" w:rsidRDefault="00B20E3A" w:rsidP="007566F8">
            <w:pPr>
              <w:spacing w:before="80" w:afterLines="80" w:after="192"/>
              <w:contextualSpacing/>
              <w:rPr>
                <w:rFonts w:ascii="Calibri" w:eastAsia="Arial" w:hAnsi="Calibri" w:cs="Calibri"/>
                <w:kern w:val="20"/>
                <w:sz w:val="24"/>
              </w:rPr>
            </w:pPr>
            <w:r>
              <w:rPr>
                <w:rFonts w:ascii="Calibri" w:eastAsia="Arial" w:hAnsi="Calibri" w:cs="Calibri"/>
                <w:kern w:val="20"/>
                <w:sz w:val="24"/>
              </w:rPr>
              <w:t>5</w:t>
            </w:r>
          </w:p>
        </w:tc>
        <w:tc>
          <w:tcPr>
            <w:tcW w:w="3120" w:type="pct"/>
            <w:tcBorders>
              <w:top w:val="single" w:sz="4" w:space="0" w:color="auto"/>
              <w:left w:val="nil"/>
              <w:bottom w:val="single" w:sz="4" w:space="0" w:color="auto"/>
            </w:tcBorders>
            <w:shd w:val="clear" w:color="auto" w:fill="auto"/>
            <w:vAlign w:val="center"/>
          </w:tcPr>
          <w:p w14:paraId="2EDB2B7E" w14:textId="4BA13480" w:rsidR="00F13D49" w:rsidRPr="005F136A" w:rsidRDefault="00136667" w:rsidP="007566F8">
            <w:pPr>
              <w:spacing w:before="80" w:afterLines="80" w:after="192"/>
              <w:contextualSpacing/>
              <w:rPr>
                <w:rFonts w:ascii="Calibri" w:eastAsia="Arial" w:hAnsi="Calibri"/>
                <w:kern w:val="20"/>
                <w:sz w:val="24"/>
              </w:rPr>
            </w:pPr>
            <w:r w:rsidRPr="00E66C26">
              <w:rPr>
                <w:rFonts w:ascii="Calibri" w:eastAsia="Arial" w:hAnsi="Calibri" w:cs="Calibri"/>
                <w:sz w:val="24"/>
              </w:rPr>
              <w:t>Início do Período de Reserva.</w:t>
            </w:r>
          </w:p>
        </w:tc>
        <w:tc>
          <w:tcPr>
            <w:tcW w:w="1582" w:type="pct"/>
            <w:tcBorders>
              <w:top w:val="single" w:sz="4" w:space="0" w:color="auto"/>
              <w:bottom w:val="single" w:sz="4" w:space="0" w:color="auto"/>
            </w:tcBorders>
            <w:shd w:val="clear" w:color="auto" w:fill="auto"/>
            <w:vAlign w:val="center"/>
          </w:tcPr>
          <w:p w14:paraId="292055D2" w14:textId="0267DDE2" w:rsidR="00F13D49" w:rsidRPr="005F136A" w:rsidRDefault="00136667" w:rsidP="000134F2">
            <w:pPr>
              <w:spacing w:before="80" w:afterLines="80" w:after="192"/>
              <w:contextualSpacing/>
              <w:jc w:val="center"/>
              <w:rPr>
                <w:rFonts w:ascii="Calibri" w:eastAsia="Arial" w:hAnsi="Calibri"/>
                <w:kern w:val="20"/>
                <w:sz w:val="24"/>
              </w:rPr>
            </w:pPr>
            <w:r w:rsidRPr="00E66C26">
              <w:rPr>
                <w:rFonts w:ascii="Calibri" w:eastAsia="Arial" w:hAnsi="Calibri" w:cs="Calibri"/>
                <w:sz w:val="24"/>
                <w:szCs w:val="20"/>
              </w:rPr>
              <w:t>2</w:t>
            </w:r>
            <w:r w:rsidR="00434F32">
              <w:rPr>
                <w:rFonts w:ascii="Calibri" w:eastAsia="Arial" w:hAnsi="Calibri" w:cs="Calibri"/>
                <w:sz w:val="24"/>
                <w:szCs w:val="20"/>
              </w:rPr>
              <w:t>9</w:t>
            </w:r>
            <w:r w:rsidRPr="00E66C26">
              <w:rPr>
                <w:rFonts w:ascii="Calibri" w:eastAsia="Arial" w:hAnsi="Calibri" w:cs="Calibri"/>
                <w:sz w:val="24"/>
                <w:szCs w:val="20"/>
              </w:rPr>
              <w:t xml:space="preserve"> de dezembro de 2021</w:t>
            </w:r>
          </w:p>
        </w:tc>
      </w:tr>
      <w:tr w:rsidR="00F13D49" w:rsidRPr="00E66C26" w14:paraId="0D006A58" w14:textId="77777777" w:rsidTr="000134F2">
        <w:tc>
          <w:tcPr>
            <w:tcW w:w="298" w:type="pct"/>
            <w:tcBorders>
              <w:top w:val="single" w:sz="4" w:space="0" w:color="auto"/>
              <w:bottom w:val="single" w:sz="4" w:space="0" w:color="auto"/>
            </w:tcBorders>
            <w:shd w:val="clear" w:color="auto" w:fill="auto"/>
            <w:vAlign w:val="center"/>
          </w:tcPr>
          <w:p w14:paraId="1DAA2225" w14:textId="65B7DE19" w:rsidR="00F13D49" w:rsidRPr="00E66C26" w:rsidRDefault="00B20E3A" w:rsidP="007566F8">
            <w:pPr>
              <w:spacing w:before="80" w:afterLines="80" w:after="192"/>
              <w:contextualSpacing/>
              <w:rPr>
                <w:rFonts w:ascii="Calibri" w:eastAsia="Arial" w:hAnsi="Calibri" w:cs="Calibri"/>
                <w:kern w:val="20"/>
                <w:sz w:val="24"/>
              </w:rPr>
            </w:pPr>
            <w:r>
              <w:rPr>
                <w:rFonts w:ascii="Calibri" w:eastAsia="Arial" w:hAnsi="Calibri" w:cs="Calibri"/>
                <w:kern w:val="20"/>
                <w:sz w:val="24"/>
              </w:rPr>
              <w:t>6</w:t>
            </w:r>
          </w:p>
        </w:tc>
        <w:tc>
          <w:tcPr>
            <w:tcW w:w="3120" w:type="pct"/>
            <w:tcBorders>
              <w:top w:val="single" w:sz="4" w:space="0" w:color="auto"/>
              <w:left w:val="nil"/>
              <w:bottom w:val="single" w:sz="4" w:space="0" w:color="auto"/>
            </w:tcBorders>
            <w:shd w:val="clear" w:color="auto" w:fill="auto"/>
            <w:vAlign w:val="center"/>
          </w:tcPr>
          <w:p w14:paraId="22EC9BB1" w14:textId="5056FBA1" w:rsidR="00F13D49" w:rsidRPr="00E66C26" w:rsidRDefault="00136667" w:rsidP="007566F8">
            <w:pPr>
              <w:spacing w:before="80" w:afterLines="80" w:after="192"/>
              <w:contextualSpacing/>
              <w:rPr>
                <w:rFonts w:ascii="Calibri" w:eastAsia="Arial" w:hAnsi="Calibri" w:cs="Calibri"/>
                <w:kern w:val="20"/>
                <w:sz w:val="24"/>
              </w:rPr>
            </w:pPr>
            <w:r w:rsidRPr="00E66C26">
              <w:rPr>
                <w:rFonts w:ascii="Calibri" w:eastAsia="Arial" w:hAnsi="Calibri" w:cs="Calibri"/>
                <w:sz w:val="24"/>
              </w:rPr>
              <w:t>Encerramento do Período de Reserva.</w:t>
            </w:r>
          </w:p>
        </w:tc>
        <w:tc>
          <w:tcPr>
            <w:tcW w:w="1582" w:type="pct"/>
            <w:tcBorders>
              <w:top w:val="single" w:sz="4" w:space="0" w:color="auto"/>
              <w:bottom w:val="single" w:sz="4" w:space="0" w:color="auto"/>
            </w:tcBorders>
            <w:shd w:val="clear" w:color="auto" w:fill="auto"/>
            <w:vAlign w:val="center"/>
          </w:tcPr>
          <w:p w14:paraId="6A1D9C41" w14:textId="66A46E1E" w:rsidR="00F13D49" w:rsidRPr="00E66C26" w:rsidRDefault="00136667" w:rsidP="000134F2">
            <w:pPr>
              <w:spacing w:before="80" w:afterLines="80" w:after="192"/>
              <w:contextualSpacing/>
              <w:jc w:val="center"/>
              <w:rPr>
                <w:rFonts w:ascii="Calibri" w:eastAsia="Arial" w:hAnsi="Calibri" w:cs="Calibri"/>
                <w:kern w:val="20"/>
                <w:sz w:val="24"/>
              </w:rPr>
            </w:pPr>
            <w:r w:rsidRPr="00E66C26">
              <w:rPr>
                <w:rFonts w:ascii="Calibri" w:eastAsia="Arial" w:hAnsi="Calibri" w:cs="Calibri"/>
                <w:sz w:val="24"/>
                <w:szCs w:val="20"/>
              </w:rPr>
              <w:t>1</w:t>
            </w:r>
            <w:r w:rsidR="00A771E9">
              <w:rPr>
                <w:rFonts w:ascii="Calibri" w:eastAsia="Arial" w:hAnsi="Calibri" w:cs="Calibri"/>
                <w:sz w:val="24"/>
                <w:szCs w:val="20"/>
              </w:rPr>
              <w:t>3</w:t>
            </w:r>
            <w:r w:rsidRPr="00E66C26">
              <w:rPr>
                <w:rFonts w:ascii="Calibri" w:eastAsia="Arial" w:hAnsi="Calibri" w:cs="Calibri"/>
                <w:sz w:val="24"/>
                <w:szCs w:val="20"/>
              </w:rPr>
              <w:t xml:space="preserve"> de janeiro de 2022</w:t>
            </w:r>
          </w:p>
        </w:tc>
      </w:tr>
      <w:tr w:rsidR="00B20E3A" w:rsidRPr="00E66C26" w14:paraId="5143ACE9" w14:textId="77777777" w:rsidTr="000134F2">
        <w:tc>
          <w:tcPr>
            <w:tcW w:w="298" w:type="pct"/>
            <w:tcBorders>
              <w:top w:val="single" w:sz="4" w:space="0" w:color="auto"/>
              <w:bottom w:val="single" w:sz="4" w:space="0" w:color="auto"/>
            </w:tcBorders>
            <w:shd w:val="clear" w:color="auto" w:fill="auto"/>
            <w:vAlign w:val="center"/>
          </w:tcPr>
          <w:p w14:paraId="63FC67B1" w14:textId="59D04B5C" w:rsidR="00B20E3A" w:rsidRPr="00E66C26" w:rsidRDefault="00B20E3A" w:rsidP="00B20E3A">
            <w:pPr>
              <w:spacing w:before="80" w:afterLines="80" w:after="192"/>
              <w:contextualSpacing/>
              <w:rPr>
                <w:rFonts w:ascii="Calibri" w:eastAsia="Arial" w:hAnsi="Calibri" w:cs="Calibri"/>
                <w:kern w:val="20"/>
                <w:sz w:val="24"/>
              </w:rPr>
            </w:pPr>
            <w:r>
              <w:rPr>
                <w:rFonts w:ascii="Calibri" w:eastAsia="Arial" w:hAnsi="Calibri" w:cs="Calibri"/>
                <w:kern w:val="20"/>
                <w:sz w:val="24"/>
              </w:rPr>
              <w:t>7</w:t>
            </w:r>
          </w:p>
        </w:tc>
        <w:tc>
          <w:tcPr>
            <w:tcW w:w="3120" w:type="pct"/>
            <w:tcBorders>
              <w:top w:val="single" w:sz="4" w:space="0" w:color="auto"/>
              <w:left w:val="nil"/>
              <w:bottom w:val="single" w:sz="4" w:space="0" w:color="auto"/>
            </w:tcBorders>
            <w:shd w:val="clear" w:color="auto" w:fill="auto"/>
            <w:vAlign w:val="center"/>
          </w:tcPr>
          <w:p w14:paraId="6522D434" w14:textId="62B4C8FE" w:rsidR="00B20E3A" w:rsidRPr="00E66C26" w:rsidRDefault="00B20E3A" w:rsidP="00B20E3A">
            <w:pPr>
              <w:spacing w:before="80" w:afterLines="80" w:after="192"/>
              <w:contextualSpacing/>
              <w:rPr>
                <w:rFonts w:ascii="Calibri" w:eastAsia="Arial" w:hAnsi="Calibri" w:cs="Calibri"/>
                <w:kern w:val="20"/>
                <w:sz w:val="24"/>
              </w:rPr>
            </w:pPr>
            <w:r w:rsidRPr="00E66C26">
              <w:rPr>
                <w:rFonts w:ascii="Calibri" w:eastAsia="Arial" w:hAnsi="Calibri" w:cs="Calibri"/>
                <w:sz w:val="24"/>
              </w:rPr>
              <w:t xml:space="preserve">Procedimento de </w:t>
            </w:r>
            <w:proofErr w:type="spellStart"/>
            <w:r w:rsidRPr="00E66C26">
              <w:rPr>
                <w:rFonts w:ascii="Calibri" w:eastAsia="Arial" w:hAnsi="Calibri" w:cs="Calibri"/>
                <w:i/>
                <w:iCs/>
                <w:sz w:val="24"/>
              </w:rPr>
              <w:t>Bookbuilding</w:t>
            </w:r>
            <w:proofErr w:type="spellEnd"/>
            <w:r w:rsidRPr="00E66C26">
              <w:rPr>
                <w:rFonts w:ascii="Calibri" w:eastAsia="Arial" w:hAnsi="Calibri" w:cs="Calibri"/>
                <w:i/>
                <w:iCs/>
                <w:sz w:val="24"/>
              </w:rPr>
              <w:t>.</w:t>
            </w:r>
          </w:p>
        </w:tc>
        <w:tc>
          <w:tcPr>
            <w:tcW w:w="1582" w:type="pct"/>
            <w:tcBorders>
              <w:top w:val="single" w:sz="4" w:space="0" w:color="auto"/>
              <w:bottom w:val="single" w:sz="4" w:space="0" w:color="auto"/>
            </w:tcBorders>
            <w:shd w:val="clear" w:color="auto" w:fill="auto"/>
            <w:vAlign w:val="center"/>
          </w:tcPr>
          <w:p w14:paraId="0433C61B" w14:textId="4D216750" w:rsidR="00B20E3A" w:rsidRPr="00E66C26" w:rsidRDefault="00B20E3A" w:rsidP="000134F2">
            <w:pPr>
              <w:spacing w:before="80" w:afterLines="80" w:after="192"/>
              <w:contextualSpacing/>
              <w:jc w:val="center"/>
              <w:rPr>
                <w:rFonts w:ascii="Calibri" w:eastAsia="Arial" w:hAnsi="Calibri" w:cs="Calibri"/>
                <w:kern w:val="20"/>
                <w:sz w:val="24"/>
              </w:rPr>
            </w:pPr>
            <w:r w:rsidRPr="00E66C26">
              <w:rPr>
                <w:rFonts w:ascii="Calibri" w:eastAsia="Arial" w:hAnsi="Calibri" w:cs="Calibri"/>
                <w:sz w:val="24"/>
                <w:szCs w:val="20"/>
              </w:rPr>
              <w:t>1</w:t>
            </w:r>
            <w:r>
              <w:rPr>
                <w:rFonts w:ascii="Calibri" w:eastAsia="Arial" w:hAnsi="Calibri" w:cs="Calibri"/>
                <w:sz w:val="24"/>
                <w:szCs w:val="20"/>
              </w:rPr>
              <w:t>4</w:t>
            </w:r>
            <w:r w:rsidRPr="00E66C26">
              <w:rPr>
                <w:rFonts w:ascii="Calibri" w:eastAsia="Arial" w:hAnsi="Calibri" w:cs="Calibri"/>
                <w:sz w:val="24"/>
                <w:szCs w:val="20"/>
              </w:rPr>
              <w:t xml:space="preserve"> de janeiro de 2022</w:t>
            </w:r>
          </w:p>
        </w:tc>
      </w:tr>
      <w:tr w:rsidR="00B20E3A" w:rsidRPr="00E66C26" w14:paraId="37C8F174" w14:textId="77777777" w:rsidTr="000134F2">
        <w:tc>
          <w:tcPr>
            <w:tcW w:w="298" w:type="pct"/>
            <w:tcBorders>
              <w:top w:val="single" w:sz="4" w:space="0" w:color="auto"/>
              <w:bottom w:val="single" w:sz="4" w:space="0" w:color="auto"/>
            </w:tcBorders>
            <w:shd w:val="clear" w:color="auto" w:fill="auto"/>
            <w:vAlign w:val="center"/>
          </w:tcPr>
          <w:p w14:paraId="2C4D3BD7" w14:textId="26E7F6F1" w:rsidR="00B20E3A" w:rsidRPr="00E66C26" w:rsidRDefault="00B20E3A" w:rsidP="00B20E3A">
            <w:pPr>
              <w:spacing w:before="80" w:afterLines="80" w:after="192"/>
              <w:contextualSpacing/>
              <w:rPr>
                <w:rFonts w:ascii="Calibri" w:eastAsia="Arial" w:hAnsi="Calibri" w:cs="Calibri"/>
                <w:kern w:val="20"/>
                <w:sz w:val="24"/>
              </w:rPr>
            </w:pPr>
            <w:r>
              <w:rPr>
                <w:rFonts w:ascii="Calibri" w:eastAsia="Arial" w:hAnsi="Calibri" w:cs="Calibri"/>
                <w:sz w:val="24"/>
              </w:rPr>
              <w:t>8</w:t>
            </w:r>
          </w:p>
        </w:tc>
        <w:tc>
          <w:tcPr>
            <w:tcW w:w="3120" w:type="pct"/>
            <w:tcBorders>
              <w:top w:val="single" w:sz="4" w:space="0" w:color="auto"/>
              <w:left w:val="nil"/>
              <w:bottom w:val="single" w:sz="4" w:space="0" w:color="auto"/>
            </w:tcBorders>
            <w:shd w:val="clear" w:color="auto" w:fill="auto"/>
            <w:vAlign w:val="center"/>
          </w:tcPr>
          <w:p w14:paraId="29FD6EBD" w14:textId="46AE3ECB" w:rsidR="00B20E3A" w:rsidRPr="00E66C26" w:rsidRDefault="00B20E3A" w:rsidP="00B20E3A">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Registro da Oferta pela CVM.</w:t>
            </w:r>
          </w:p>
        </w:tc>
        <w:tc>
          <w:tcPr>
            <w:tcW w:w="1582" w:type="pct"/>
            <w:tcBorders>
              <w:top w:val="single" w:sz="4" w:space="0" w:color="auto"/>
              <w:bottom w:val="single" w:sz="4" w:space="0" w:color="auto"/>
            </w:tcBorders>
            <w:shd w:val="clear" w:color="auto" w:fill="auto"/>
            <w:vAlign w:val="center"/>
          </w:tcPr>
          <w:p w14:paraId="7A8E1502" w14:textId="15854FEB" w:rsidR="00B20E3A" w:rsidRPr="00E66C26" w:rsidRDefault="00B20E3A" w:rsidP="000134F2">
            <w:pPr>
              <w:spacing w:before="80" w:afterLines="80" w:after="192"/>
              <w:contextualSpacing/>
              <w:jc w:val="center"/>
              <w:rPr>
                <w:rFonts w:ascii="Calibri" w:eastAsia="Arial" w:hAnsi="Calibri" w:cs="Calibri"/>
                <w:kern w:val="20"/>
                <w:sz w:val="24"/>
              </w:rPr>
            </w:pPr>
            <w:r>
              <w:rPr>
                <w:rFonts w:ascii="Calibri" w:eastAsia="Arial" w:hAnsi="Calibri" w:cs="Calibri"/>
                <w:sz w:val="24"/>
                <w:szCs w:val="20"/>
              </w:rPr>
              <w:t>01 de fevereiro</w:t>
            </w:r>
            <w:r w:rsidRPr="00E66C26">
              <w:rPr>
                <w:rFonts w:ascii="Calibri" w:eastAsia="Arial" w:hAnsi="Calibri" w:cs="Calibri"/>
                <w:sz w:val="24"/>
                <w:szCs w:val="20"/>
              </w:rPr>
              <w:t xml:space="preserve"> de 2022</w:t>
            </w:r>
          </w:p>
        </w:tc>
      </w:tr>
      <w:tr w:rsidR="00B20E3A" w:rsidRPr="00E66C26" w14:paraId="2D68BB48" w14:textId="77777777" w:rsidTr="000134F2">
        <w:tc>
          <w:tcPr>
            <w:tcW w:w="298" w:type="pct"/>
            <w:tcBorders>
              <w:top w:val="single" w:sz="4" w:space="0" w:color="auto"/>
              <w:bottom w:val="single" w:sz="4" w:space="0" w:color="auto"/>
            </w:tcBorders>
            <w:shd w:val="clear" w:color="auto" w:fill="auto"/>
            <w:vAlign w:val="center"/>
          </w:tcPr>
          <w:p w14:paraId="64F1B668" w14:textId="2BF95252" w:rsidR="00B20E3A" w:rsidRPr="00E66C26" w:rsidRDefault="00B20E3A" w:rsidP="00B20E3A">
            <w:pPr>
              <w:spacing w:before="80" w:afterLines="80" w:after="192"/>
              <w:contextualSpacing/>
              <w:rPr>
                <w:rFonts w:ascii="Calibri" w:eastAsia="Arial" w:hAnsi="Calibri" w:cs="Calibri"/>
                <w:sz w:val="24"/>
              </w:rPr>
            </w:pPr>
            <w:r>
              <w:rPr>
                <w:rFonts w:ascii="Calibri" w:eastAsia="Arial" w:hAnsi="Calibri" w:cs="Calibri"/>
                <w:kern w:val="20"/>
                <w:sz w:val="24"/>
              </w:rPr>
              <w:t>9</w:t>
            </w:r>
          </w:p>
        </w:tc>
        <w:tc>
          <w:tcPr>
            <w:tcW w:w="3120" w:type="pct"/>
            <w:tcBorders>
              <w:top w:val="single" w:sz="4" w:space="0" w:color="auto"/>
              <w:left w:val="nil"/>
              <w:bottom w:val="single" w:sz="4" w:space="0" w:color="auto"/>
            </w:tcBorders>
            <w:shd w:val="clear" w:color="auto" w:fill="auto"/>
            <w:vAlign w:val="center"/>
          </w:tcPr>
          <w:p w14:paraId="17797FD0" w14:textId="77777777" w:rsidR="00B20E3A" w:rsidRPr="00E66C26" w:rsidRDefault="00B20E3A" w:rsidP="00B20E3A">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Divulgação do Anúncio de Início.</w:t>
            </w:r>
          </w:p>
          <w:p w14:paraId="2B29190B" w14:textId="77777777" w:rsidR="00B20E3A" w:rsidRPr="00E66C26" w:rsidRDefault="00B20E3A" w:rsidP="00B20E3A">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Data de Início da Oferta.</w:t>
            </w:r>
          </w:p>
          <w:p w14:paraId="27EF9783" w14:textId="6A43683E" w:rsidR="00B20E3A" w:rsidRPr="00E66C26" w:rsidRDefault="00B20E3A" w:rsidP="00B20E3A">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Disponibilização do Prospecto Definitivo.</w:t>
            </w:r>
          </w:p>
        </w:tc>
        <w:tc>
          <w:tcPr>
            <w:tcW w:w="1582" w:type="pct"/>
            <w:tcBorders>
              <w:top w:val="single" w:sz="4" w:space="0" w:color="auto"/>
              <w:bottom w:val="single" w:sz="4" w:space="0" w:color="auto"/>
            </w:tcBorders>
            <w:shd w:val="clear" w:color="auto" w:fill="auto"/>
            <w:vAlign w:val="center"/>
          </w:tcPr>
          <w:p w14:paraId="2D944D5D" w14:textId="36579468" w:rsidR="00B20E3A" w:rsidRPr="00E66C26" w:rsidRDefault="00B20E3A" w:rsidP="000134F2">
            <w:pPr>
              <w:spacing w:before="80" w:afterLines="80" w:after="192"/>
              <w:contextualSpacing/>
              <w:jc w:val="center"/>
              <w:rPr>
                <w:rFonts w:ascii="Calibri" w:eastAsia="Arial" w:hAnsi="Calibri" w:cs="Calibri"/>
                <w:sz w:val="24"/>
              </w:rPr>
            </w:pPr>
            <w:r>
              <w:rPr>
                <w:rFonts w:ascii="Calibri" w:eastAsia="Arial" w:hAnsi="Calibri" w:cs="Calibri"/>
                <w:sz w:val="24"/>
                <w:szCs w:val="20"/>
              </w:rPr>
              <w:t>02 de fevereiro</w:t>
            </w:r>
            <w:r w:rsidRPr="00E66C26">
              <w:rPr>
                <w:rFonts w:ascii="Calibri" w:eastAsia="Arial" w:hAnsi="Calibri" w:cs="Calibri"/>
                <w:sz w:val="24"/>
                <w:szCs w:val="20"/>
              </w:rPr>
              <w:t xml:space="preserve"> de 2022</w:t>
            </w:r>
          </w:p>
        </w:tc>
      </w:tr>
      <w:tr w:rsidR="00B20E3A" w:rsidRPr="00E66C26" w14:paraId="08DF60AD" w14:textId="77777777" w:rsidTr="000134F2">
        <w:tc>
          <w:tcPr>
            <w:tcW w:w="298" w:type="pct"/>
            <w:tcBorders>
              <w:top w:val="single" w:sz="4" w:space="0" w:color="auto"/>
              <w:bottom w:val="single" w:sz="4" w:space="0" w:color="auto"/>
            </w:tcBorders>
            <w:shd w:val="clear" w:color="auto" w:fill="auto"/>
            <w:vAlign w:val="center"/>
          </w:tcPr>
          <w:p w14:paraId="0EE6F9AF" w14:textId="16D7D44E" w:rsidR="00B20E3A" w:rsidRPr="00E66C26" w:rsidRDefault="00B20E3A" w:rsidP="00B20E3A">
            <w:pPr>
              <w:spacing w:before="80" w:afterLines="80" w:after="192"/>
              <w:contextualSpacing/>
              <w:rPr>
                <w:rFonts w:ascii="Calibri" w:eastAsia="Arial" w:hAnsi="Calibri" w:cs="Calibri"/>
                <w:kern w:val="20"/>
                <w:sz w:val="24"/>
              </w:rPr>
            </w:pPr>
            <w:r>
              <w:rPr>
                <w:rFonts w:ascii="Calibri" w:eastAsia="Arial" w:hAnsi="Calibri" w:cs="Calibri"/>
                <w:sz w:val="24"/>
              </w:rPr>
              <w:t>10</w:t>
            </w:r>
          </w:p>
        </w:tc>
        <w:tc>
          <w:tcPr>
            <w:tcW w:w="3120" w:type="pct"/>
            <w:tcBorders>
              <w:top w:val="single" w:sz="4" w:space="0" w:color="auto"/>
              <w:left w:val="nil"/>
              <w:bottom w:val="single" w:sz="4" w:space="0" w:color="auto"/>
            </w:tcBorders>
            <w:shd w:val="clear" w:color="auto" w:fill="auto"/>
            <w:vAlign w:val="center"/>
          </w:tcPr>
          <w:p w14:paraId="284E27D4" w14:textId="2912D962" w:rsidR="00B20E3A" w:rsidRPr="00E66C26" w:rsidRDefault="00B20E3A" w:rsidP="00B20E3A">
            <w:pPr>
              <w:spacing w:before="80" w:afterLines="80" w:after="192"/>
              <w:contextualSpacing/>
              <w:rPr>
                <w:rFonts w:ascii="Calibri" w:eastAsia="Arial" w:hAnsi="Calibri" w:cs="Calibri"/>
                <w:kern w:val="20"/>
                <w:sz w:val="24"/>
              </w:rPr>
            </w:pPr>
            <w:r w:rsidRPr="00E66C26">
              <w:rPr>
                <w:rFonts w:ascii="Calibri" w:eastAsia="Arial" w:hAnsi="Calibri" w:cs="Calibri"/>
                <w:sz w:val="24"/>
              </w:rPr>
              <w:t>Liquidação Financeira das Debêntures.</w:t>
            </w:r>
          </w:p>
        </w:tc>
        <w:tc>
          <w:tcPr>
            <w:tcW w:w="1582" w:type="pct"/>
            <w:tcBorders>
              <w:top w:val="single" w:sz="4" w:space="0" w:color="auto"/>
              <w:bottom w:val="single" w:sz="4" w:space="0" w:color="auto"/>
            </w:tcBorders>
            <w:shd w:val="clear" w:color="auto" w:fill="auto"/>
            <w:vAlign w:val="center"/>
          </w:tcPr>
          <w:p w14:paraId="595ABBB1" w14:textId="58E52FCC" w:rsidR="00B20E3A" w:rsidRPr="00E66C26" w:rsidRDefault="00B20E3A" w:rsidP="000134F2">
            <w:pPr>
              <w:spacing w:before="80" w:afterLines="80" w:after="192"/>
              <w:contextualSpacing/>
              <w:jc w:val="center"/>
              <w:rPr>
                <w:rFonts w:ascii="Calibri" w:eastAsia="Arial" w:hAnsi="Calibri" w:cs="Calibri"/>
                <w:kern w:val="20"/>
                <w:sz w:val="24"/>
              </w:rPr>
            </w:pPr>
            <w:r w:rsidRPr="00E66C26">
              <w:rPr>
                <w:rFonts w:ascii="Calibri" w:eastAsia="Arial" w:hAnsi="Calibri" w:cs="Calibri"/>
                <w:sz w:val="24"/>
                <w:szCs w:val="20"/>
              </w:rPr>
              <w:t>0</w:t>
            </w:r>
            <w:r>
              <w:rPr>
                <w:rFonts w:ascii="Calibri" w:eastAsia="Arial" w:hAnsi="Calibri" w:cs="Calibri"/>
                <w:sz w:val="24"/>
                <w:szCs w:val="20"/>
              </w:rPr>
              <w:t>3</w:t>
            </w:r>
            <w:r w:rsidRPr="00E66C26">
              <w:rPr>
                <w:rFonts w:ascii="Calibri" w:eastAsia="Arial" w:hAnsi="Calibri" w:cs="Calibri"/>
                <w:sz w:val="24"/>
                <w:szCs w:val="20"/>
              </w:rPr>
              <w:t xml:space="preserve"> de fevereiro de 2022</w:t>
            </w:r>
          </w:p>
        </w:tc>
      </w:tr>
      <w:tr w:rsidR="00B20E3A" w:rsidRPr="00E66C26" w14:paraId="43FCB64B" w14:textId="77777777" w:rsidTr="000134F2">
        <w:tc>
          <w:tcPr>
            <w:tcW w:w="298" w:type="pct"/>
            <w:tcBorders>
              <w:top w:val="single" w:sz="4" w:space="0" w:color="auto"/>
              <w:bottom w:val="single" w:sz="4" w:space="0" w:color="auto"/>
            </w:tcBorders>
            <w:shd w:val="clear" w:color="auto" w:fill="auto"/>
            <w:vAlign w:val="center"/>
          </w:tcPr>
          <w:p w14:paraId="651FE5D0" w14:textId="06F52E3E" w:rsidR="00B20E3A" w:rsidRPr="00E66C26" w:rsidRDefault="00B20E3A" w:rsidP="00B20E3A">
            <w:pPr>
              <w:spacing w:before="80" w:afterLines="80" w:after="192"/>
              <w:contextualSpacing/>
              <w:rPr>
                <w:rFonts w:ascii="Calibri" w:eastAsia="Arial" w:hAnsi="Calibri" w:cs="Calibri"/>
                <w:sz w:val="24"/>
              </w:rPr>
            </w:pPr>
            <w:r>
              <w:rPr>
                <w:rFonts w:ascii="Calibri" w:eastAsia="Arial" w:hAnsi="Calibri" w:cs="Calibri"/>
                <w:sz w:val="24"/>
              </w:rPr>
              <w:t>11</w:t>
            </w:r>
          </w:p>
        </w:tc>
        <w:tc>
          <w:tcPr>
            <w:tcW w:w="3120" w:type="pct"/>
            <w:tcBorders>
              <w:top w:val="single" w:sz="4" w:space="0" w:color="auto"/>
              <w:left w:val="nil"/>
              <w:bottom w:val="single" w:sz="4" w:space="0" w:color="auto"/>
            </w:tcBorders>
            <w:shd w:val="clear" w:color="auto" w:fill="auto"/>
            <w:vAlign w:val="center"/>
          </w:tcPr>
          <w:p w14:paraId="13C03AD3" w14:textId="6E733CD7" w:rsidR="00B20E3A" w:rsidRPr="00E66C26" w:rsidRDefault="00B20E3A" w:rsidP="00B20E3A">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Data Máxima para Divulgação do Anúncio de Encerramento da Oferta</w:t>
            </w:r>
          </w:p>
        </w:tc>
        <w:tc>
          <w:tcPr>
            <w:tcW w:w="1582" w:type="pct"/>
            <w:tcBorders>
              <w:top w:val="single" w:sz="4" w:space="0" w:color="auto"/>
              <w:bottom w:val="single" w:sz="4" w:space="0" w:color="auto"/>
            </w:tcBorders>
            <w:shd w:val="clear" w:color="auto" w:fill="auto"/>
            <w:vAlign w:val="center"/>
          </w:tcPr>
          <w:p w14:paraId="509D7775" w14:textId="6B679307" w:rsidR="00B20E3A" w:rsidRPr="00E66C26" w:rsidRDefault="00B20E3A" w:rsidP="000134F2">
            <w:pPr>
              <w:spacing w:before="80" w:afterLines="80" w:after="192"/>
              <w:contextualSpacing/>
              <w:jc w:val="center"/>
              <w:rPr>
                <w:rFonts w:ascii="Calibri" w:eastAsia="Arial" w:hAnsi="Calibri" w:cs="Calibri"/>
                <w:sz w:val="24"/>
                <w:szCs w:val="20"/>
              </w:rPr>
            </w:pPr>
            <w:r>
              <w:rPr>
                <w:rFonts w:ascii="Calibri" w:eastAsia="Arial" w:hAnsi="Calibri" w:cs="Calibri"/>
                <w:sz w:val="24"/>
                <w:szCs w:val="20"/>
              </w:rPr>
              <w:t>02 de agosto</w:t>
            </w:r>
            <w:r w:rsidRPr="00E66C26">
              <w:rPr>
                <w:rFonts w:ascii="Calibri" w:eastAsia="Arial" w:hAnsi="Calibri" w:cs="Calibri"/>
                <w:sz w:val="24"/>
                <w:szCs w:val="20"/>
              </w:rPr>
              <w:t xml:space="preserve"> de 2022</w:t>
            </w:r>
          </w:p>
        </w:tc>
      </w:tr>
      <w:tr w:rsidR="00136667" w:rsidRPr="00E66C26" w14:paraId="7D5ED6C6" w14:textId="77777777" w:rsidTr="000134F2">
        <w:tc>
          <w:tcPr>
            <w:tcW w:w="298" w:type="pct"/>
            <w:tcBorders>
              <w:top w:val="single" w:sz="4" w:space="0" w:color="auto"/>
              <w:bottom w:val="single" w:sz="4" w:space="0" w:color="auto"/>
            </w:tcBorders>
            <w:shd w:val="clear" w:color="auto" w:fill="auto"/>
            <w:vAlign w:val="center"/>
          </w:tcPr>
          <w:p w14:paraId="4A0AF49E" w14:textId="037F9B4B" w:rsidR="00136667" w:rsidRPr="00E66C26" w:rsidRDefault="00B20E3A" w:rsidP="007566F8">
            <w:pPr>
              <w:spacing w:before="80" w:afterLines="80" w:after="192"/>
              <w:contextualSpacing/>
              <w:rPr>
                <w:rFonts w:ascii="Calibri" w:eastAsia="Arial" w:hAnsi="Calibri" w:cs="Calibri"/>
                <w:sz w:val="24"/>
              </w:rPr>
            </w:pPr>
            <w:r>
              <w:rPr>
                <w:rFonts w:ascii="Calibri" w:eastAsia="Arial" w:hAnsi="Calibri" w:cs="Calibri"/>
                <w:sz w:val="24"/>
              </w:rPr>
              <w:t>12</w:t>
            </w:r>
          </w:p>
        </w:tc>
        <w:tc>
          <w:tcPr>
            <w:tcW w:w="3120" w:type="pct"/>
            <w:tcBorders>
              <w:top w:val="single" w:sz="4" w:space="0" w:color="auto"/>
              <w:left w:val="nil"/>
              <w:bottom w:val="single" w:sz="4" w:space="0" w:color="auto"/>
            </w:tcBorders>
            <w:shd w:val="clear" w:color="auto" w:fill="auto"/>
            <w:vAlign w:val="center"/>
          </w:tcPr>
          <w:p w14:paraId="21571D87" w14:textId="681560A7" w:rsidR="00136667" w:rsidRPr="00E66C26" w:rsidRDefault="000579C5" w:rsidP="007566F8">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Data Máxima para início da negociação das Debêntures na B3</w:t>
            </w:r>
          </w:p>
        </w:tc>
        <w:tc>
          <w:tcPr>
            <w:tcW w:w="1582" w:type="pct"/>
            <w:tcBorders>
              <w:top w:val="single" w:sz="4" w:space="0" w:color="auto"/>
              <w:bottom w:val="single" w:sz="4" w:space="0" w:color="auto"/>
            </w:tcBorders>
            <w:shd w:val="clear" w:color="auto" w:fill="auto"/>
            <w:vAlign w:val="center"/>
          </w:tcPr>
          <w:p w14:paraId="26148C80" w14:textId="7F805F49" w:rsidR="00136667" w:rsidRPr="00E66C26" w:rsidRDefault="000579C5" w:rsidP="000134F2">
            <w:pPr>
              <w:spacing w:before="80" w:afterLines="80" w:after="192"/>
              <w:contextualSpacing/>
              <w:jc w:val="center"/>
              <w:rPr>
                <w:rFonts w:ascii="Calibri" w:eastAsia="Arial" w:hAnsi="Calibri" w:cs="Calibri"/>
                <w:sz w:val="24"/>
              </w:rPr>
            </w:pPr>
            <w:r w:rsidRPr="00E66C26">
              <w:rPr>
                <w:rFonts w:ascii="Calibri" w:eastAsia="Arial" w:hAnsi="Calibri" w:cs="Calibri"/>
                <w:sz w:val="24"/>
              </w:rPr>
              <w:t>0</w:t>
            </w:r>
            <w:r w:rsidR="00A771E9">
              <w:rPr>
                <w:rFonts w:ascii="Calibri" w:eastAsia="Arial" w:hAnsi="Calibri" w:cs="Calibri"/>
                <w:sz w:val="24"/>
              </w:rPr>
              <w:t>3</w:t>
            </w:r>
            <w:r w:rsidRPr="00E66C26">
              <w:rPr>
                <w:rFonts w:ascii="Calibri" w:eastAsia="Arial" w:hAnsi="Calibri" w:cs="Calibri"/>
                <w:sz w:val="24"/>
              </w:rPr>
              <w:t xml:space="preserve"> de agosto de 2022</w:t>
            </w:r>
          </w:p>
        </w:tc>
      </w:tr>
    </w:tbl>
    <w:p w14:paraId="4F036563" w14:textId="77777777" w:rsidR="00F13D49" w:rsidRPr="00E66C26" w:rsidRDefault="00F13D49" w:rsidP="00F13D49">
      <w:pPr>
        <w:pStyle w:val="Body"/>
        <w:widowControl w:val="0"/>
        <w:contextualSpacing/>
        <w:rPr>
          <w:rFonts w:ascii="Calibri" w:hAnsi="Calibri" w:cs="Calibri"/>
          <w:sz w:val="24"/>
          <w:szCs w:val="18"/>
        </w:rPr>
      </w:pPr>
      <w:r w:rsidRPr="00E66C26">
        <w:rPr>
          <w:rFonts w:ascii="Calibri" w:hAnsi="Calibri" w:cs="Calibri"/>
          <w:sz w:val="24"/>
          <w:vertAlign w:val="superscript"/>
        </w:rPr>
        <w:t>(1)</w:t>
      </w:r>
      <w:r w:rsidRPr="00E66C26">
        <w:rPr>
          <w:rFonts w:ascii="Calibri" w:hAnsi="Calibri" w:cs="Calibri"/>
          <w:sz w:val="24"/>
        </w:rPr>
        <w:t xml:space="preserve"> </w:t>
      </w:r>
      <w:r w:rsidRPr="00E66C26">
        <w:rPr>
          <w:rFonts w:ascii="Calibri" w:hAnsi="Calibri" w:cs="Calibri"/>
          <w:sz w:val="24"/>
          <w:szCs w:val="18"/>
        </w:rPr>
        <w:t>As datas previstas para os eventos futuros são meramente indicativas e estão sujeitas a alterações, atrasos e antecipações sem aviso prévio, a critério da Emissora e do Coordenador Líder. Qualquer modificação no cronograma da distribuição deverá ser comunicada à CVM e poderá ser analisada como modificação da Oferta, seguindo o disposto nos artigos 25 e 27 da Instrução CVM 400</w:t>
      </w:r>
      <w:r w:rsidRPr="00E66C26">
        <w:rPr>
          <w:rFonts w:ascii="Calibri" w:hAnsi="Calibri" w:cs="Calibri"/>
          <w:bCs/>
          <w:sz w:val="24"/>
          <w:szCs w:val="18"/>
        </w:rPr>
        <w:t>.</w:t>
      </w:r>
    </w:p>
    <w:p w14:paraId="50556B71" w14:textId="7E789109" w:rsidR="00F13D49" w:rsidRPr="00E66C26" w:rsidRDefault="00F13D49" w:rsidP="00F13D49">
      <w:pPr>
        <w:pStyle w:val="Body"/>
        <w:widowControl w:val="0"/>
        <w:contextualSpacing/>
        <w:rPr>
          <w:rFonts w:ascii="Calibri" w:hAnsi="Calibri" w:cs="Calibri"/>
          <w:sz w:val="24"/>
          <w:szCs w:val="18"/>
        </w:rPr>
      </w:pPr>
      <w:r w:rsidRPr="00E66C26">
        <w:rPr>
          <w:rFonts w:ascii="Calibri" w:hAnsi="Calibri" w:cs="Calibri"/>
          <w:sz w:val="24"/>
          <w:szCs w:val="18"/>
          <w:vertAlign w:val="superscript"/>
        </w:rPr>
        <w:t>(2)</w:t>
      </w:r>
      <w:r w:rsidRPr="00E66C26">
        <w:rPr>
          <w:rFonts w:ascii="Calibri" w:hAnsi="Calibri" w:cs="Calibri"/>
          <w:sz w:val="24"/>
          <w:szCs w:val="18"/>
        </w:rPr>
        <w:t xml:space="preserve"> Caso ocorram alterações das circunstâncias, suspensão, prorrogação, revogação ou </w:t>
      </w:r>
      <w:r w:rsidR="00434F32">
        <w:rPr>
          <w:rFonts w:ascii="Calibri" w:hAnsi="Calibri" w:cs="Calibri"/>
          <w:sz w:val="24"/>
          <w:szCs w:val="18"/>
        </w:rPr>
        <w:t xml:space="preserve">nova </w:t>
      </w:r>
      <w:r w:rsidRPr="00E66C26">
        <w:rPr>
          <w:rFonts w:ascii="Calibri" w:hAnsi="Calibri" w:cs="Calibri"/>
          <w:sz w:val="24"/>
          <w:szCs w:val="18"/>
        </w:rPr>
        <w:t>modificação da Oferta, tal cronograma poderá ser</w:t>
      </w:r>
      <w:r w:rsidR="00AD1572">
        <w:rPr>
          <w:rFonts w:ascii="Calibri" w:hAnsi="Calibri" w:cs="Calibri"/>
          <w:sz w:val="24"/>
          <w:szCs w:val="18"/>
        </w:rPr>
        <w:t xml:space="preserve"> novamente</w:t>
      </w:r>
      <w:r w:rsidRPr="00E66C26">
        <w:rPr>
          <w:rFonts w:ascii="Calibri" w:hAnsi="Calibri" w:cs="Calibri"/>
          <w:sz w:val="24"/>
          <w:szCs w:val="18"/>
        </w:rPr>
        <w:t xml:space="preserve"> alterado. Para informações sobre manifestação de aceitação à Oferta, manifestação de revogação da aceitação à Oferta, modificação da Oferta, suspensão da Oferta e cancelamento ou revogação da Oferta, veja as </w:t>
      </w:r>
      <w:r w:rsidRPr="00E66C26">
        <w:rPr>
          <w:rFonts w:ascii="Calibri" w:hAnsi="Calibri" w:cs="Calibri"/>
          <w:sz w:val="24"/>
          <w:szCs w:val="18"/>
        </w:rPr>
        <w:lastRenderedPageBreak/>
        <w:t xml:space="preserve">seções “Informações Relativas à Emissão, à Oferta e às Debêntures - Características da Oferta – Modificação da Oferta”, “Informações Relativas à Emissão, à Oferta e às Debêntures - Características da Oferta –Suspensão da Oferta” e “Informações Relativas à Emissão, à Oferta e às Debêntures – Características da Oferta </w:t>
      </w:r>
      <w:r w:rsidRPr="00FA24FD">
        <w:rPr>
          <w:rFonts w:ascii="Calibri" w:hAnsi="Calibri" w:cs="Calibri"/>
          <w:sz w:val="24"/>
          <w:szCs w:val="18"/>
        </w:rPr>
        <w:t xml:space="preserve">- </w:t>
      </w:r>
      <w:r w:rsidR="00FA24FD" w:rsidRPr="005E35B5">
        <w:rPr>
          <w:rFonts w:ascii="Calibri" w:hAnsi="Calibri"/>
          <w:sz w:val="24"/>
        </w:rPr>
        <w:t>Cancelamento</w:t>
      </w:r>
      <w:r w:rsidR="00FA24FD" w:rsidRPr="00FA24FD">
        <w:rPr>
          <w:rFonts w:ascii="Calibri" w:hAnsi="Calibri" w:cs="Calibri"/>
          <w:sz w:val="24"/>
        </w:rPr>
        <w:t>,</w:t>
      </w:r>
      <w:r w:rsidR="00FA24FD" w:rsidRPr="005E35B5">
        <w:rPr>
          <w:rFonts w:ascii="Calibri" w:hAnsi="Calibri"/>
          <w:sz w:val="24"/>
        </w:rPr>
        <w:t xml:space="preserve"> Revogação da Oferta</w:t>
      </w:r>
      <w:r w:rsidR="00FA24FD" w:rsidRPr="00FA24FD">
        <w:rPr>
          <w:rFonts w:ascii="Calibri" w:hAnsi="Calibri" w:cs="Calibri"/>
          <w:sz w:val="24"/>
        </w:rPr>
        <w:t xml:space="preserve"> ou Resilição do Contrato de Distribuição</w:t>
      </w:r>
      <w:r w:rsidRPr="00FA24FD">
        <w:rPr>
          <w:rFonts w:ascii="Calibri" w:hAnsi="Calibri" w:cs="Calibri"/>
          <w:sz w:val="24"/>
          <w:szCs w:val="18"/>
        </w:rPr>
        <w:t>”, a partir da página</w:t>
      </w:r>
      <w:r w:rsidR="000042C2" w:rsidRPr="00E66C26">
        <w:rPr>
          <w:rFonts w:ascii="Calibri" w:hAnsi="Calibri" w:cs="Calibri"/>
          <w:sz w:val="24"/>
          <w:szCs w:val="18"/>
        </w:rPr>
        <w:t xml:space="preserve"> </w:t>
      </w:r>
      <w:r w:rsidR="008D678B">
        <w:rPr>
          <w:rFonts w:ascii="Calibri" w:hAnsi="Calibri" w:cs="Calibri"/>
          <w:sz w:val="24"/>
          <w:szCs w:val="18"/>
        </w:rPr>
        <w:t>110</w:t>
      </w:r>
      <w:r w:rsidRPr="00E66C26">
        <w:rPr>
          <w:rFonts w:ascii="Calibri" w:hAnsi="Calibri" w:cs="Calibri"/>
          <w:sz w:val="24"/>
          <w:szCs w:val="18"/>
        </w:rPr>
        <w:t xml:space="preserve"> d</w:t>
      </w:r>
      <w:r w:rsidR="000042C2" w:rsidRPr="00E66C26">
        <w:rPr>
          <w:rFonts w:ascii="Calibri" w:hAnsi="Calibri" w:cs="Calibri"/>
          <w:sz w:val="24"/>
          <w:szCs w:val="18"/>
        </w:rPr>
        <w:t>o</w:t>
      </w:r>
      <w:r w:rsidRPr="00E66C26">
        <w:rPr>
          <w:rFonts w:ascii="Calibri" w:hAnsi="Calibri" w:cs="Calibri"/>
          <w:sz w:val="24"/>
          <w:szCs w:val="18"/>
        </w:rPr>
        <w:t xml:space="preserve"> Prospecto</w:t>
      </w:r>
      <w:r w:rsidR="000042C2" w:rsidRPr="00E66C26">
        <w:rPr>
          <w:rFonts w:ascii="Calibri" w:hAnsi="Calibri" w:cs="Calibri"/>
          <w:sz w:val="24"/>
          <w:szCs w:val="18"/>
        </w:rPr>
        <w:t xml:space="preserve"> Preliminar</w:t>
      </w:r>
      <w:r w:rsidRPr="00E66C26">
        <w:rPr>
          <w:rFonts w:ascii="Calibri" w:hAnsi="Calibri" w:cs="Calibri"/>
          <w:sz w:val="24"/>
          <w:szCs w:val="18"/>
        </w:rPr>
        <w:t>.</w:t>
      </w:r>
    </w:p>
    <w:p w14:paraId="6FEC4D0B" w14:textId="48030F29" w:rsidR="004D4ECA" w:rsidRPr="00E66C26" w:rsidRDefault="00F13D49" w:rsidP="00F13D49">
      <w:pPr>
        <w:spacing w:line="290" w:lineRule="auto"/>
        <w:jc w:val="both"/>
        <w:rPr>
          <w:rFonts w:ascii="Calibri" w:hAnsi="Calibri" w:cs="Calibri"/>
          <w:sz w:val="24"/>
        </w:rPr>
      </w:pPr>
      <w:r w:rsidRPr="00E66C26">
        <w:rPr>
          <w:rFonts w:ascii="Calibri" w:hAnsi="Calibri" w:cs="Calibri"/>
          <w:sz w:val="24"/>
          <w:szCs w:val="18"/>
          <w:vertAlign w:val="superscript"/>
        </w:rPr>
        <w:t>(3)</w:t>
      </w:r>
      <w:r w:rsidRPr="00E66C26">
        <w:rPr>
          <w:rFonts w:ascii="Calibri" w:hAnsi="Calibri" w:cs="Calibri"/>
          <w:sz w:val="24"/>
          <w:szCs w:val="18"/>
        </w:rPr>
        <w:t xml:space="preserve"> Para informações sobre o prazo para exercício da garantia firme e venda das Debêntures objeto da garantia firme pelo Coordenador Líder, conforme o caso, veja a seção “Informações Relativas à Emissão, à Oferta e às Debêntures – Contrato de Distribuição – Regime de Colocação”, na página </w:t>
      </w:r>
      <w:r w:rsidR="00ED190E">
        <w:rPr>
          <w:rFonts w:ascii="Calibri" w:hAnsi="Calibri" w:cs="Calibri"/>
          <w:sz w:val="24"/>
          <w:szCs w:val="18"/>
        </w:rPr>
        <w:t>11</w:t>
      </w:r>
      <w:r w:rsidR="00543A37">
        <w:rPr>
          <w:rFonts w:ascii="Calibri" w:hAnsi="Calibri" w:cs="Calibri"/>
          <w:sz w:val="24"/>
          <w:szCs w:val="18"/>
        </w:rPr>
        <w:t>1</w:t>
      </w:r>
      <w:r w:rsidRPr="00E66C26">
        <w:rPr>
          <w:rFonts w:ascii="Calibri" w:hAnsi="Calibri" w:cs="Calibri"/>
          <w:sz w:val="24"/>
          <w:szCs w:val="18"/>
        </w:rPr>
        <w:t xml:space="preserve"> d</w:t>
      </w:r>
      <w:r w:rsidR="000042C2" w:rsidRPr="00E66C26">
        <w:rPr>
          <w:rFonts w:ascii="Calibri" w:hAnsi="Calibri" w:cs="Calibri"/>
          <w:sz w:val="24"/>
          <w:szCs w:val="18"/>
        </w:rPr>
        <w:t>o</w:t>
      </w:r>
      <w:r w:rsidRPr="00E66C26">
        <w:rPr>
          <w:rFonts w:ascii="Calibri" w:hAnsi="Calibri" w:cs="Calibri"/>
          <w:sz w:val="24"/>
          <w:szCs w:val="18"/>
        </w:rPr>
        <w:t xml:space="preserve"> Prospecto</w:t>
      </w:r>
      <w:r w:rsidR="000042C2" w:rsidRPr="00E66C26">
        <w:rPr>
          <w:rFonts w:ascii="Calibri" w:hAnsi="Calibri" w:cs="Calibri"/>
          <w:sz w:val="24"/>
          <w:szCs w:val="18"/>
        </w:rPr>
        <w:t xml:space="preserve"> Preliminar.</w:t>
      </w:r>
    </w:p>
    <w:p w14:paraId="57549695" w14:textId="3A1599E6" w:rsidR="001C0B1F" w:rsidRPr="00E66C26" w:rsidRDefault="008C5007" w:rsidP="0029198E">
      <w:pPr>
        <w:pStyle w:val="Body"/>
        <w:widowControl w:val="0"/>
        <w:rPr>
          <w:rFonts w:ascii="Calibri" w:hAnsi="Calibri" w:cs="Calibri"/>
          <w:sz w:val="24"/>
        </w:rPr>
      </w:pPr>
      <w:bookmarkStart w:id="21" w:name="_Toc428306446"/>
      <w:bookmarkStart w:id="22" w:name="_Toc428306447"/>
      <w:bookmarkStart w:id="23" w:name="_Toc428306448"/>
      <w:bookmarkStart w:id="24" w:name="_Toc428306449"/>
      <w:bookmarkStart w:id="25" w:name="_Toc428306450"/>
      <w:bookmarkStart w:id="26" w:name="_Toc428306451"/>
      <w:bookmarkStart w:id="27" w:name="_Toc428306452"/>
      <w:bookmarkStart w:id="28" w:name="_Toc428306453"/>
      <w:bookmarkStart w:id="29" w:name="_Toc428306454"/>
      <w:bookmarkStart w:id="30" w:name="_Toc428306455"/>
      <w:bookmarkStart w:id="31" w:name="_Toc428306456"/>
      <w:bookmarkStart w:id="32" w:name="_Toc428306457"/>
      <w:bookmarkStart w:id="33" w:name="_Toc428306458"/>
      <w:bookmarkStart w:id="34" w:name="_Toc428306459"/>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E66C26">
        <w:rPr>
          <w:rFonts w:ascii="Calibri" w:hAnsi="Calibri" w:cs="Calibri"/>
          <w:sz w:val="24"/>
        </w:rPr>
        <w:t>Na hipótese de suspensão, cancelamento, modificação ou revogação da Oferta, o cronograma acima será alterado. Quaisquer comunicados ao mercado relativos a tais eventos relacionados à Oferta serão publicados e/ou divulgados nos mesmos meios utilizados para publicação e divulgação do Aviso ao Mercado, conforme abaixo indicados</w:t>
      </w:r>
      <w:r w:rsidR="001C0B1F" w:rsidRPr="00E66C26">
        <w:rPr>
          <w:rFonts w:ascii="Calibri" w:hAnsi="Calibri" w:cs="Calibri"/>
          <w:sz w:val="24"/>
        </w:rPr>
        <w:t>.</w:t>
      </w:r>
      <w:bookmarkStart w:id="35" w:name="_DV_M9"/>
      <w:bookmarkStart w:id="36" w:name="_DV_M10"/>
      <w:bookmarkStart w:id="37" w:name="_DV_M11"/>
      <w:bookmarkStart w:id="38" w:name="_DV_M12"/>
      <w:bookmarkStart w:id="39" w:name="_DV_M13"/>
      <w:bookmarkStart w:id="40" w:name="_DV_M14"/>
      <w:bookmarkStart w:id="41" w:name="_DV_M15"/>
      <w:bookmarkStart w:id="42" w:name="_DV_M18"/>
      <w:bookmarkStart w:id="43" w:name="_DV_M19"/>
      <w:bookmarkStart w:id="44" w:name="_DV_M20"/>
      <w:bookmarkStart w:id="45" w:name="_DV_M21"/>
      <w:bookmarkStart w:id="46" w:name="_DV_M22"/>
      <w:bookmarkStart w:id="47" w:name="_DV_M23"/>
      <w:bookmarkStart w:id="48" w:name="_DV_M24"/>
      <w:bookmarkStart w:id="49" w:name="_DV_M25"/>
      <w:bookmarkStart w:id="50" w:name="_DV_M26"/>
      <w:bookmarkStart w:id="51" w:name="_DV_M27"/>
      <w:bookmarkStart w:id="52" w:name="_DV_M28"/>
      <w:bookmarkStart w:id="53" w:name="_DV_M29"/>
      <w:bookmarkStart w:id="54" w:name="_DV_M30"/>
      <w:bookmarkStart w:id="55" w:name="_DV_M34"/>
      <w:bookmarkStart w:id="56" w:name="_DV_M35"/>
      <w:bookmarkStart w:id="57" w:name="_DV_M36"/>
      <w:bookmarkStart w:id="58" w:name="_DV_M39"/>
      <w:bookmarkStart w:id="59" w:name="_DV_M40"/>
      <w:bookmarkStart w:id="60" w:name="_DV_M43"/>
      <w:bookmarkStart w:id="61" w:name="_DV_M44"/>
      <w:bookmarkStart w:id="62" w:name="_DV_M46"/>
      <w:bookmarkStart w:id="63" w:name="_DV_M47"/>
      <w:bookmarkStart w:id="64" w:name="_DV_M48"/>
      <w:bookmarkStart w:id="65" w:name="_DV_M51"/>
      <w:bookmarkStart w:id="66" w:name="_DV_M52"/>
      <w:bookmarkStart w:id="67" w:name="_DV_M53"/>
      <w:bookmarkStart w:id="68" w:name="_DV_M54"/>
      <w:bookmarkStart w:id="69" w:name="_DV_M55"/>
      <w:bookmarkStart w:id="70" w:name="_DV_M56"/>
      <w:bookmarkStart w:id="71" w:name="_DV_M57"/>
      <w:bookmarkStart w:id="72" w:name="_DV_M58"/>
      <w:bookmarkStart w:id="73" w:name="_DV_M59"/>
      <w:bookmarkStart w:id="74" w:name="_DV_M61"/>
      <w:bookmarkStart w:id="75" w:name="_DV_M62"/>
      <w:bookmarkStart w:id="76" w:name="_DV_M63"/>
      <w:bookmarkStart w:id="77" w:name="_DV_M64"/>
      <w:bookmarkStart w:id="78" w:name="_DV_M65"/>
      <w:bookmarkStart w:id="79" w:name="_DV_M66"/>
      <w:bookmarkStart w:id="80" w:name="_DV_M68"/>
      <w:bookmarkStart w:id="81" w:name="_DV_M6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321A812" w14:textId="77777777" w:rsidR="00E80B84" w:rsidRPr="00643349" w:rsidRDefault="001C0B1F" w:rsidP="00643349">
      <w:pPr>
        <w:pStyle w:val="Level1"/>
        <w:numPr>
          <w:ilvl w:val="0"/>
          <w:numId w:val="20"/>
        </w:numPr>
        <w:tabs>
          <w:tab w:val="clear" w:pos="680"/>
          <w:tab w:val="num" w:pos="426"/>
        </w:tabs>
        <w:rPr>
          <w:rFonts w:ascii="Calibri" w:hAnsi="Calibri" w:cs="Calibri"/>
          <w:caps/>
          <w:color w:val="203463"/>
          <w:sz w:val="28"/>
          <w:szCs w:val="28"/>
        </w:rPr>
      </w:pPr>
      <w:r w:rsidRPr="00643349">
        <w:rPr>
          <w:rFonts w:ascii="Calibri" w:hAnsi="Calibri" w:cs="Calibri"/>
          <w:caps/>
          <w:color w:val="203463"/>
          <w:sz w:val="28"/>
          <w:szCs w:val="28"/>
        </w:rPr>
        <w:t>Publicidade</w:t>
      </w:r>
    </w:p>
    <w:p w14:paraId="1D39A17E" w14:textId="51754292" w:rsidR="001C0B1F" w:rsidRPr="00E66C26" w:rsidRDefault="004876C9" w:rsidP="0029198E">
      <w:pPr>
        <w:pStyle w:val="Body"/>
        <w:rPr>
          <w:rFonts w:ascii="Calibri" w:hAnsi="Calibri" w:cs="Calibri"/>
          <w:sz w:val="24"/>
        </w:rPr>
      </w:pPr>
      <w:r w:rsidRPr="00E66C26">
        <w:rPr>
          <w:rFonts w:ascii="Calibri" w:hAnsi="Calibri" w:cs="Calibri"/>
          <w:sz w:val="24"/>
        </w:rPr>
        <w:t>T</w:t>
      </w:r>
      <w:r w:rsidR="001C0B1F" w:rsidRPr="00E66C26">
        <w:rPr>
          <w:rFonts w:ascii="Calibri" w:hAnsi="Calibri" w:cs="Calibri"/>
          <w:sz w:val="24"/>
        </w:rPr>
        <w:t xml:space="preserve">odos </w:t>
      </w:r>
      <w:r w:rsidRPr="00E66C26">
        <w:rPr>
          <w:rFonts w:ascii="Calibri" w:hAnsi="Calibri" w:cs="Calibri"/>
          <w:sz w:val="24"/>
        </w:rPr>
        <w:t>os atos e decisões decorrentes da Emissão que, de qualquer forma, vierem a envolver, direta ou indiretamente, o interesse dos Debenturistas, deverão ser publicados sob a forma de “Aviso aos Debenturistas” no DOE</w:t>
      </w:r>
      <w:r w:rsidR="00AD1572">
        <w:rPr>
          <w:rFonts w:ascii="Calibri" w:hAnsi="Calibri" w:cs="Calibri"/>
          <w:sz w:val="24"/>
        </w:rPr>
        <w:t>SP</w:t>
      </w:r>
      <w:r w:rsidRPr="00E66C26">
        <w:rPr>
          <w:rFonts w:ascii="Calibri" w:hAnsi="Calibri" w:cs="Calibri"/>
          <w:sz w:val="24"/>
        </w:rPr>
        <w:t xml:space="preserve"> e no jornal “</w:t>
      </w:r>
      <w:r w:rsidRPr="00E66C26">
        <w:rPr>
          <w:rFonts w:ascii="Calibri" w:hAnsi="Calibri" w:cs="Calibri"/>
          <w:color w:val="000000"/>
          <w:sz w:val="24"/>
        </w:rPr>
        <w:t>Valor Econômico”</w:t>
      </w:r>
      <w:r w:rsidRPr="00E66C26">
        <w:rPr>
          <w:rFonts w:ascii="Calibri" w:hAnsi="Calibri" w:cs="Calibri"/>
          <w:sz w:val="24"/>
        </w:rPr>
        <w:t>, utilizados pela Emissora para efetuar as publicações ordenadas pela Lei das Sociedades por Ações, observado que as publicações relacionadas à Oferta serão feitas nos termos da Instrução CVM 400. O “Aviso aos Debenturistas” também deverá ser divulgado nas páginas da rede mundial de computadores da Emissora, da B3 e da CVM</w:t>
      </w:r>
      <w:r w:rsidR="00A05E5E" w:rsidRPr="00E66C26">
        <w:rPr>
          <w:rFonts w:ascii="Calibri" w:hAnsi="Calibri" w:cs="Calibri"/>
          <w:sz w:val="24"/>
        </w:rPr>
        <w:t xml:space="preserve">. </w:t>
      </w:r>
      <w:r w:rsidRPr="00E66C26">
        <w:rPr>
          <w:rFonts w:ascii="Calibri" w:hAnsi="Calibri" w:cs="Calibri"/>
          <w:sz w:val="24"/>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podendo os Debenturistas verificar com o Agente Fiduciário sobre a eventual alteração do jornal de publicação. As divulgações relacionadas à Oferta serão feitas nos termos da Instrução CVM 400, sendo que todos os anúncios, aviso e demais atos relativos à Oferta, incluindo </w:t>
      </w:r>
      <w:r w:rsidR="00024805" w:rsidRPr="00E66C26">
        <w:rPr>
          <w:rFonts w:ascii="Calibri" w:hAnsi="Calibri" w:cs="Calibri"/>
          <w:sz w:val="24"/>
        </w:rPr>
        <w:t>este</w:t>
      </w:r>
      <w:r w:rsidRPr="00E66C26">
        <w:rPr>
          <w:rFonts w:ascii="Calibri" w:hAnsi="Calibri" w:cs="Calibri"/>
          <w:sz w:val="24"/>
        </w:rPr>
        <w:t xml:space="preserve"> Aviso ao Mercado,</w:t>
      </w:r>
      <w:r w:rsidR="00024805" w:rsidRPr="00E66C26">
        <w:rPr>
          <w:rFonts w:ascii="Calibri" w:hAnsi="Calibri" w:cs="Calibri"/>
          <w:sz w:val="24"/>
        </w:rPr>
        <w:t xml:space="preserve"> o </w:t>
      </w:r>
      <w:r w:rsidRPr="00E66C26">
        <w:rPr>
          <w:rFonts w:ascii="Calibri" w:hAnsi="Calibri" w:cs="Calibri"/>
          <w:sz w:val="24"/>
        </w:rPr>
        <w:t xml:space="preserve">Anúncio de Início e o Anúncio de Encerramento, serão divulgados nas páginas da rede mundial de computadores da Emissora, </w:t>
      </w:r>
      <w:r w:rsidR="007E091D" w:rsidRPr="00E66C26">
        <w:rPr>
          <w:rFonts w:ascii="Calibri" w:hAnsi="Calibri" w:cs="Calibri"/>
          <w:sz w:val="24"/>
        </w:rPr>
        <w:t>do Coordenador Líder</w:t>
      </w:r>
      <w:r w:rsidRPr="00E66C26">
        <w:rPr>
          <w:rFonts w:ascii="Calibri" w:hAnsi="Calibri" w:cs="Calibri"/>
          <w:sz w:val="24"/>
        </w:rPr>
        <w:t>, da B3 e da CVM, conforme o caso, observado o disposto na legislação e na regulamentação aplicável.</w:t>
      </w:r>
    </w:p>
    <w:p w14:paraId="46F52847" w14:textId="77777777" w:rsidR="00E80B84" w:rsidRPr="00643349" w:rsidRDefault="00CC7807" w:rsidP="00643349">
      <w:pPr>
        <w:pStyle w:val="Level1"/>
        <w:numPr>
          <w:ilvl w:val="0"/>
          <w:numId w:val="20"/>
        </w:numPr>
        <w:tabs>
          <w:tab w:val="clear" w:pos="680"/>
          <w:tab w:val="num" w:pos="426"/>
        </w:tabs>
        <w:rPr>
          <w:rFonts w:ascii="Calibri" w:hAnsi="Calibri" w:cs="Calibri"/>
          <w:caps/>
          <w:color w:val="203463"/>
          <w:sz w:val="28"/>
          <w:szCs w:val="28"/>
        </w:rPr>
      </w:pPr>
      <w:bookmarkStart w:id="82" w:name="_Ref423287106"/>
      <w:r w:rsidRPr="00643349">
        <w:rPr>
          <w:rFonts w:ascii="Calibri" w:hAnsi="Calibri" w:cs="Calibri"/>
          <w:caps/>
          <w:color w:val="203463"/>
          <w:sz w:val="28"/>
          <w:szCs w:val="28"/>
        </w:rPr>
        <w:lastRenderedPageBreak/>
        <w:t>Divulgação de Avisos e Anúncios</w:t>
      </w:r>
      <w:r w:rsidR="00452EA9" w:rsidRPr="00643349">
        <w:rPr>
          <w:rFonts w:ascii="Calibri" w:hAnsi="Calibri" w:cs="Calibri"/>
          <w:caps/>
          <w:color w:val="203463"/>
          <w:sz w:val="28"/>
          <w:szCs w:val="28"/>
        </w:rPr>
        <w:t xml:space="preserve"> </w:t>
      </w:r>
      <w:r w:rsidRPr="00643349">
        <w:rPr>
          <w:rFonts w:ascii="Calibri" w:hAnsi="Calibri" w:cs="Calibri"/>
          <w:caps/>
          <w:color w:val="203463"/>
          <w:sz w:val="28"/>
          <w:szCs w:val="28"/>
        </w:rPr>
        <w:t>da Oferta</w:t>
      </w:r>
      <w:bookmarkEnd w:id="82"/>
    </w:p>
    <w:p w14:paraId="46170CE6" w14:textId="3167865F" w:rsidR="00CC7807" w:rsidRPr="00E66C26" w:rsidRDefault="0071083E" w:rsidP="0029198E">
      <w:pPr>
        <w:pStyle w:val="Body"/>
        <w:rPr>
          <w:rFonts w:ascii="Calibri" w:hAnsi="Calibri" w:cs="Calibri"/>
          <w:b/>
          <w:sz w:val="24"/>
        </w:rPr>
      </w:pPr>
      <w:r w:rsidRPr="00E66C26">
        <w:rPr>
          <w:rFonts w:ascii="Calibri" w:hAnsi="Calibri" w:cs="Calibri"/>
          <w:b/>
          <w:sz w:val="24"/>
        </w:rPr>
        <w:t xml:space="preserve">ESTE AVISO AO MERCADO, O ANÚNCIO DE INÍCIO, O ANÚNCIO DE ENCERRAMENTO, EVENTUAIS ANÚNCIOS DE RETIFICAÇÃO, BEM COMO TODO E QUALQUER AVISO OU COMUNICADO RELATIVO À OFERTA SERÃO DISPONIBILIZADOS, ATÉ O ENCERRAMENTO DA OFERTA, </w:t>
      </w:r>
      <w:r w:rsidR="001863C8" w:rsidRPr="00E66C26">
        <w:rPr>
          <w:rFonts w:ascii="Calibri" w:hAnsi="Calibri" w:cs="Calibri"/>
          <w:b/>
          <w:sz w:val="24"/>
        </w:rPr>
        <w:t xml:space="preserve">NOS TERMOS DO ARTIGO 54-A DA INSTRUÇÃO CVM 400, </w:t>
      </w:r>
      <w:r w:rsidRPr="00E66C26">
        <w:rPr>
          <w:rFonts w:ascii="Calibri" w:hAnsi="Calibri" w:cs="Calibri"/>
          <w:b/>
          <w:sz w:val="24"/>
        </w:rPr>
        <w:t xml:space="preserve">NAS PÁGINAS NA REDE MUNDIAL DE COMPUTADORES DA </w:t>
      </w:r>
      <w:r w:rsidR="001863C8" w:rsidRPr="00E66C26">
        <w:rPr>
          <w:rFonts w:ascii="Calibri" w:hAnsi="Calibri" w:cs="Calibri"/>
          <w:b/>
          <w:sz w:val="24"/>
        </w:rPr>
        <w:t>EMISSORA</w:t>
      </w:r>
      <w:r w:rsidRPr="00E66C26">
        <w:rPr>
          <w:rFonts w:ascii="Calibri" w:hAnsi="Calibri" w:cs="Calibri"/>
          <w:b/>
          <w:sz w:val="24"/>
        </w:rPr>
        <w:t>,</w:t>
      </w:r>
      <w:r w:rsidR="001863C8" w:rsidRPr="00E66C26">
        <w:rPr>
          <w:rFonts w:ascii="Calibri" w:hAnsi="Calibri" w:cs="Calibri"/>
          <w:b/>
          <w:sz w:val="24"/>
        </w:rPr>
        <w:t xml:space="preserve"> DO</w:t>
      </w:r>
      <w:r w:rsidR="007E091D" w:rsidRPr="00E66C26">
        <w:rPr>
          <w:rFonts w:ascii="Calibri" w:hAnsi="Calibri" w:cs="Calibri"/>
          <w:b/>
          <w:sz w:val="24"/>
        </w:rPr>
        <w:t xml:space="preserve"> COORDENADOR LÍDER</w:t>
      </w:r>
      <w:r w:rsidRPr="00E66C26">
        <w:rPr>
          <w:rFonts w:ascii="Calibri" w:hAnsi="Calibri" w:cs="Calibri"/>
          <w:b/>
          <w:sz w:val="24"/>
        </w:rPr>
        <w:t>, DA CVM</w:t>
      </w:r>
      <w:r w:rsidR="002D6E5F" w:rsidRPr="00E66C26">
        <w:rPr>
          <w:rFonts w:ascii="Calibri" w:hAnsi="Calibri" w:cs="Calibri"/>
          <w:b/>
          <w:sz w:val="24"/>
        </w:rPr>
        <w:t xml:space="preserve"> E </w:t>
      </w:r>
      <w:r w:rsidR="00504BFC" w:rsidRPr="00E66C26">
        <w:rPr>
          <w:rFonts w:ascii="Calibri" w:hAnsi="Calibri" w:cs="Calibri"/>
          <w:b/>
          <w:sz w:val="24"/>
        </w:rPr>
        <w:t xml:space="preserve">DA B3 NOS SEGUINTES ENDEREÇOS E </w:t>
      </w:r>
      <w:r w:rsidR="00120668" w:rsidRPr="00E66C26">
        <w:rPr>
          <w:rFonts w:ascii="Calibri" w:hAnsi="Calibri" w:cs="Calibri"/>
          <w:b/>
          <w:sz w:val="24"/>
        </w:rPr>
        <w:t>PÁGINAS DA INTERNET</w:t>
      </w:r>
      <w:r w:rsidRPr="00E66C26">
        <w:rPr>
          <w:rFonts w:ascii="Calibri" w:hAnsi="Calibri" w:cs="Calibri"/>
          <w:b/>
          <w:sz w:val="24"/>
        </w:rPr>
        <w:t>:</w:t>
      </w:r>
    </w:p>
    <w:p w14:paraId="7D56BCFA" w14:textId="77777777" w:rsidR="00CC7807" w:rsidRPr="00E66C26" w:rsidRDefault="001863C8" w:rsidP="0029198E">
      <w:pPr>
        <w:pStyle w:val="Body"/>
        <w:rPr>
          <w:rFonts w:ascii="Calibri" w:hAnsi="Calibri" w:cs="Calibri"/>
          <w:b/>
          <w:sz w:val="24"/>
        </w:rPr>
      </w:pPr>
      <w:r w:rsidRPr="00E66C26">
        <w:rPr>
          <w:rFonts w:ascii="Calibri" w:hAnsi="Calibri" w:cs="Calibri"/>
          <w:b/>
          <w:sz w:val="24"/>
        </w:rPr>
        <w:t>Emissora</w:t>
      </w:r>
    </w:p>
    <w:p w14:paraId="1B946A21" w14:textId="0A7FBF49" w:rsidR="00AD1FF0" w:rsidRPr="00E66C26" w:rsidRDefault="008C5007" w:rsidP="0029198E">
      <w:pPr>
        <w:pStyle w:val="HOMEBRBodyText"/>
        <w:keepLines w:val="0"/>
        <w:widowControl w:val="0"/>
        <w:spacing w:after="140" w:line="290" w:lineRule="auto"/>
        <w:jc w:val="both"/>
        <w:rPr>
          <w:rFonts w:ascii="Calibri" w:eastAsia="Tahoma" w:hAnsi="Calibri" w:cs="Calibri"/>
          <w:b/>
          <w:spacing w:val="6"/>
          <w:sz w:val="24"/>
          <w:szCs w:val="24"/>
          <w:lang w:val="pt-BR"/>
        </w:rPr>
      </w:pPr>
      <w:r w:rsidRPr="00E66C26">
        <w:rPr>
          <w:rFonts w:ascii="Calibri" w:eastAsia="Tahoma" w:hAnsi="Calibri" w:cs="Calibri"/>
          <w:b/>
          <w:spacing w:val="6"/>
          <w:sz w:val="24"/>
          <w:szCs w:val="24"/>
          <w:lang w:val="pt-BR"/>
        </w:rPr>
        <w:t>SÃO MARTINHO</w:t>
      </w:r>
      <w:r w:rsidR="00AD1FF0" w:rsidRPr="00E66C26">
        <w:rPr>
          <w:rFonts w:ascii="Calibri" w:eastAsia="Tahoma" w:hAnsi="Calibri" w:cs="Calibri"/>
          <w:b/>
          <w:spacing w:val="6"/>
          <w:sz w:val="24"/>
          <w:szCs w:val="24"/>
          <w:lang w:val="pt-BR"/>
        </w:rPr>
        <w:t xml:space="preserve"> S.A.</w:t>
      </w:r>
    </w:p>
    <w:p w14:paraId="039CB278" w14:textId="2FAF2AEE" w:rsidR="00B91260" w:rsidRPr="00E66C26" w:rsidRDefault="008C5007" w:rsidP="00AD1FF0">
      <w:pPr>
        <w:pStyle w:val="Body"/>
        <w:rPr>
          <w:rFonts w:ascii="Calibri" w:hAnsi="Calibri" w:cs="Calibri"/>
          <w:sz w:val="24"/>
        </w:rPr>
      </w:pPr>
      <w:r w:rsidRPr="00E66C26">
        <w:rPr>
          <w:rFonts w:ascii="Calibri" w:hAnsi="Calibri" w:cs="Calibri"/>
          <w:sz w:val="24"/>
        </w:rPr>
        <w:t xml:space="preserve">https://ri.saomartinho.com.br/ (neste website, acessar </w:t>
      </w:r>
      <w:r w:rsidR="00333250" w:rsidRPr="00E66C26">
        <w:rPr>
          <w:rFonts w:ascii="Calibri" w:hAnsi="Calibri" w:cs="Calibri"/>
          <w:sz w:val="24"/>
        </w:rPr>
        <w:t>“Informações aos Investidores”, “Documentos Entregues à CVM”, em seguida</w:t>
      </w:r>
      <w:r w:rsidRPr="00E66C26">
        <w:rPr>
          <w:rFonts w:ascii="Calibri" w:hAnsi="Calibri" w:cs="Calibri"/>
          <w:sz w:val="24"/>
        </w:rPr>
        <w:t xml:space="preserve">, </w:t>
      </w:r>
      <w:r w:rsidR="00D636C3" w:rsidRPr="00E66C26">
        <w:rPr>
          <w:rFonts w:ascii="Calibri" w:hAnsi="Calibri" w:cs="Calibri"/>
          <w:sz w:val="24"/>
        </w:rPr>
        <w:t xml:space="preserve">clicar “Filtrar por ano”, </w:t>
      </w:r>
      <w:r w:rsidRPr="00E66C26">
        <w:rPr>
          <w:rFonts w:ascii="Calibri" w:hAnsi="Calibri" w:cs="Calibri"/>
          <w:sz w:val="24"/>
        </w:rPr>
        <w:t xml:space="preserve">selecionar </w:t>
      </w:r>
      <w:r w:rsidR="00E41EE3">
        <w:rPr>
          <w:rFonts w:ascii="Calibri" w:hAnsi="Calibri" w:cs="Calibri"/>
          <w:sz w:val="24"/>
        </w:rPr>
        <w:t>“2021”</w:t>
      </w:r>
      <w:r w:rsidRPr="00E66C26">
        <w:rPr>
          <w:rFonts w:ascii="Calibri" w:hAnsi="Calibri" w:cs="Calibri"/>
          <w:sz w:val="24"/>
        </w:rPr>
        <w:t xml:space="preserve"> e, na página seguinte, </w:t>
      </w:r>
      <w:r w:rsidR="00E41EE3">
        <w:rPr>
          <w:rFonts w:ascii="Calibri" w:hAnsi="Calibri" w:cs="Calibri"/>
          <w:sz w:val="24"/>
        </w:rPr>
        <w:t xml:space="preserve">na aba “Outros Documentos”, </w:t>
      </w:r>
      <w:r w:rsidR="00D636C3" w:rsidRPr="00E66C26">
        <w:rPr>
          <w:rFonts w:ascii="Calibri" w:hAnsi="Calibri" w:cs="Calibri"/>
          <w:sz w:val="24"/>
        </w:rPr>
        <w:t>acessar</w:t>
      </w:r>
      <w:r w:rsidRPr="00E66C26">
        <w:rPr>
          <w:rFonts w:ascii="Calibri" w:hAnsi="Calibri" w:cs="Calibri"/>
          <w:sz w:val="24"/>
        </w:rPr>
        <w:t xml:space="preserve"> o “Aviso ao Mercado”, o “Anúncio de Início”, o “Anúncio de Encerramento” e/ou eventuais outros anúncios, avisos e comunicados da Oferta)</w:t>
      </w:r>
      <w:r w:rsidRPr="00E66C26">
        <w:rPr>
          <w:rFonts w:ascii="Calibri" w:eastAsia="Tahoma" w:hAnsi="Calibri" w:cs="Calibri"/>
          <w:color w:val="000000"/>
          <w:spacing w:val="6"/>
          <w:sz w:val="24"/>
        </w:rPr>
        <w:t>;</w:t>
      </w:r>
    </w:p>
    <w:p w14:paraId="2D774B6F" w14:textId="77777777" w:rsidR="00C33623" w:rsidRPr="00E66C26" w:rsidRDefault="00D157AE" w:rsidP="0029198E">
      <w:pPr>
        <w:pStyle w:val="Body"/>
        <w:rPr>
          <w:rFonts w:ascii="Calibri" w:hAnsi="Calibri" w:cs="Calibri"/>
          <w:b/>
          <w:sz w:val="24"/>
        </w:rPr>
      </w:pPr>
      <w:r w:rsidRPr="00E66C26">
        <w:rPr>
          <w:rFonts w:ascii="Calibri" w:hAnsi="Calibri" w:cs="Calibri"/>
          <w:b/>
          <w:sz w:val="24"/>
        </w:rPr>
        <w:t>Coordenador Líder</w:t>
      </w:r>
    </w:p>
    <w:p w14:paraId="3272BEE5" w14:textId="59E1CD37" w:rsidR="00194D82" w:rsidRPr="00E66C26" w:rsidRDefault="00AD1FF0" w:rsidP="0029198E">
      <w:pPr>
        <w:pStyle w:val="Body"/>
        <w:rPr>
          <w:rFonts w:ascii="Calibri" w:hAnsi="Calibri" w:cs="Calibri"/>
          <w:b/>
          <w:sz w:val="24"/>
          <w:highlight w:val="cyan"/>
        </w:rPr>
      </w:pPr>
      <w:r w:rsidRPr="00E66C26">
        <w:rPr>
          <w:rFonts w:ascii="Calibri" w:hAnsi="Calibri" w:cs="Calibri"/>
          <w:b/>
          <w:sz w:val="24"/>
        </w:rPr>
        <w:t>XP INVESTIMENTOS CORRETORA DE CÂMBIO, TÍTULOS E VALORES MOBILIÁRIOS S.A.</w:t>
      </w:r>
    </w:p>
    <w:p w14:paraId="50A332AC" w14:textId="35743540" w:rsidR="00387A57" w:rsidRPr="00E66C26" w:rsidRDefault="008C5007" w:rsidP="0029198E">
      <w:pPr>
        <w:pStyle w:val="Body"/>
        <w:rPr>
          <w:rFonts w:ascii="Calibri" w:hAnsi="Calibri" w:cs="Calibri"/>
          <w:sz w:val="24"/>
          <w:highlight w:val="cyan"/>
        </w:rPr>
      </w:pPr>
      <w:r w:rsidRPr="00E66C26">
        <w:rPr>
          <w:rFonts w:ascii="Calibri" w:hAnsi="Calibri" w:cs="Calibri"/>
          <w:sz w:val="24"/>
        </w:rPr>
        <w:t xml:space="preserve">https://institucional.xpi.com.br/investimentos/oferta-publica.aspx (neste website, acessar </w:t>
      </w:r>
      <w:r w:rsidR="00D636C3" w:rsidRPr="00E66C26">
        <w:rPr>
          <w:rFonts w:ascii="Calibri" w:hAnsi="Calibri" w:cs="Calibri"/>
          <w:sz w:val="24"/>
        </w:rPr>
        <w:t xml:space="preserve">“Debêntures São Martinho S.A. – 4ª Emissão de Debêntures da São Martinho S.A.”, em seguida clicar </w:t>
      </w:r>
      <w:proofErr w:type="gramStart"/>
      <w:r w:rsidR="00D636C3" w:rsidRPr="00E66C26">
        <w:rPr>
          <w:rFonts w:ascii="Calibri" w:hAnsi="Calibri" w:cs="Calibri"/>
          <w:sz w:val="24"/>
        </w:rPr>
        <w:t xml:space="preserve">em, </w:t>
      </w:r>
      <w:r w:rsidRPr="00E66C26">
        <w:rPr>
          <w:rFonts w:ascii="Calibri" w:hAnsi="Calibri" w:cs="Calibri"/>
          <w:bCs/>
          <w:sz w:val="24"/>
        </w:rPr>
        <w:t>“Aviso</w:t>
      </w:r>
      <w:proofErr w:type="gramEnd"/>
      <w:r w:rsidRPr="00E66C26">
        <w:rPr>
          <w:rFonts w:ascii="Calibri" w:hAnsi="Calibri" w:cs="Calibri"/>
          <w:bCs/>
          <w:sz w:val="24"/>
        </w:rPr>
        <w:t xml:space="preserve"> ao Mercado” </w:t>
      </w:r>
      <w:r w:rsidRPr="00E66C26">
        <w:rPr>
          <w:rFonts w:ascii="Calibri" w:hAnsi="Calibri" w:cs="Calibri"/>
          <w:sz w:val="24"/>
        </w:rPr>
        <w:t>“Anúncio de Início”, “Anúncio de Encerramento” e/ou eventuais outros anúncios, avisos e comunicados da Oferta).</w:t>
      </w:r>
    </w:p>
    <w:p w14:paraId="2E5481F9" w14:textId="63ADEB4A" w:rsidR="00CC7807" w:rsidRPr="00E66C26" w:rsidRDefault="002B040B" w:rsidP="0029198E">
      <w:pPr>
        <w:pStyle w:val="Body"/>
        <w:rPr>
          <w:rFonts w:ascii="Calibri" w:hAnsi="Calibri" w:cs="Calibri"/>
          <w:b/>
          <w:sz w:val="24"/>
        </w:rPr>
      </w:pPr>
      <w:r w:rsidRPr="00E66C26">
        <w:rPr>
          <w:rFonts w:ascii="Calibri" w:hAnsi="Calibri" w:cs="Calibri"/>
          <w:b/>
          <w:sz w:val="24"/>
        </w:rPr>
        <w:t>COMISSÃO DE VALORES MOBILIÁRIOS</w:t>
      </w:r>
    </w:p>
    <w:p w14:paraId="069DA5DD" w14:textId="120BF42E" w:rsidR="00AD1FF0" w:rsidRPr="00E66C26" w:rsidRDefault="008C5007" w:rsidP="0029198E">
      <w:pPr>
        <w:pStyle w:val="Body"/>
        <w:rPr>
          <w:rFonts w:ascii="Calibri" w:hAnsi="Calibri" w:cs="Calibri"/>
          <w:bCs/>
          <w:sz w:val="24"/>
        </w:rPr>
      </w:pPr>
      <w:r w:rsidRPr="00E66C26">
        <w:rPr>
          <w:rFonts w:ascii="Calibri" w:hAnsi="Calibri" w:cs="Calibri"/>
          <w:sz w:val="24"/>
        </w:rPr>
        <w:t>www.cvm.gov.br</w:t>
      </w:r>
      <w:r w:rsidRPr="00E66C26">
        <w:rPr>
          <w:rFonts w:ascii="Calibri" w:hAnsi="Calibri" w:cs="Calibri"/>
          <w:bCs/>
          <w:sz w:val="24"/>
        </w:rPr>
        <w:t xml:space="preserve"> (neste website, acessar em “Informações de Regulados” ao lado esquerdo da tela, clicar em “Companhias”, clicar em “Informações Periódicas e Eventuais de Companhias”, clicar em “Informações periódicas e eventuais (ITR, </w:t>
      </w:r>
      <w:proofErr w:type="spellStart"/>
      <w:r w:rsidRPr="00E66C26">
        <w:rPr>
          <w:rFonts w:ascii="Calibri" w:hAnsi="Calibri" w:cs="Calibri"/>
          <w:bCs/>
          <w:sz w:val="24"/>
        </w:rPr>
        <w:t>DFs</w:t>
      </w:r>
      <w:proofErr w:type="spellEnd"/>
      <w:r w:rsidRPr="00E66C26">
        <w:rPr>
          <w:rFonts w:ascii="Calibri" w:hAnsi="Calibri" w:cs="Calibri"/>
          <w:bCs/>
          <w:sz w:val="24"/>
        </w:rPr>
        <w:t>, Fatos Relevantes, Comunicados ao Mercados, entre outros)” buscar por “SÃO MARTINHO S.A.” no campo disponível. Em seguida, acessar “SÃO MARTINHO S.A.”</w:t>
      </w:r>
      <w:r w:rsidRPr="00E66C26">
        <w:rPr>
          <w:rFonts w:ascii="Calibri" w:eastAsia="Tahoma" w:hAnsi="Calibri" w:cs="Calibri"/>
          <w:spacing w:val="6"/>
          <w:sz w:val="24"/>
        </w:rPr>
        <w:t>. Na página seguinte, selecionar o “Período de Entrega” desejado, no campo “Categoria” selecionar “</w:t>
      </w:r>
      <w:r w:rsidRPr="00E66C26">
        <w:rPr>
          <w:rFonts w:ascii="Calibri" w:hAnsi="Calibri" w:cs="Calibri"/>
          <w:bCs/>
          <w:sz w:val="24"/>
        </w:rPr>
        <w:t>Documentos de Oferta de Distribuição Pública</w:t>
      </w:r>
      <w:r w:rsidRPr="00E66C26">
        <w:rPr>
          <w:rFonts w:ascii="Calibri" w:eastAsia="Tahoma" w:hAnsi="Calibri" w:cs="Calibri"/>
          <w:spacing w:val="6"/>
          <w:sz w:val="24"/>
        </w:rPr>
        <w:t xml:space="preserve">” e clicar em “Consultar”. Na sequência, clicar em “Visualizar o Documento” </w:t>
      </w:r>
      <w:r w:rsidRPr="00E66C26">
        <w:rPr>
          <w:rFonts w:ascii="Calibri" w:hAnsi="Calibri" w:cs="Calibri"/>
          <w:bCs/>
          <w:sz w:val="24"/>
        </w:rPr>
        <w:t>do “Aviso ao Mercado</w:t>
      </w:r>
      <w:r w:rsidRPr="00E66C26">
        <w:rPr>
          <w:rFonts w:ascii="Calibri" w:hAnsi="Calibri" w:cs="Calibri"/>
          <w:sz w:val="24"/>
        </w:rPr>
        <w:t xml:space="preserve"> o “Anúncio de Início”, o “Anúncio de Encerramento” e/ou eventuais outros anúncios, avisos e comunicados da Oferta).</w:t>
      </w:r>
    </w:p>
    <w:p w14:paraId="7082C785" w14:textId="1FE884CC" w:rsidR="00CC7807" w:rsidRPr="00E66C26" w:rsidRDefault="002B040B" w:rsidP="0029198E">
      <w:pPr>
        <w:pStyle w:val="Body"/>
        <w:rPr>
          <w:rFonts w:ascii="Calibri" w:hAnsi="Calibri" w:cs="Calibri"/>
          <w:b/>
          <w:sz w:val="24"/>
        </w:rPr>
      </w:pPr>
      <w:r w:rsidRPr="00E66C26">
        <w:rPr>
          <w:rFonts w:ascii="Calibri" w:hAnsi="Calibri" w:cs="Calibri"/>
          <w:b/>
          <w:sz w:val="24"/>
        </w:rPr>
        <w:lastRenderedPageBreak/>
        <w:t xml:space="preserve">B3 S.A. – BRASIL, BOLSA, BALCÃO – </w:t>
      </w:r>
      <w:r w:rsidR="00333250" w:rsidRPr="00E66C26">
        <w:rPr>
          <w:rFonts w:ascii="Calibri" w:hAnsi="Calibri" w:cs="Calibri"/>
          <w:b/>
          <w:sz w:val="24"/>
        </w:rPr>
        <w:t>BALCÃO B3</w:t>
      </w:r>
    </w:p>
    <w:p w14:paraId="3D6B1275" w14:textId="6FA3562F" w:rsidR="00B76CD5" w:rsidRPr="00E66C26" w:rsidRDefault="008C5007" w:rsidP="0029198E">
      <w:pPr>
        <w:pStyle w:val="Body"/>
        <w:rPr>
          <w:rFonts w:ascii="Calibri" w:hAnsi="Calibri" w:cs="Calibri"/>
          <w:sz w:val="24"/>
        </w:rPr>
      </w:pPr>
      <w:r w:rsidRPr="00E66C26">
        <w:rPr>
          <w:rFonts w:ascii="Calibri" w:hAnsi="Calibri" w:cs="Calibri"/>
          <w:sz w:val="24"/>
        </w:rPr>
        <w:t>http://www.b3.com.br/pt_br/produtos-e-servicos/negociacao/renda-variavel/empresas-listadas.htm (neste website, buscar por “</w:t>
      </w:r>
      <w:r w:rsidRPr="00E66C26">
        <w:rPr>
          <w:rFonts w:ascii="Calibri" w:hAnsi="Calibri" w:cs="Calibri"/>
          <w:bCs/>
          <w:sz w:val="24"/>
        </w:rPr>
        <w:t>SÃO MARTINHO S.A.</w:t>
      </w:r>
      <w:r w:rsidRPr="00E66C26">
        <w:rPr>
          <w:rFonts w:ascii="Calibri" w:hAnsi="Calibri" w:cs="Calibri"/>
          <w:sz w:val="24"/>
        </w:rPr>
        <w:t>” no campo disponível, em seguida acessar “</w:t>
      </w:r>
      <w:r w:rsidRPr="00E66C26">
        <w:rPr>
          <w:rFonts w:ascii="Calibri" w:hAnsi="Calibri" w:cs="Calibri"/>
          <w:bCs/>
          <w:sz w:val="24"/>
        </w:rPr>
        <w:t>SÃO MARTINHO S.A.</w:t>
      </w:r>
      <w:r w:rsidRPr="00E66C26">
        <w:rPr>
          <w:rFonts w:ascii="Calibri" w:hAnsi="Calibri" w:cs="Calibri"/>
          <w:sz w:val="24"/>
        </w:rPr>
        <w:t>”, posteriormente, clicar em “Informações Relevantes” e em seguida, selecionar o ano de 2021, clicar em “Documentos de Oferta de Distribuição Pública” e acessar o “Aviso ao Mercado”</w:t>
      </w:r>
      <w:r w:rsidR="00B76CD5" w:rsidRPr="00E66C26">
        <w:rPr>
          <w:rFonts w:ascii="Calibri" w:hAnsi="Calibri" w:cs="Calibri"/>
          <w:sz w:val="24"/>
        </w:rPr>
        <w:t xml:space="preserve">, o </w:t>
      </w:r>
      <w:r w:rsidR="00905E5E" w:rsidRPr="00E66C26">
        <w:rPr>
          <w:rFonts w:ascii="Calibri" w:hAnsi="Calibri" w:cs="Calibri"/>
          <w:sz w:val="24"/>
        </w:rPr>
        <w:t>“</w:t>
      </w:r>
      <w:r w:rsidR="00B76CD5" w:rsidRPr="00E66C26">
        <w:rPr>
          <w:rFonts w:ascii="Calibri" w:hAnsi="Calibri" w:cs="Calibri"/>
          <w:sz w:val="24"/>
        </w:rPr>
        <w:t>Anúncio de Início</w:t>
      </w:r>
      <w:r w:rsidR="00905E5E" w:rsidRPr="00E66C26">
        <w:rPr>
          <w:rFonts w:ascii="Calibri" w:hAnsi="Calibri" w:cs="Calibri"/>
          <w:sz w:val="24"/>
        </w:rPr>
        <w:t>”</w:t>
      </w:r>
      <w:r w:rsidR="00B76CD5" w:rsidRPr="00E66C26">
        <w:rPr>
          <w:rFonts w:ascii="Calibri" w:hAnsi="Calibri" w:cs="Calibri"/>
          <w:sz w:val="24"/>
        </w:rPr>
        <w:t xml:space="preserve">, o </w:t>
      </w:r>
      <w:r w:rsidR="00905E5E" w:rsidRPr="00E66C26">
        <w:rPr>
          <w:rFonts w:ascii="Calibri" w:hAnsi="Calibri" w:cs="Calibri"/>
          <w:sz w:val="24"/>
        </w:rPr>
        <w:t>“</w:t>
      </w:r>
      <w:r w:rsidR="00B76CD5" w:rsidRPr="00E66C26">
        <w:rPr>
          <w:rFonts w:ascii="Calibri" w:hAnsi="Calibri" w:cs="Calibri"/>
          <w:sz w:val="24"/>
        </w:rPr>
        <w:t>Anúncio de Encerramento</w:t>
      </w:r>
      <w:r w:rsidR="00905E5E" w:rsidRPr="00E66C26">
        <w:rPr>
          <w:rFonts w:ascii="Calibri" w:hAnsi="Calibri" w:cs="Calibri"/>
          <w:sz w:val="24"/>
        </w:rPr>
        <w:t>”</w:t>
      </w:r>
      <w:r w:rsidR="00B76CD5" w:rsidRPr="00E66C26">
        <w:rPr>
          <w:rFonts w:ascii="Calibri" w:hAnsi="Calibri" w:cs="Calibri"/>
          <w:sz w:val="24"/>
        </w:rPr>
        <w:t xml:space="preserve"> e/ou eventuais outros anúncios, avisos e comunicados da Oferta).</w:t>
      </w:r>
    </w:p>
    <w:p w14:paraId="464B3E51" w14:textId="77777777" w:rsidR="00CC7807" w:rsidRPr="00643349" w:rsidRDefault="00A67249" w:rsidP="00643349">
      <w:pPr>
        <w:pStyle w:val="Level1"/>
        <w:numPr>
          <w:ilvl w:val="0"/>
          <w:numId w:val="20"/>
        </w:numPr>
        <w:tabs>
          <w:tab w:val="clear" w:pos="680"/>
          <w:tab w:val="num" w:pos="426"/>
        </w:tabs>
        <w:rPr>
          <w:rFonts w:ascii="Calibri" w:hAnsi="Calibri" w:cs="Calibri"/>
          <w:caps/>
          <w:color w:val="203463"/>
          <w:sz w:val="28"/>
          <w:szCs w:val="28"/>
        </w:rPr>
      </w:pPr>
      <w:bookmarkStart w:id="83" w:name="_Ref423287027"/>
      <w:r w:rsidRPr="00643349">
        <w:rPr>
          <w:rFonts w:ascii="Calibri" w:hAnsi="Calibri" w:cs="Calibri"/>
          <w:caps/>
          <w:color w:val="203463"/>
          <w:sz w:val="28"/>
          <w:szCs w:val="28"/>
        </w:rPr>
        <w:t>Informações Adicionais</w:t>
      </w:r>
      <w:bookmarkEnd w:id="83"/>
    </w:p>
    <w:p w14:paraId="4FA27973" w14:textId="4D8C9089" w:rsidR="00452EA9" w:rsidRPr="00E66C26" w:rsidRDefault="00452EA9" w:rsidP="0029198E">
      <w:pPr>
        <w:pStyle w:val="Level2"/>
        <w:rPr>
          <w:rFonts w:ascii="Calibri" w:hAnsi="Calibri" w:cs="Calibri"/>
          <w:sz w:val="24"/>
          <w:szCs w:val="24"/>
        </w:rPr>
      </w:pPr>
      <w:r w:rsidRPr="00E66C26">
        <w:rPr>
          <w:rFonts w:ascii="Calibri" w:hAnsi="Calibri" w:cs="Calibri"/>
          <w:sz w:val="24"/>
          <w:szCs w:val="24"/>
        </w:rPr>
        <w:t>As informações relativas à Emissora, às Debêntures e à Oferta estão detalhadas no Prospecto Preliminar e no Formulário de Referência.</w:t>
      </w:r>
    </w:p>
    <w:p w14:paraId="271A0A52" w14:textId="1F64C2BB" w:rsidR="00245F43" w:rsidRPr="00E66C26" w:rsidRDefault="00245F43" w:rsidP="0029198E">
      <w:pPr>
        <w:pStyle w:val="Body"/>
        <w:rPr>
          <w:rFonts w:ascii="Calibri" w:hAnsi="Calibri" w:cs="Calibri"/>
          <w:sz w:val="24"/>
        </w:rPr>
      </w:pPr>
      <w:r w:rsidRPr="00E66C26">
        <w:rPr>
          <w:rFonts w:ascii="Calibri" w:hAnsi="Calibri" w:cs="Calibri"/>
          <w:sz w:val="24"/>
        </w:rPr>
        <w:t>Mai</w:t>
      </w:r>
      <w:r w:rsidR="002D0F60" w:rsidRPr="00E66C26">
        <w:rPr>
          <w:rFonts w:ascii="Calibri" w:hAnsi="Calibri" w:cs="Calibri"/>
          <w:sz w:val="24"/>
        </w:rPr>
        <w:t>s</w:t>
      </w:r>
      <w:r w:rsidRPr="00E66C26">
        <w:rPr>
          <w:rFonts w:ascii="Calibri" w:hAnsi="Calibri" w:cs="Calibri"/>
          <w:sz w:val="24"/>
        </w:rPr>
        <w:t xml:space="preserve"> informações sobre a </w:t>
      </w:r>
      <w:r w:rsidR="004709F4" w:rsidRPr="00E66C26">
        <w:rPr>
          <w:rFonts w:ascii="Calibri" w:hAnsi="Calibri" w:cs="Calibri"/>
          <w:sz w:val="24"/>
        </w:rPr>
        <w:t xml:space="preserve">Emissão, a </w:t>
      </w:r>
      <w:r w:rsidRPr="00E66C26">
        <w:rPr>
          <w:rFonts w:ascii="Calibri" w:hAnsi="Calibri" w:cs="Calibri"/>
          <w:sz w:val="24"/>
        </w:rPr>
        <w:t xml:space="preserve">Oferta </w:t>
      </w:r>
      <w:r w:rsidR="004709F4" w:rsidRPr="00E66C26">
        <w:rPr>
          <w:rFonts w:ascii="Calibri" w:hAnsi="Calibri" w:cs="Calibri"/>
          <w:sz w:val="24"/>
        </w:rPr>
        <w:t>e as Debêntures</w:t>
      </w:r>
      <w:r w:rsidRPr="00E66C26">
        <w:rPr>
          <w:rFonts w:ascii="Calibri" w:hAnsi="Calibri" w:cs="Calibri"/>
          <w:sz w:val="24"/>
        </w:rPr>
        <w:t xml:space="preserve"> poderão ser obtidas </w:t>
      </w:r>
      <w:r w:rsidR="006E07BC" w:rsidRPr="00E66C26">
        <w:rPr>
          <w:rFonts w:ascii="Calibri" w:hAnsi="Calibri" w:cs="Calibri"/>
          <w:sz w:val="24"/>
        </w:rPr>
        <w:t>junto à Emissora e ao</w:t>
      </w:r>
      <w:r w:rsidR="007E091D" w:rsidRPr="00E66C26">
        <w:rPr>
          <w:rFonts w:ascii="Calibri" w:hAnsi="Calibri" w:cs="Calibri"/>
          <w:sz w:val="24"/>
        </w:rPr>
        <w:t xml:space="preserve"> Coordenador Líder </w:t>
      </w:r>
      <w:r w:rsidRPr="00E66C26">
        <w:rPr>
          <w:rFonts w:ascii="Calibri" w:hAnsi="Calibri" w:cs="Calibri"/>
          <w:sz w:val="24"/>
        </w:rPr>
        <w:t>nos endereços e telefones abaixo mencionados.</w:t>
      </w:r>
    </w:p>
    <w:p w14:paraId="30C89DA5" w14:textId="77777777" w:rsidR="001B4CA7" w:rsidRPr="00E66C26" w:rsidRDefault="00B70BF1" w:rsidP="0029198E">
      <w:pPr>
        <w:pStyle w:val="Body"/>
        <w:rPr>
          <w:rFonts w:ascii="Calibri" w:hAnsi="Calibri" w:cs="Calibri"/>
          <w:sz w:val="24"/>
        </w:rPr>
      </w:pPr>
      <w:r w:rsidRPr="00E66C26">
        <w:rPr>
          <w:rFonts w:ascii="Calibri" w:hAnsi="Calibri" w:cs="Calibri"/>
          <w:sz w:val="24"/>
        </w:rPr>
        <w:t>A subscrição e integralização das Debêntures apresenta</w:t>
      </w:r>
      <w:r w:rsidR="005D5DB7" w:rsidRPr="00E66C26">
        <w:rPr>
          <w:rFonts w:ascii="Calibri" w:hAnsi="Calibri" w:cs="Calibri"/>
          <w:sz w:val="24"/>
        </w:rPr>
        <w:t>m</w:t>
      </w:r>
      <w:r w:rsidRPr="00E66C26">
        <w:rPr>
          <w:rFonts w:ascii="Calibri" w:hAnsi="Calibri" w:cs="Calibri"/>
          <w:sz w:val="24"/>
        </w:rPr>
        <w:t xml:space="preserve"> certos riscos e possibilidades de perdas patrimoniais que devem ser cuidadosamente considerados antes da tomada de decisão de investimento. </w:t>
      </w:r>
      <w:r w:rsidR="00245F43" w:rsidRPr="00E66C26">
        <w:rPr>
          <w:rFonts w:ascii="Calibri" w:hAnsi="Calibri" w:cs="Calibri"/>
          <w:sz w:val="24"/>
        </w:rPr>
        <w:t>O Prospecto Preliminar e o Formulário de Referência</w:t>
      </w:r>
      <w:r w:rsidR="004709F4" w:rsidRPr="00E66C26">
        <w:rPr>
          <w:rFonts w:ascii="Calibri" w:hAnsi="Calibri" w:cs="Calibri"/>
          <w:sz w:val="24"/>
        </w:rPr>
        <w:t>, incorporado por referência ao Prospecto Preliminar,</w:t>
      </w:r>
      <w:r w:rsidR="00245F43" w:rsidRPr="00E66C26">
        <w:rPr>
          <w:rFonts w:ascii="Calibri" w:hAnsi="Calibri" w:cs="Calibri"/>
          <w:sz w:val="24"/>
        </w:rPr>
        <w:t xml:space="preserve"> contêm informações adicionais e complementares a este Aviso ao Mercado, que possibilitam aos investidores uma análise detalhada dos termos e condições da Oferta e dos riscos a ela inerentes. </w:t>
      </w:r>
    </w:p>
    <w:p w14:paraId="2D0AA197" w14:textId="17DC658D" w:rsidR="00245F43" w:rsidRPr="00E66C26" w:rsidRDefault="00895BE2" w:rsidP="0029198E">
      <w:pPr>
        <w:pStyle w:val="Body"/>
        <w:rPr>
          <w:rFonts w:ascii="Calibri" w:hAnsi="Calibri" w:cs="Calibri"/>
          <w:b/>
          <w:sz w:val="24"/>
        </w:rPr>
      </w:pPr>
      <w:r w:rsidRPr="00E66C26">
        <w:rPr>
          <w:rFonts w:ascii="Calibri" w:hAnsi="Calibri" w:cs="Calibri"/>
          <w:b/>
          <w:bCs/>
          <w:sz w:val="24"/>
        </w:rPr>
        <w:t xml:space="preserve">É RECOMENDADA </w:t>
      </w:r>
      <w:r w:rsidRPr="00E66C26">
        <w:rPr>
          <w:rFonts w:ascii="Calibri" w:hAnsi="Calibri" w:cs="Calibri"/>
          <w:b/>
          <w:sz w:val="24"/>
        </w:rPr>
        <w:t>AOS INVESTIDORES A LEITURA DO PROSPECTO PRELIMINAR E DO FORMULÁRIO DE REFERÊNCIA, INCORPORADO POR REFERÊNCIA AO PROSPECTO PRELIMINAR, EM ESPECIAL A SEÇÃO “FATORES DE RISCO RELACIONADOS À OFERTA E ÀS DEBÊNTURES”, CONSTANTE DO PROSPECTO PRELIMINAR, BEM COMO O ITEM “4. FATORES DE RISCO” CONSTANTE DO FORMULÁRIO DE REFERÊNCIA, INCORPORADO POR REFERÊNCIA AO PROSPECTO PRELIMINAR, ANTES DA TOMADA DE QUALQUER DECISÃO DE INVESTIMENTO.</w:t>
      </w:r>
    </w:p>
    <w:p w14:paraId="0BE5E15F" w14:textId="14BC91B7" w:rsidR="00245F43" w:rsidRPr="00E66C26" w:rsidRDefault="00245F43" w:rsidP="0029198E">
      <w:pPr>
        <w:pStyle w:val="Body"/>
        <w:rPr>
          <w:rFonts w:ascii="Calibri" w:hAnsi="Calibri" w:cs="Calibri"/>
          <w:sz w:val="24"/>
        </w:rPr>
      </w:pPr>
      <w:r w:rsidRPr="00E66C26">
        <w:rPr>
          <w:rFonts w:ascii="Calibri" w:hAnsi="Calibri" w:cs="Calibri"/>
          <w:sz w:val="24"/>
        </w:rPr>
        <w:t xml:space="preserve">Os investidores que desejarem obter </w:t>
      </w:r>
      <w:r w:rsidR="00452EA9" w:rsidRPr="00E66C26">
        <w:rPr>
          <w:rFonts w:ascii="Calibri" w:hAnsi="Calibri" w:cs="Calibri"/>
          <w:sz w:val="24"/>
        </w:rPr>
        <w:t xml:space="preserve">o exemplar do Prospecto Preliminar ou </w:t>
      </w:r>
      <w:r w:rsidRPr="00E66C26">
        <w:rPr>
          <w:rFonts w:ascii="Calibri" w:hAnsi="Calibri" w:cs="Calibri"/>
          <w:sz w:val="24"/>
        </w:rPr>
        <w:t xml:space="preserve">informações adicionais sobre a Oferta deverão </w:t>
      </w:r>
      <w:r w:rsidR="00452EA9" w:rsidRPr="00E66C26">
        <w:rPr>
          <w:rFonts w:ascii="Calibri" w:hAnsi="Calibri" w:cs="Calibri"/>
          <w:sz w:val="24"/>
        </w:rPr>
        <w:t xml:space="preserve">se dirigir, a partir da data de divulgação deste Aviso ao Mercado, aos seguintes endereços e página da rede mundial de computadores </w:t>
      </w:r>
      <w:r w:rsidRPr="00E66C26">
        <w:rPr>
          <w:rFonts w:ascii="Calibri" w:hAnsi="Calibri" w:cs="Calibri"/>
          <w:sz w:val="24"/>
        </w:rPr>
        <w:t xml:space="preserve">da </w:t>
      </w:r>
      <w:r w:rsidR="004709F4" w:rsidRPr="00E66C26">
        <w:rPr>
          <w:rFonts w:ascii="Calibri" w:hAnsi="Calibri" w:cs="Calibri"/>
          <w:sz w:val="24"/>
        </w:rPr>
        <w:t>Emissora</w:t>
      </w:r>
      <w:r w:rsidRPr="00E66C26">
        <w:rPr>
          <w:rFonts w:ascii="Calibri" w:hAnsi="Calibri" w:cs="Calibri"/>
          <w:sz w:val="24"/>
        </w:rPr>
        <w:t>, do</w:t>
      </w:r>
      <w:r w:rsidR="007E091D" w:rsidRPr="00E66C26">
        <w:rPr>
          <w:rFonts w:ascii="Calibri" w:hAnsi="Calibri" w:cs="Calibri"/>
          <w:sz w:val="24"/>
        </w:rPr>
        <w:t xml:space="preserve"> Coordenador Líder</w:t>
      </w:r>
      <w:r w:rsidRPr="00E66C26">
        <w:rPr>
          <w:rFonts w:ascii="Calibri" w:hAnsi="Calibri" w:cs="Calibri"/>
          <w:sz w:val="24"/>
        </w:rPr>
        <w:t>, da CVM</w:t>
      </w:r>
      <w:r w:rsidR="002D6E5F" w:rsidRPr="00E66C26">
        <w:rPr>
          <w:rFonts w:ascii="Calibri" w:hAnsi="Calibri" w:cs="Calibri"/>
          <w:sz w:val="24"/>
        </w:rPr>
        <w:t xml:space="preserve"> e </w:t>
      </w:r>
      <w:r w:rsidRPr="00E66C26">
        <w:rPr>
          <w:rFonts w:ascii="Calibri" w:hAnsi="Calibri" w:cs="Calibri"/>
          <w:sz w:val="24"/>
        </w:rPr>
        <w:t xml:space="preserve">da </w:t>
      </w:r>
      <w:r w:rsidR="00504BFC" w:rsidRPr="00E66C26">
        <w:rPr>
          <w:rFonts w:ascii="Calibri" w:hAnsi="Calibri" w:cs="Calibri"/>
          <w:sz w:val="24"/>
        </w:rPr>
        <w:t>B3</w:t>
      </w:r>
      <w:r w:rsidRPr="00E66C26">
        <w:rPr>
          <w:rFonts w:ascii="Calibri" w:hAnsi="Calibri" w:cs="Calibri"/>
          <w:sz w:val="24"/>
        </w:rPr>
        <w:t>:</w:t>
      </w:r>
    </w:p>
    <w:p w14:paraId="0EE02167" w14:textId="77777777" w:rsidR="007566F8" w:rsidRDefault="007566F8">
      <w:pPr>
        <w:rPr>
          <w:rFonts w:ascii="Calibri" w:hAnsi="Calibri" w:cs="Calibri"/>
          <w:b/>
          <w:kern w:val="20"/>
          <w:sz w:val="24"/>
        </w:rPr>
      </w:pPr>
      <w:r>
        <w:rPr>
          <w:rFonts w:ascii="Calibri" w:hAnsi="Calibri" w:cs="Calibri"/>
          <w:b/>
          <w:sz w:val="24"/>
        </w:rPr>
        <w:br w:type="page"/>
      </w:r>
    </w:p>
    <w:p w14:paraId="0D039FE1" w14:textId="1FBF745F" w:rsidR="00E80B84" w:rsidRPr="00E66C26" w:rsidRDefault="001863C8" w:rsidP="0029198E">
      <w:pPr>
        <w:pStyle w:val="Body"/>
        <w:rPr>
          <w:rFonts w:ascii="Calibri" w:hAnsi="Calibri" w:cs="Calibri"/>
          <w:b/>
          <w:sz w:val="24"/>
        </w:rPr>
      </w:pPr>
      <w:r w:rsidRPr="00E66C26">
        <w:rPr>
          <w:rFonts w:ascii="Calibri" w:hAnsi="Calibri" w:cs="Calibri"/>
          <w:b/>
          <w:sz w:val="24"/>
        </w:rPr>
        <w:lastRenderedPageBreak/>
        <w:t>Emissora</w:t>
      </w:r>
    </w:p>
    <w:p w14:paraId="4B51A6D3" w14:textId="682E423B" w:rsidR="00563FC0" w:rsidRPr="00E66C26" w:rsidRDefault="009E2FA7" w:rsidP="002D6E5F">
      <w:pPr>
        <w:pStyle w:val="Body"/>
        <w:widowControl w:val="0"/>
        <w:jc w:val="left"/>
        <w:rPr>
          <w:rFonts w:ascii="Calibri" w:hAnsi="Calibri" w:cs="Calibri"/>
          <w:sz w:val="24"/>
        </w:rPr>
      </w:pPr>
      <w:r w:rsidRPr="00E66C26">
        <w:rPr>
          <w:rFonts w:ascii="Calibri" w:hAnsi="Calibri" w:cs="Calibri"/>
          <w:b/>
          <w:sz w:val="24"/>
        </w:rPr>
        <w:t>SÃO MARTINHO</w:t>
      </w:r>
      <w:r w:rsidR="00563FC0" w:rsidRPr="00E66C26">
        <w:rPr>
          <w:rFonts w:ascii="Calibri" w:hAnsi="Calibri" w:cs="Calibri"/>
          <w:b/>
          <w:sz w:val="24"/>
        </w:rPr>
        <w:t xml:space="preserve"> S.A.</w:t>
      </w:r>
      <w:r w:rsidR="002D6E5F" w:rsidRPr="00E66C26">
        <w:rPr>
          <w:rFonts w:ascii="Calibri" w:hAnsi="Calibri" w:cs="Calibri"/>
          <w:sz w:val="24"/>
        </w:rPr>
        <w:br/>
      </w:r>
      <w:r w:rsidRPr="00E66C26">
        <w:rPr>
          <w:rFonts w:ascii="Calibri" w:hAnsi="Calibri" w:cs="Calibri"/>
          <w:sz w:val="24"/>
        </w:rPr>
        <w:t xml:space="preserve">Rua Geraldo </w:t>
      </w:r>
      <w:proofErr w:type="spellStart"/>
      <w:r w:rsidRPr="00E66C26">
        <w:rPr>
          <w:rFonts w:ascii="Calibri" w:hAnsi="Calibri" w:cs="Calibri"/>
          <w:sz w:val="24"/>
        </w:rPr>
        <w:t>Flausino</w:t>
      </w:r>
      <w:proofErr w:type="spellEnd"/>
      <w:r w:rsidRPr="00E66C26">
        <w:rPr>
          <w:rFonts w:ascii="Calibri" w:hAnsi="Calibri" w:cs="Calibri"/>
          <w:sz w:val="24"/>
        </w:rPr>
        <w:t xml:space="preserve"> Gomes, 61</w:t>
      </w:r>
      <w:r w:rsidR="002D6E5F" w:rsidRPr="00E66C26">
        <w:rPr>
          <w:rFonts w:ascii="Calibri" w:hAnsi="Calibri" w:cs="Calibri"/>
          <w:sz w:val="24"/>
        </w:rPr>
        <w:br/>
      </w:r>
      <w:r w:rsidRPr="00E66C26">
        <w:rPr>
          <w:rFonts w:ascii="Calibri" w:hAnsi="Calibri" w:cs="Calibri"/>
          <w:sz w:val="24"/>
        </w:rPr>
        <w:t>CEP 04575-060 - São Paulo – SP</w:t>
      </w:r>
      <w:r w:rsidR="002D6E5F" w:rsidRPr="00E66C26">
        <w:rPr>
          <w:rFonts w:ascii="Calibri" w:hAnsi="Calibri" w:cs="Calibri"/>
          <w:sz w:val="24"/>
        </w:rPr>
        <w:br/>
      </w:r>
      <w:r w:rsidRPr="00E66C26">
        <w:rPr>
          <w:rFonts w:ascii="Calibri" w:hAnsi="Calibri" w:cs="Calibri"/>
          <w:sz w:val="24"/>
        </w:rPr>
        <w:t xml:space="preserve">At.: Cristiane Mendes </w:t>
      </w:r>
      <w:proofErr w:type="spellStart"/>
      <w:r w:rsidRPr="00E66C26">
        <w:rPr>
          <w:rFonts w:ascii="Calibri" w:hAnsi="Calibri" w:cs="Calibri"/>
          <w:sz w:val="24"/>
        </w:rPr>
        <w:t>Pigatto</w:t>
      </w:r>
      <w:proofErr w:type="spellEnd"/>
      <w:r w:rsidR="002D6E5F" w:rsidRPr="00E66C26">
        <w:rPr>
          <w:rFonts w:ascii="Calibri" w:hAnsi="Calibri" w:cs="Calibri"/>
          <w:sz w:val="24"/>
        </w:rPr>
        <w:br/>
      </w:r>
      <w:r w:rsidRPr="00E66C26">
        <w:rPr>
          <w:rFonts w:ascii="Calibri" w:hAnsi="Calibri" w:cs="Calibri"/>
          <w:sz w:val="24"/>
        </w:rPr>
        <w:t>Telefone: (11) 2105-4100</w:t>
      </w:r>
      <w:r w:rsidR="00FD5DB6" w:rsidRPr="00E66C26">
        <w:rPr>
          <w:rFonts w:ascii="Calibri" w:hAnsi="Calibri" w:cs="Calibri"/>
          <w:sz w:val="24"/>
        </w:rPr>
        <w:br/>
      </w:r>
      <w:r w:rsidRPr="00E66C26">
        <w:rPr>
          <w:rFonts w:ascii="Calibri" w:hAnsi="Calibri" w:cs="Calibri"/>
          <w:sz w:val="24"/>
        </w:rPr>
        <w:t>E-mail: cristiane.pigatto@saomartinho.com.br</w:t>
      </w:r>
      <w:r w:rsidR="002D6E5F" w:rsidRPr="00E66C26">
        <w:rPr>
          <w:rFonts w:ascii="Calibri" w:hAnsi="Calibri" w:cs="Calibri"/>
          <w:sz w:val="24"/>
        </w:rPr>
        <w:br/>
      </w:r>
      <w:r w:rsidR="00563FC0" w:rsidRPr="00E66C26">
        <w:rPr>
          <w:rFonts w:ascii="Calibri" w:hAnsi="Calibri" w:cs="Calibri"/>
          <w:sz w:val="24"/>
        </w:rPr>
        <w:t xml:space="preserve">Website: </w:t>
      </w:r>
      <w:r w:rsidRPr="00E66C26">
        <w:rPr>
          <w:rFonts w:ascii="Calibri" w:hAnsi="Calibri" w:cs="Calibri"/>
          <w:sz w:val="24"/>
        </w:rPr>
        <w:t>https://ri.saomartinho.com.br/</w:t>
      </w:r>
      <w:r w:rsidR="002D6E5F" w:rsidRPr="00E66C26">
        <w:rPr>
          <w:rFonts w:ascii="Calibri" w:hAnsi="Calibri" w:cs="Calibri"/>
          <w:sz w:val="24"/>
        </w:rPr>
        <w:br/>
      </w:r>
      <w:r w:rsidR="002805FD" w:rsidRPr="00E66C26">
        <w:rPr>
          <w:rFonts w:ascii="Calibri" w:hAnsi="Calibri" w:cs="Calibri"/>
          <w:sz w:val="24"/>
        </w:rPr>
        <w:t xml:space="preserve">Link de acesso ao Prospecto Preliminar: </w:t>
      </w:r>
      <w:r w:rsidRPr="00873200">
        <w:rPr>
          <w:rFonts w:ascii="Calibri" w:hAnsi="Calibri" w:cs="Calibri"/>
          <w:color w:val="000000" w:themeColor="text1"/>
          <w:sz w:val="24"/>
        </w:rPr>
        <w:t>https://ri.saomartinho.com.br/</w:t>
      </w:r>
      <w:r w:rsidRPr="00E66C26">
        <w:rPr>
          <w:rFonts w:ascii="Calibri" w:hAnsi="Calibri" w:cs="Calibri"/>
          <w:sz w:val="24"/>
        </w:rPr>
        <w:t xml:space="preserve"> </w:t>
      </w:r>
      <w:r w:rsidR="00D636C3" w:rsidRPr="00E66C26">
        <w:rPr>
          <w:rFonts w:ascii="Calibri" w:hAnsi="Calibri" w:cs="Calibri"/>
          <w:sz w:val="24"/>
        </w:rPr>
        <w:t xml:space="preserve">(neste website, acessar “Informações aos Investidores”, “Documentos Entregues à CVM”, em seguida, clicar “Filtrar por ano”, selecionar </w:t>
      </w:r>
      <w:r w:rsidR="00E41EE3">
        <w:rPr>
          <w:rFonts w:ascii="Calibri" w:hAnsi="Calibri" w:cs="Calibri"/>
          <w:sz w:val="24"/>
        </w:rPr>
        <w:t>“2021”</w:t>
      </w:r>
      <w:r w:rsidR="00D636C3" w:rsidRPr="00E66C26">
        <w:rPr>
          <w:rFonts w:ascii="Calibri" w:hAnsi="Calibri" w:cs="Calibri"/>
          <w:sz w:val="24"/>
        </w:rPr>
        <w:t xml:space="preserve"> e, na página seguinte acessar o “Prospecto Preliminar”).</w:t>
      </w:r>
      <w:r w:rsidR="00D636C3" w:rsidRPr="00E66C26">
        <w:rPr>
          <w:rStyle w:val="Refdenotaderodap"/>
          <w:rFonts w:ascii="Calibri" w:hAnsi="Calibri" w:cs="Calibri"/>
          <w:sz w:val="24"/>
          <w:highlight w:val="yellow"/>
        </w:rPr>
        <w:t xml:space="preserve"> </w:t>
      </w:r>
    </w:p>
    <w:p w14:paraId="56C3F0EB" w14:textId="77777777" w:rsidR="00E80B84" w:rsidRPr="00E66C26" w:rsidRDefault="00E80B84" w:rsidP="0029198E">
      <w:pPr>
        <w:pStyle w:val="Body"/>
        <w:rPr>
          <w:rFonts w:ascii="Calibri" w:hAnsi="Calibri" w:cs="Calibri"/>
          <w:b/>
          <w:sz w:val="24"/>
        </w:rPr>
      </w:pPr>
      <w:r w:rsidRPr="00E66C26">
        <w:rPr>
          <w:rFonts w:ascii="Calibri" w:hAnsi="Calibri" w:cs="Calibri"/>
          <w:b/>
          <w:sz w:val="24"/>
        </w:rPr>
        <w:t>C</w:t>
      </w:r>
      <w:r w:rsidR="00C6394F" w:rsidRPr="00E66C26">
        <w:rPr>
          <w:rFonts w:ascii="Calibri" w:hAnsi="Calibri" w:cs="Calibri"/>
          <w:b/>
          <w:sz w:val="24"/>
        </w:rPr>
        <w:t>oordenador Líder</w:t>
      </w:r>
    </w:p>
    <w:p w14:paraId="49A128F3" w14:textId="5636EE2E" w:rsidR="00A83CEA" w:rsidRPr="00E66C26" w:rsidRDefault="007F2D7B" w:rsidP="001B4CA7">
      <w:pPr>
        <w:pStyle w:val="Body"/>
        <w:jc w:val="left"/>
        <w:rPr>
          <w:rFonts w:ascii="Calibri" w:hAnsi="Calibri" w:cs="Calibri"/>
          <w:sz w:val="24"/>
        </w:rPr>
      </w:pPr>
      <w:r w:rsidRPr="00E66C26">
        <w:rPr>
          <w:rFonts w:ascii="Calibri" w:hAnsi="Calibri" w:cs="Calibri"/>
          <w:b/>
          <w:sz w:val="24"/>
        </w:rPr>
        <w:t>XP INVESTIMENTOS CORRETORA DE CÂMBIO, TÍTULOS E VALORES MOBILIÁRIOS S.A</w:t>
      </w:r>
      <w:r w:rsidR="00AD1FF0" w:rsidRPr="00E66C26">
        <w:rPr>
          <w:rFonts w:ascii="Calibri" w:hAnsi="Calibri" w:cs="Calibri"/>
          <w:b/>
          <w:sz w:val="24"/>
        </w:rPr>
        <w:t>.</w:t>
      </w:r>
      <w:r w:rsidR="002D6E5F" w:rsidRPr="00E66C26">
        <w:rPr>
          <w:rFonts w:ascii="Calibri" w:hAnsi="Calibri" w:cs="Calibri"/>
          <w:sz w:val="24"/>
        </w:rPr>
        <w:br/>
      </w:r>
      <w:r w:rsidR="009E2FA7" w:rsidRPr="00E66C26">
        <w:rPr>
          <w:rFonts w:ascii="Calibri" w:hAnsi="Calibri" w:cs="Calibri"/>
          <w:sz w:val="24"/>
        </w:rPr>
        <w:t>Av. Juscelino Kubitscheck 1909 – Torre Sul 30º andar</w:t>
      </w:r>
      <w:r w:rsidR="001B4CA7" w:rsidRPr="00E66C26">
        <w:rPr>
          <w:rFonts w:ascii="Calibri" w:hAnsi="Calibri" w:cs="Calibri"/>
          <w:sz w:val="24"/>
        </w:rPr>
        <w:br/>
        <w:t xml:space="preserve">CEP 04543-907 – São Paulo, SP </w:t>
      </w:r>
      <w:r w:rsidR="001B4CA7" w:rsidRPr="00E66C26">
        <w:rPr>
          <w:rFonts w:ascii="Calibri" w:hAnsi="Calibri" w:cs="Calibri"/>
          <w:sz w:val="24"/>
        </w:rPr>
        <w:br/>
        <w:t>At.: Departamento Jurídico e DCM</w:t>
      </w:r>
      <w:r w:rsidR="00FD5DB6" w:rsidRPr="00E66C26">
        <w:rPr>
          <w:rFonts w:ascii="Calibri" w:hAnsi="Calibri" w:cs="Calibri"/>
          <w:sz w:val="24"/>
        </w:rPr>
        <w:br/>
        <w:t>Tel.: +55 (11) 4871-4378</w:t>
      </w:r>
      <w:r w:rsidR="001B4CA7" w:rsidRPr="00E66C26">
        <w:rPr>
          <w:rFonts w:ascii="Calibri" w:hAnsi="Calibri" w:cs="Calibri"/>
          <w:sz w:val="24"/>
        </w:rPr>
        <w:br/>
        <w:t>E-mail: juridicomc@xpi.com.br / dcm@xpi.com.br</w:t>
      </w:r>
      <w:r w:rsidR="001B4CA7" w:rsidRPr="00E66C26">
        <w:rPr>
          <w:rFonts w:ascii="Calibri" w:hAnsi="Calibri" w:cs="Calibri"/>
          <w:sz w:val="24"/>
        </w:rPr>
        <w:br/>
        <w:t>Website: www.xpi.com.br</w:t>
      </w:r>
      <w:r w:rsidR="001B4CA7" w:rsidRPr="00E66C26">
        <w:rPr>
          <w:rFonts w:ascii="Calibri" w:hAnsi="Calibri" w:cs="Calibri"/>
          <w:sz w:val="24"/>
        </w:rPr>
        <w:br/>
        <w:t xml:space="preserve">Link de acesso ao Prospecto Preliminar: https://institucional.xpi.com.br/investimentos/oferta-publica.aspx (neste website, acessar </w:t>
      </w:r>
      <w:r w:rsidR="001672BF" w:rsidRPr="00E66C26">
        <w:rPr>
          <w:rFonts w:ascii="Calibri" w:hAnsi="Calibri" w:cs="Calibri"/>
          <w:sz w:val="24"/>
        </w:rPr>
        <w:t>“</w:t>
      </w:r>
      <w:r w:rsidR="008D2070" w:rsidRPr="00E66C26">
        <w:rPr>
          <w:rFonts w:ascii="Calibri" w:hAnsi="Calibri" w:cs="Calibri"/>
          <w:sz w:val="24"/>
        </w:rPr>
        <w:t xml:space="preserve">Debêntures São Martinho S.A. – 4ª Emissão de Debêntures da São Martinho S.A.”, </w:t>
      </w:r>
      <w:r w:rsidR="001672BF" w:rsidRPr="00E66C26">
        <w:rPr>
          <w:rFonts w:ascii="Calibri" w:hAnsi="Calibri" w:cs="Calibri"/>
          <w:sz w:val="24"/>
        </w:rPr>
        <w:t>e, em seguida, realizar o download do Prospecto Preliminar</w:t>
      </w:r>
      <w:r w:rsidR="001B4CA7" w:rsidRPr="00E66C26">
        <w:rPr>
          <w:rFonts w:ascii="Calibri" w:hAnsi="Calibri" w:cs="Calibri"/>
          <w:sz w:val="24"/>
        </w:rPr>
        <w:t>)</w:t>
      </w:r>
      <w:r w:rsidR="001672BF" w:rsidRPr="00E66C26">
        <w:rPr>
          <w:rFonts w:ascii="Calibri" w:hAnsi="Calibri" w:cs="Calibri"/>
          <w:sz w:val="24"/>
        </w:rPr>
        <w:t>.</w:t>
      </w:r>
    </w:p>
    <w:p w14:paraId="120C82CE" w14:textId="0F9B4AAA" w:rsidR="00EA50BD" w:rsidRPr="00E66C26" w:rsidRDefault="00ED6099" w:rsidP="00EA50BD">
      <w:pPr>
        <w:pStyle w:val="Body"/>
        <w:jc w:val="left"/>
        <w:rPr>
          <w:rFonts w:ascii="Calibri" w:hAnsi="Calibri" w:cs="Calibri"/>
          <w:sz w:val="24"/>
        </w:rPr>
      </w:pPr>
      <w:r w:rsidRPr="00E66C26">
        <w:rPr>
          <w:rFonts w:ascii="Calibri" w:hAnsi="Calibri" w:cs="Calibri"/>
          <w:b/>
          <w:sz w:val="24"/>
        </w:rPr>
        <w:t>CVM</w:t>
      </w:r>
    </w:p>
    <w:p w14:paraId="1B943DE1" w14:textId="145C360D" w:rsidR="00EA50BD" w:rsidRPr="00E66C26" w:rsidRDefault="00EA50BD" w:rsidP="00EA50BD">
      <w:pPr>
        <w:pStyle w:val="Body"/>
        <w:jc w:val="left"/>
        <w:rPr>
          <w:rFonts w:ascii="Calibri" w:hAnsi="Calibri" w:cs="Calibri"/>
          <w:b/>
          <w:bCs/>
          <w:sz w:val="24"/>
        </w:rPr>
      </w:pPr>
      <w:r w:rsidRPr="00E66C26">
        <w:rPr>
          <w:rFonts w:ascii="Calibri" w:hAnsi="Calibri" w:cs="Calibri"/>
          <w:b/>
          <w:sz w:val="24"/>
        </w:rPr>
        <w:t>COMISSÃO DE VALORES MOBILIÁRIOS – CVM</w:t>
      </w:r>
      <w:r w:rsidRPr="00E66C26">
        <w:rPr>
          <w:rFonts w:ascii="Calibri" w:hAnsi="Calibri" w:cs="Calibri"/>
          <w:b/>
          <w:sz w:val="24"/>
        </w:rPr>
        <w:br/>
      </w:r>
      <w:r w:rsidR="00ED6099" w:rsidRPr="00E66C26">
        <w:rPr>
          <w:rFonts w:ascii="Calibri" w:hAnsi="Calibri" w:cs="Calibri"/>
          <w:sz w:val="24"/>
        </w:rPr>
        <w:t xml:space="preserve">Rua Sete de Setembro, nº 111, 5º andar </w:t>
      </w:r>
      <w:r w:rsidRPr="00E66C26">
        <w:rPr>
          <w:rFonts w:ascii="Calibri" w:hAnsi="Calibri" w:cs="Calibri"/>
          <w:sz w:val="24"/>
        </w:rPr>
        <w:br/>
      </w:r>
      <w:r w:rsidR="001E2AC8" w:rsidRPr="00E66C26">
        <w:rPr>
          <w:rFonts w:ascii="Calibri" w:hAnsi="Calibri" w:cs="Calibri"/>
          <w:bCs/>
          <w:sz w:val="24"/>
          <w:lang w:eastAsia="pt-BR"/>
        </w:rPr>
        <w:t xml:space="preserve">CEP </w:t>
      </w:r>
      <w:r w:rsidR="001E2AC8" w:rsidRPr="00E66C26">
        <w:rPr>
          <w:rFonts w:ascii="Calibri" w:hAnsi="Calibri" w:cs="Calibri"/>
          <w:sz w:val="24"/>
          <w:lang w:eastAsia="pt-BR"/>
        </w:rPr>
        <w:t>20159-900</w:t>
      </w:r>
      <w:r w:rsidR="001B4CA7" w:rsidRPr="00E66C26">
        <w:rPr>
          <w:rFonts w:ascii="Calibri" w:hAnsi="Calibri" w:cs="Calibri"/>
          <w:sz w:val="24"/>
          <w:lang w:eastAsia="pt-BR"/>
        </w:rPr>
        <w:t xml:space="preserve"> – </w:t>
      </w:r>
      <w:r w:rsidR="00ED6099" w:rsidRPr="00E66C26">
        <w:rPr>
          <w:rFonts w:ascii="Calibri" w:hAnsi="Calibri" w:cs="Calibri"/>
          <w:sz w:val="24"/>
        </w:rPr>
        <w:t xml:space="preserve">Rio de Janeiro, </w:t>
      </w:r>
      <w:r w:rsidR="009E3D20" w:rsidRPr="00E66C26">
        <w:rPr>
          <w:rFonts w:ascii="Calibri" w:hAnsi="Calibri" w:cs="Calibri"/>
          <w:sz w:val="24"/>
        </w:rPr>
        <w:t>RJ</w:t>
      </w:r>
      <w:r w:rsidRPr="00E66C26">
        <w:rPr>
          <w:rFonts w:ascii="Calibri" w:hAnsi="Calibri" w:cs="Calibri"/>
          <w:sz w:val="24"/>
        </w:rPr>
        <w:br/>
      </w:r>
      <w:r w:rsidR="00ED6099" w:rsidRPr="00E66C26">
        <w:rPr>
          <w:rFonts w:ascii="Calibri" w:hAnsi="Calibri" w:cs="Calibri"/>
          <w:sz w:val="24"/>
        </w:rPr>
        <w:t>e</w:t>
      </w:r>
      <w:r w:rsidRPr="00E66C26">
        <w:rPr>
          <w:rFonts w:ascii="Calibri" w:hAnsi="Calibri" w:cs="Calibri"/>
          <w:sz w:val="24"/>
        </w:rPr>
        <w:br/>
      </w:r>
      <w:r w:rsidR="00ED6099" w:rsidRPr="00E66C26">
        <w:rPr>
          <w:rFonts w:ascii="Calibri" w:hAnsi="Calibri" w:cs="Calibri"/>
          <w:sz w:val="24"/>
        </w:rPr>
        <w:t xml:space="preserve">Rua Cincinato Braga, nº 340, 2º, 3º e 4º andares </w:t>
      </w:r>
      <w:r w:rsidRPr="00E66C26">
        <w:rPr>
          <w:rFonts w:ascii="Calibri" w:hAnsi="Calibri" w:cs="Calibri"/>
          <w:sz w:val="24"/>
        </w:rPr>
        <w:br/>
      </w:r>
      <w:r w:rsidR="001E2AC8" w:rsidRPr="00E66C26">
        <w:rPr>
          <w:rFonts w:ascii="Calibri" w:hAnsi="Calibri" w:cs="Calibri"/>
          <w:sz w:val="24"/>
          <w:lang w:eastAsia="pt-BR"/>
        </w:rPr>
        <w:t>CEP 01333-010</w:t>
      </w:r>
      <w:r w:rsidR="001B4CA7" w:rsidRPr="00E66C26">
        <w:rPr>
          <w:rFonts w:ascii="Calibri" w:hAnsi="Calibri" w:cs="Calibri"/>
          <w:sz w:val="24"/>
          <w:lang w:eastAsia="pt-BR"/>
        </w:rPr>
        <w:t xml:space="preserve"> – </w:t>
      </w:r>
      <w:r w:rsidR="00ED6099" w:rsidRPr="00E66C26">
        <w:rPr>
          <w:rFonts w:ascii="Calibri" w:hAnsi="Calibri" w:cs="Calibri"/>
          <w:sz w:val="24"/>
        </w:rPr>
        <w:t xml:space="preserve">São Paulo, </w:t>
      </w:r>
      <w:r w:rsidR="009E3D20" w:rsidRPr="00E66C26">
        <w:rPr>
          <w:rFonts w:ascii="Calibri" w:hAnsi="Calibri" w:cs="Calibri"/>
          <w:sz w:val="24"/>
        </w:rPr>
        <w:t>SP</w:t>
      </w:r>
      <w:r w:rsidR="00ED6099" w:rsidRPr="00E66C26">
        <w:rPr>
          <w:rFonts w:ascii="Calibri" w:hAnsi="Calibri" w:cs="Calibri"/>
          <w:sz w:val="24"/>
        </w:rPr>
        <w:t xml:space="preserve"> </w:t>
      </w:r>
      <w:r w:rsidRPr="00E66C26">
        <w:rPr>
          <w:rFonts w:ascii="Calibri" w:hAnsi="Calibri" w:cs="Calibri"/>
          <w:sz w:val="24"/>
        </w:rPr>
        <w:br/>
        <w:t xml:space="preserve">Link de acesso ao Prospecto Preliminar: </w:t>
      </w:r>
      <w:r w:rsidR="00D208CF" w:rsidRPr="00E66C26">
        <w:rPr>
          <w:rFonts w:ascii="Calibri" w:hAnsi="Calibri" w:cs="Calibri"/>
          <w:sz w:val="24"/>
        </w:rPr>
        <w:t>www.cvm.gov.br</w:t>
      </w:r>
      <w:r w:rsidR="00D208CF" w:rsidRPr="00E66C26">
        <w:rPr>
          <w:rFonts w:ascii="Calibri" w:hAnsi="Calibri" w:cs="Calibri"/>
          <w:bCs/>
          <w:sz w:val="24"/>
        </w:rPr>
        <w:t xml:space="preserve"> </w:t>
      </w:r>
      <w:r w:rsidRPr="00E66C26">
        <w:rPr>
          <w:rFonts w:ascii="Calibri" w:hAnsi="Calibri" w:cs="Calibri"/>
          <w:bCs/>
          <w:sz w:val="24"/>
        </w:rPr>
        <w:t>(</w:t>
      </w:r>
      <w:r w:rsidR="00D208CF" w:rsidRPr="00E66C26">
        <w:rPr>
          <w:rFonts w:ascii="Calibri" w:hAnsi="Calibri" w:cs="Calibri"/>
          <w:bCs/>
          <w:sz w:val="24"/>
        </w:rPr>
        <w:t xml:space="preserve">neste website, acessar </w:t>
      </w:r>
      <w:r w:rsidR="008D2070" w:rsidRPr="00E66C26">
        <w:rPr>
          <w:rFonts w:ascii="Calibri" w:hAnsi="Calibri" w:cs="Calibri"/>
          <w:bCs/>
          <w:sz w:val="24"/>
        </w:rPr>
        <w:t xml:space="preserve">em “Informações de Regulados” ao lado esquerdo da tela, clicar em “Companhias”, clicar em </w:t>
      </w:r>
      <w:r w:rsidR="008D2070" w:rsidRPr="00E66C26">
        <w:rPr>
          <w:rFonts w:ascii="Calibri" w:hAnsi="Calibri" w:cs="Calibri"/>
          <w:bCs/>
          <w:sz w:val="24"/>
        </w:rPr>
        <w:lastRenderedPageBreak/>
        <w:t xml:space="preserve">“Informações Periódicas e Eventuais de Companhias”, clicar em “Informações periódicas e eventuais (ITR, </w:t>
      </w:r>
      <w:proofErr w:type="spellStart"/>
      <w:r w:rsidR="008D2070" w:rsidRPr="00E66C26">
        <w:rPr>
          <w:rFonts w:ascii="Calibri" w:hAnsi="Calibri" w:cs="Calibri"/>
          <w:bCs/>
          <w:sz w:val="24"/>
        </w:rPr>
        <w:t>DFs</w:t>
      </w:r>
      <w:proofErr w:type="spellEnd"/>
      <w:r w:rsidR="008D2070" w:rsidRPr="00E66C26">
        <w:rPr>
          <w:rFonts w:ascii="Calibri" w:hAnsi="Calibri" w:cs="Calibri"/>
          <w:bCs/>
          <w:sz w:val="24"/>
        </w:rPr>
        <w:t>, Fatos Relevantes, Comunicados ao Mercados, entre outros)” buscar por “SÃO MARTINHO S.A.” no campo disponível. Em seguida, acessar “SÃO MARTINHO S.A.”. Na página seguinte, selecionar o “Período de Entrega” desejado, no campo “Categoria” selecionar “Documentos de Oferta de Distribuição Pública” e clicar em “Consultar”. Na sequência, clicar em “Visualizar o Documento” do “Prospecto Preliminar” da Oferta</w:t>
      </w:r>
      <w:r w:rsidRPr="00E66C26">
        <w:rPr>
          <w:rFonts w:ascii="Calibri" w:hAnsi="Calibri" w:cs="Calibri"/>
          <w:sz w:val="24"/>
        </w:rPr>
        <w:t>.</w:t>
      </w:r>
    </w:p>
    <w:p w14:paraId="306830D9" w14:textId="77777777" w:rsidR="00EA50BD" w:rsidRPr="00E66C26" w:rsidRDefault="00504BFC" w:rsidP="0029198E">
      <w:pPr>
        <w:pStyle w:val="Body"/>
        <w:rPr>
          <w:rFonts w:ascii="Calibri" w:hAnsi="Calibri" w:cs="Calibri"/>
          <w:b/>
          <w:bCs/>
          <w:sz w:val="24"/>
        </w:rPr>
      </w:pPr>
      <w:r w:rsidRPr="00E66C26">
        <w:rPr>
          <w:rFonts w:ascii="Calibri" w:hAnsi="Calibri" w:cs="Calibri"/>
          <w:b/>
          <w:bCs/>
          <w:sz w:val="24"/>
        </w:rPr>
        <w:t>B3</w:t>
      </w:r>
      <w:r w:rsidR="00402F41" w:rsidRPr="00E66C26">
        <w:rPr>
          <w:rFonts w:ascii="Calibri" w:hAnsi="Calibri" w:cs="Calibri"/>
          <w:b/>
          <w:bCs/>
          <w:sz w:val="24"/>
        </w:rPr>
        <w:t xml:space="preserve"> </w:t>
      </w:r>
    </w:p>
    <w:p w14:paraId="71F083E1" w14:textId="363B3743" w:rsidR="00EA50BD" w:rsidRPr="00E66C26" w:rsidRDefault="00EA50BD" w:rsidP="0029198E">
      <w:pPr>
        <w:pStyle w:val="Body"/>
        <w:rPr>
          <w:rFonts w:ascii="Calibri" w:hAnsi="Calibri" w:cs="Calibri"/>
          <w:b/>
          <w:bCs/>
          <w:sz w:val="24"/>
        </w:rPr>
      </w:pPr>
      <w:r w:rsidRPr="00E66C26">
        <w:rPr>
          <w:rFonts w:ascii="Calibri" w:hAnsi="Calibri" w:cs="Calibri"/>
          <w:b/>
          <w:bCs/>
          <w:sz w:val="24"/>
        </w:rPr>
        <w:t xml:space="preserve">B3 S.A. – BRASIL, BOLSA, BALCÃO – </w:t>
      </w:r>
      <w:r w:rsidR="00333250" w:rsidRPr="00E66C26">
        <w:rPr>
          <w:rFonts w:ascii="Calibri" w:hAnsi="Calibri" w:cs="Calibri"/>
          <w:b/>
          <w:bCs/>
          <w:sz w:val="24"/>
        </w:rPr>
        <w:t>BALCÃO B3</w:t>
      </w:r>
    </w:p>
    <w:p w14:paraId="63F4A2D4" w14:textId="3092544F" w:rsidR="001D6862" w:rsidRPr="00E66C26" w:rsidRDefault="00EA50BD" w:rsidP="00EA50BD">
      <w:pPr>
        <w:pStyle w:val="Body"/>
        <w:jc w:val="left"/>
        <w:rPr>
          <w:rFonts w:ascii="Calibri" w:hAnsi="Calibri" w:cs="Calibri"/>
          <w:sz w:val="24"/>
        </w:rPr>
      </w:pPr>
      <w:r w:rsidRPr="00E66C26">
        <w:rPr>
          <w:rFonts w:ascii="Calibri" w:eastAsia="Calibri" w:hAnsi="Calibri" w:cs="Calibri"/>
          <w:sz w:val="24"/>
          <w:lang w:eastAsia="en-US"/>
        </w:rPr>
        <w:t>Praça Antonio Prado, nº 48, 7º andar – Centro</w:t>
      </w:r>
      <w:r w:rsidRPr="00E66C26">
        <w:rPr>
          <w:rFonts w:ascii="Calibri" w:eastAsia="Calibri" w:hAnsi="Calibri" w:cs="Calibri"/>
          <w:sz w:val="24"/>
          <w:lang w:eastAsia="en-US"/>
        </w:rPr>
        <w:br/>
        <w:t>CEP 01010-901</w:t>
      </w:r>
      <w:r w:rsidR="001B4CA7" w:rsidRPr="00E66C26">
        <w:rPr>
          <w:rFonts w:ascii="Calibri" w:eastAsia="Calibri" w:hAnsi="Calibri" w:cs="Calibri"/>
          <w:sz w:val="24"/>
          <w:lang w:eastAsia="en-US"/>
        </w:rPr>
        <w:t xml:space="preserve"> –</w:t>
      </w:r>
      <w:r w:rsidRPr="00E66C26">
        <w:rPr>
          <w:rFonts w:ascii="Calibri" w:eastAsia="Calibri" w:hAnsi="Calibri" w:cs="Calibri"/>
          <w:sz w:val="24"/>
          <w:lang w:eastAsia="en-US"/>
        </w:rPr>
        <w:t xml:space="preserve"> São Paulo, SP</w:t>
      </w:r>
      <w:r w:rsidRPr="00E66C26">
        <w:rPr>
          <w:rFonts w:ascii="Calibri" w:eastAsia="Calibri" w:hAnsi="Calibri" w:cs="Calibri"/>
          <w:sz w:val="24"/>
          <w:lang w:eastAsia="en-US"/>
        </w:rPr>
        <w:br/>
      </w:r>
      <w:r w:rsidRPr="00E66C26">
        <w:rPr>
          <w:rFonts w:ascii="Calibri" w:hAnsi="Calibri" w:cs="Calibri"/>
          <w:sz w:val="24"/>
        </w:rPr>
        <w:t xml:space="preserve">Link de acesso ao Prospecto Preliminar: </w:t>
      </w:r>
      <w:r w:rsidR="00D208CF" w:rsidRPr="00E66C26">
        <w:rPr>
          <w:rFonts w:ascii="Calibri" w:hAnsi="Calibri" w:cs="Calibri"/>
          <w:sz w:val="24"/>
        </w:rPr>
        <w:t xml:space="preserve">http://www.b3.com.br/pt_br/produtos-e-servicos/negociacao/renda-variavel/empresas-listadas.htm </w:t>
      </w:r>
      <w:r w:rsidRPr="00E66C26">
        <w:rPr>
          <w:rFonts w:ascii="Calibri" w:hAnsi="Calibri" w:cs="Calibri"/>
          <w:sz w:val="24"/>
        </w:rPr>
        <w:t>(</w:t>
      </w:r>
      <w:r w:rsidR="00D208CF" w:rsidRPr="00E66C26">
        <w:rPr>
          <w:rFonts w:ascii="Calibri" w:hAnsi="Calibri" w:cs="Calibri"/>
          <w:sz w:val="24"/>
        </w:rPr>
        <w:t>neste website, buscar por “</w:t>
      </w:r>
      <w:r w:rsidR="009E2FA7" w:rsidRPr="00E66C26">
        <w:rPr>
          <w:rFonts w:ascii="Calibri" w:hAnsi="Calibri" w:cs="Calibri"/>
          <w:bCs/>
          <w:sz w:val="24"/>
        </w:rPr>
        <w:t>SÃO MARTINHO</w:t>
      </w:r>
      <w:r w:rsidR="00D208CF" w:rsidRPr="00E66C26">
        <w:rPr>
          <w:rFonts w:ascii="Calibri" w:hAnsi="Calibri" w:cs="Calibri"/>
          <w:bCs/>
          <w:sz w:val="24"/>
        </w:rPr>
        <w:t xml:space="preserve"> S.A.</w:t>
      </w:r>
      <w:r w:rsidR="00D208CF" w:rsidRPr="00E66C26">
        <w:rPr>
          <w:rFonts w:ascii="Calibri" w:hAnsi="Calibri" w:cs="Calibri"/>
          <w:sz w:val="24"/>
        </w:rPr>
        <w:t>” no campo disponível, em seguida acessar “</w:t>
      </w:r>
      <w:r w:rsidR="009E2FA7" w:rsidRPr="00E66C26">
        <w:rPr>
          <w:rFonts w:ascii="Calibri" w:hAnsi="Calibri" w:cs="Calibri"/>
          <w:bCs/>
          <w:sz w:val="24"/>
        </w:rPr>
        <w:t>SÃO MARTINHO</w:t>
      </w:r>
      <w:r w:rsidR="00D208CF" w:rsidRPr="00E66C26">
        <w:rPr>
          <w:rFonts w:ascii="Calibri" w:hAnsi="Calibri" w:cs="Calibri"/>
          <w:bCs/>
          <w:sz w:val="24"/>
        </w:rPr>
        <w:t xml:space="preserve"> S.A.</w:t>
      </w:r>
      <w:r w:rsidR="00D208CF" w:rsidRPr="00E66C26">
        <w:rPr>
          <w:rFonts w:ascii="Calibri" w:hAnsi="Calibri" w:cs="Calibri"/>
          <w:sz w:val="24"/>
        </w:rPr>
        <w:t>”, posteriormente, clicar em “Informações Relevantes” e em seguida</w:t>
      </w:r>
      <w:r w:rsidR="008A76FC" w:rsidRPr="00E66C26">
        <w:rPr>
          <w:rFonts w:ascii="Calibri" w:hAnsi="Calibri" w:cs="Calibri"/>
          <w:sz w:val="24"/>
        </w:rPr>
        <w:t>, selecionar o ano de 20</w:t>
      </w:r>
      <w:r w:rsidR="009E2FA7" w:rsidRPr="00E66C26">
        <w:rPr>
          <w:rFonts w:ascii="Calibri" w:hAnsi="Calibri" w:cs="Calibri"/>
          <w:sz w:val="24"/>
        </w:rPr>
        <w:t>21</w:t>
      </w:r>
      <w:r w:rsidR="008A76FC" w:rsidRPr="00E66C26">
        <w:rPr>
          <w:rFonts w:ascii="Calibri" w:hAnsi="Calibri" w:cs="Calibri"/>
          <w:sz w:val="24"/>
        </w:rPr>
        <w:t>, clicar</w:t>
      </w:r>
      <w:r w:rsidR="00D208CF" w:rsidRPr="00E66C26">
        <w:rPr>
          <w:rFonts w:ascii="Calibri" w:hAnsi="Calibri" w:cs="Calibri"/>
          <w:sz w:val="24"/>
        </w:rPr>
        <w:t xml:space="preserve"> em “Documentos de Oferta de Distribuição Pública” e acessar o Prospecto Preliminar com a data mais recente</w:t>
      </w:r>
      <w:r w:rsidR="00CF58F0" w:rsidRPr="00E66C26">
        <w:rPr>
          <w:rFonts w:ascii="Calibri" w:hAnsi="Calibri" w:cs="Calibri"/>
          <w:sz w:val="24"/>
        </w:rPr>
        <w:t>)</w:t>
      </w:r>
      <w:r w:rsidR="001D6862" w:rsidRPr="00E66C26">
        <w:rPr>
          <w:rFonts w:ascii="Calibri" w:hAnsi="Calibri" w:cs="Calibri"/>
          <w:sz w:val="24"/>
        </w:rPr>
        <w:t>.</w:t>
      </w:r>
    </w:p>
    <w:p w14:paraId="3B1780A6" w14:textId="7BED0C48" w:rsidR="002D0F60" w:rsidRPr="00E66C26" w:rsidRDefault="002D0F60" w:rsidP="0029198E">
      <w:pPr>
        <w:pStyle w:val="Body"/>
        <w:rPr>
          <w:rFonts w:ascii="Calibri" w:hAnsi="Calibri" w:cs="Calibri"/>
          <w:b/>
          <w:sz w:val="24"/>
        </w:rPr>
      </w:pPr>
      <w:r w:rsidRPr="00E66C26">
        <w:rPr>
          <w:rFonts w:ascii="Calibri" w:hAnsi="Calibri" w:cs="Calibri"/>
          <w:b/>
          <w:sz w:val="24"/>
        </w:rPr>
        <w:t>Tendo em vista a possibilidade de veiculação de matérias na mídia sobre a Emissora e a Oferta, a Emissora e o</w:t>
      </w:r>
      <w:r w:rsidR="007E091D" w:rsidRPr="00E66C26">
        <w:rPr>
          <w:rFonts w:ascii="Calibri" w:hAnsi="Calibri" w:cs="Calibri"/>
          <w:b/>
          <w:sz w:val="24"/>
        </w:rPr>
        <w:t xml:space="preserve"> Coordenador Líder </w:t>
      </w:r>
      <w:r w:rsidRPr="00E66C26">
        <w:rPr>
          <w:rFonts w:ascii="Calibri" w:hAnsi="Calibri" w:cs="Calibri"/>
          <w:b/>
          <w:sz w:val="24"/>
        </w:rPr>
        <w:t xml:space="preserve">alertam os </w:t>
      </w:r>
      <w:r w:rsidR="002B6482" w:rsidRPr="00E66C26">
        <w:rPr>
          <w:rFonts w:ascii="Calibri" w:hAnsi="Calibri" w:cs="Calibri"/>
          <w:b/>
          <w:sz w:val="24"/>
        </w:rPr>
        <w:t>I</w:t>
      </w:r>
      <w:r w:rsidRPr="00E66C26">
        <w:rPr>
          <w:rFonts w:ascii="Calibri" w:hAnsi="Calibri" w:cs="Calibri"/>
          <w:b/>
          <w:sz w:val="24"/>
        </w:rPr>
        <w:t xml:space="preserve">nvestidores </w:t>
      </w:r>
      <w:r w:rsidR="002B6482" w:rsidRPr="00E66C26">
        <w:rPr>
          <w:rFonts w:ascii="Calibri" w:hAnsi="Calibri" w:cs="Calibri"/>
          <w:b/>
          <w:sz w:val="24"/>
        </w:rPr>
        <w:t xml:space="preserve">da Oferta </w:t>
      </w:r>
      <w:r w:rsidRPr="00E66C26">
        <w:rPr>
          <w:rFonts w:ascii="Calibri" w:hAnsi="Calibri" w:cs="Calibri"/>
          <w:b/>
          <w:sz w:val="24"/>
        </w:rPr>
        <w:t>que estes deverão basear suas decisões de investimento única e exclusivamente nas informações constantes do</w:t>
      </w:r>
      <w:r w:rsidR="002B6482" w:rsidRPr="00E66C26">
        <w:rPr>
          <w:rFonts w:ascii="Calibri" w:hAnsi="Calibri" w:cs="Calibri"/>
          <w:b/>
          <w:sz w:val="24"/>
        </w:rPr>
        <w:t>s</w:t>
      </w:r>
      <w:r w:rsidRPr="00E66C26">
        <w:rPr>
          <w:rFonts w:ascii="Calibri" w:hAnsi="Calibri" w:cs="Calibri"/>
          <w:b/>
          <w:sz w:val="24"/>
        </w:rPr>
        <w:t xml:space="preserve"> Prospecto</w:t>
      </w:r>
      <w:r w:rsidR="002B6482" w:rsidRPr="00E66C26">
        <w:rPr>
          <w:rFonts w:ascii="Calibri" w:hAnsi="Calibri" w:cs="Calibri"/>
          <w:b/>
          <w:sz w:val="24"/>
        </w:rPr>
        <w:t>s</w:t>
      </w:r>
      <w:r w:rsidRPr="00E66C26">
        <w:rPr>
          <w:rFonts w:ascii="Calibri" w:hAnsi="Calibri" w:cs="Calibri"/>
          <w:b/>
          <w:sz w:val="24"/>
        </w:rPr>
        <w:t xml:space="preserve"> e do Formulário de Referência</w:t>
      </w:r>
      <w:r w:rsidR="002B6482" w:rsidRPr="00E66C26">
        <w:rPr>
          <w:rFonts w:ascii="Calibri" w:hAnsi="Calibri" w:cs="Calibri"/>
          <w:b/>
          <w:sz w:val="24"/>
        </w:rPr>
        <w:t>, incorporado por referência aos Prospectos</w:t>
      </w:r>
      <w:r w:rsidRPr="00E66C26">
        <w:rPr>
          <w:rFonts w:ascii="Calibri" w:hAnsi="Calibri" w:cs="Calibri"/>
          <w:b/>
          <w:sz w:val="24"/>
        </w:rPr>
        <w:t>.</w:t>
      </w:r>
    </w:p>
    <w:p w14:paraId="0FAF2DC9" w14:textId="19753642" w:rsidR="004C64A2" w:rsidRPr="00E66C26" w:rsidRDefault="004C64A2" w:rsidP="0029198E">
      <w:pPr>
        <w:pStyle w:val="Body"/>
        <w:rPr>
          <w:rFonts w:ascii="Calibri" w:hAnsi="Calibri" w:cs="Calibri"/>
          <w:b/>
          <w:sz w:val="24"/>
        </w:rPr>
      </w:pPr>
      <w:r w:rsidRPr="00E66C26">
        <w:rPr>
          <w:rFonts w:ascii="Calibri" w:hAnsi="Calibri" w:cs="Calibri"/>
          <w:b/>
          <w:sz w:val="24"/>
        </w:rPr>
        <w:t>LEIA O PROSPECTO PRELIMINAR E O FORMULÁRIO DE REFERÊNCIA</w:t>
      </w:r>
      <w:r w:rsidR="00E7584A" w:rsidRPr="00E66C26">
        <w:rPr>
          <w:rFonts w:ascii="Calibri" w:hAnsi="Calibri" w:cs="Calibri"/>
          <w:b/>
          <w:sz w:val="24"/>
        </w:rPr>
        <w:t>, INCORPORADO POR REFERÊNCIA AO PROSPECTO PRELIMINAR,</w:t>
      </w:r>
      <w:r w:rsidRPr="00E66C26">
        <w:rPr>
          <w:rFonts w:ascii="Calibri" w:hAnsi="Calibri" w:cs="Calibri"/>
          <w:b/>
          <w:sz w:val="24"/>
        </w:rPr>
        <w:t xml:space="preserve"> ANTES DE ACEITAR A OFERTA, EM ESPECIAL A SEÇ</w:t>
      </w:r>
      <w:r w:rsidR="00E7584A" w:rsidRPr="00E66C26">
        <w:rPr>
          <w:rFonts w:ascii="Calibri" w:hAnsi="Calibri" w:cs="Calibri"/>
          <w:b/>
          <w:sz w:val="24"/>
        </w:rPr>
        <w:t xml:space="preserve">ÃO </w:t>
      </w:r>
      <w:r w:rsidR="00E05330" w:rsidRPr="00E66C26">
        <w:rPr>
          <w:rFonts w:ascii="Calibri" w:hAnsi="Calibri" w:cs="Calibri"/>
          <w:b/>
          <w:bCs/>
          <w:sz w:val="24"/>
        </w:rPr>
        <w:t>“</w:t>
      </w:r>
      <w:r w:rsidRPr="00E66C26">
        <w:rPr>
          <w:rFonts w:ascii="Calibri" w:hAnsi="Calibri" w:cs="Calibri"/>
          <w:b/>
          <w:bCs/>
          <w:sz w:val="24"/>
        </w:rPr>
        <w:t xml:space="preserve">FATORES DE RISCO RELACIONADOS À OFERTA E ÀS </w:t>
      </w:r>
      <w:r w:rsidR="00E7584A" w:rsidRPr="00E66C26">
        <w:rPr>
          <w:rFonts w:ascii="Calibri" w:hAnsi="Calibri" w:cs="Calibri"/>
          <w:b/>
          <w:bCs/>
          <w:sz w:val="24"/>
        </w:rPr>
        <w:t>DEBÊNTURES</w:t>
      </w:r>
      <w:r w:rsidR="00E05330" w:rsidRPr="00E66C26">
        <w:rPr>
          <w:rFonts w:ascii="Calibri" w:hAnsi="Calibri" w:cs="Calibri"/>
          <w:b/>
          <w:bCs/>
          <w:sz w:val="24"/>
        </w:rPr>
        <w:t>”</w:t>
      </w:r>
      <w:r w:rsidRPr="00E66C26">
        <w:rPr>
          <w:rFonts w:ascii="Calibri" w:hAnsi="Calibri" w:cs="Calibri"/>
          <w:b/>
          <w:bCs/>
          <w:sz w:val="24"/>
        </w:rPr>
        <w:t xml:space="preserve"> DO PROSPECTO PRELIMINAR, BEM COMO </w:t>
      </w:r>
      <w:r w:rsidR="003F0F2B" w:rsidRPr="00E66C26">
        <w:rPr>
          <w:rFonts w:ascii="Calibri" w:hAnsi="Calibri" w:cs="Calibri"/>
          <w:b/>
          <w:bCs/>
          <w:sz w:val="24"/>
        </w:rPr>
        <w:t>A SEÇÃO</w:t>
      </w:r>
      <w:r w:rsidRPr="00E66C26">
        <w:rPr>
          <w:rFonts w:ascii="Calibri" w:hAnsi="Calibri" w:cs="Calibri"/>
          <w:b/>
          <w:bCs/>
          <w:sz w:val="24"/>
        </w:rPr>
        <w:t xml:space="preserve"> </w:t>
      </w:r>
      <w:r w:rsidR="00E05330" w:rsidRPr="00E66C26">
        <w:rPr>
          <w:rFonts w:ascii="Calibri" w:hAnsi="Calibri" w:cs="Calibri"/>
          <w:b/>
          <w:bCs/>
          <w:sz w:val="24"/>
        </w:rPr>
        <w:t>“</w:t>
      </w:r>
      <w:r w:rsidRPr="00E66C26">
        <w:rPr>
          <w:rFonts w:ascii="Calibri" w:hAnsi="Calibri" w:cs="Calibri"/>
          <w:b/>
          <w:bCs/>
          <w:sz w:val="24"/>
        </w:rPr>
        <w:t>4. FATORES DE RISCO</w:t>
      </w:r>
      <w:r w:rsidR="00E05330" w:rsidRPr="00E66C26">
        <w:rPr>
          <w:rFonts w:ascii="Calibri" w:hAnsi="Calibri" w:cs="Calibri"/>
          <w:b/>
          <w:bCs/>
          <w:sz w:val="24"/>
        </w:rPr>
        <w:t>”</w:t>
      </w:r>
      <w:r w:rsidRPr="00E66C26">
        <w:rPr>
          <w:rFonts w:ascii="Calibri" w:hAnsi="Calibri" w:cs="Calibri"/>
          <w:b/>
          <w:bCs/>
          <w:sz w:val="24"/>
        </w:rPr>
        <w:t xml:space="preserve"> DO FORMULÁRIO DE REFERÊNCIA, </w:t>
      </w:r>
      <w:r w:rsidR="00E7584A" w:rsidRPr="00E66C26">
        <w:rPr>
          <w:rFonts w:ascii="Calibri" w:hAnsi="Calibri" w:cs="Calibri"/>
          <w:b/>
          <w:bCs/>
          <w:sz w:val="24"/>
        </w:rPr>
        <w:t xml:space="preserve">INCOPORADO POR REFERÊNCIA </w:t>
      </w:r>
      <w:r w:rsidRPr="00E66C26">
        <w:rPr>
          <w:rFonts w:ascii="Calibri" w:hAnsi="Calibri" w:cs="Calibri"/>
          <w:b/>
          <w:bCs/>
          <w:sz w:val="24"/>
        </w:rPr>
        <w:t xml:space="preserve">AO PROSPECTO PRELIMINAR, PARA CIÊNCIA E AVALIAÇÃO DE CERTOS FATORES DE RISCO QUE DEVEM SER CONSIDERADOS COM RELAÇÃO À </w:t>
      </w:r>
      <w:r w:rsidR="00E7584A" w:rsidRPr="00E66C26">
        <w:rPr>
          <w:rFonts w:ascii="Calibri" w:hAnsi="Calibri" w:cs="Calibri"/>
          <w:b/>
          <w:bCs/>
          <w:sz w:val="24"/>
        </w:rPr>
        <w:t>EMISSORA</w:t>
      </w:r>
      <w:r w:rsidRPr="00E66C26">
        <w:rPr>
          <w:rFonts w:ascii="Calibri" w:hAnsi="Calibri" w:cs="Calibri"/>
          <w:b/>
          <w:bCs/>
          <w:sz w:val="24"/>
        </w:rPr>
        <w:t xml:space="preserve">, À OFERTA E AO INVESTIMENTO NAS </w:t>
      </w:r>
      <w:r w:rsidR="00E7584A" w:rsidRPr="00E66C26">
        <w:rPr>
          <w:rFonts w:ascii="Calibri" w:hAnsi="Calibri" w:cs="Calibri"/>
          <w:b/>
          <w:bCs/>
          <w:sz w:val="24"/>
        </w:rPr>
        <w:t>DEBÊNTURES</w:t>
      </w:r>
      <w:r w:rsidRPr="00E66C26">
        <w:rPr>
          <w:rFonts w:ascii="Calibri" w:hAnsi="Calibri" w:cs="Calibri"/>
          <w:b/>
          <w:sz w:val="24"/>
        </w:rPr>
        <w:t>.</w:t>
      </w:r>
    </w:p>
    <w:p w14:paraId="4E7C2474" w14:textId="68EA3D62" w:rsidR="00E7584A" w:rsidRPr="00E66C26" w:rsidRDefault="004709F4" w:rsidP="0029198E">
      <w:pPr>
        <w:pStyle w:val="Body"/>
        <w:rPr>
          <w:rFonts w:ascii="Calibri" w:hAnsi="Calibri" w:cs="Calibri"/>
          <w:bCs/>
          <w:sz w:val="24"/>
        </w:rPr>
      </w:pPr>
      <w:r w:rsidRPr="00E66C26">
        <w:rPr>
          <w:rFonts w:ascii="Calibri" w:hAnsi="Calibri" w:cs="Calibri"/>
          <w:b/>
          <w:bCs/>
          <w:sz w:val="24"/>
        </w:rPr>
        <w:t xml:space="preserve">A Oferta e, consequentemente, as informações constantes do Prospecto Preliminar, encontram-se em análise pela CVM e, por este motivo, estão sujeitas à complementação ou retificação. O Prospecto Definitivo será colocado à disposição dos investidores nos locais </w:t>
      </w:r>
      <w:r w:rsidRPr="00E66C26">
        <w:rPr>
          <w:rFonts w:ascii="Calibri" w:hAnsi="Calibri" w:cs="Calibri"/>
          <w:b/>
          <w:bCs/>
          <w:sz w:val="24"/>
        </w:rPr>
        <w:lastRenderedPageBreak/>
        <w:t>referidos acima, a partir da data de divulgação do Anúncio de Início, o que dependerá da concessão de registro da Oferta pela CVM. Quando divulgado, o Prospecto Definitivo deverá ser utilizado como sua fonte principal de consulta para aceitação da Oferta, prevalecendo as informações nele constantes sobre quaisquer outras.</w:t>
      </w:r>
    </w:p>
    <w:p w14:paraId="0B8F44F8" w14:textId="699FBDB7" w:rsidR="00E7584A" w:rsidRPr="00E66C26" w:rsidRDefault="00D208CF" w:rsidP="0029198E">
      <w:pPr>
        <w:pStyle w:val="Body"/>
        <w:rPr>
          <w:rFonts w:ascii="Calibri" w:hAnsi="Calibri" w:cs="Calibri"/>
          <w:bCs/>
          <w:sz w:val="24"/>
        </w:rPr>
      </w:pPr>
      <w:r w:rsidRPr="00E66C26">
        <w:rPr>
          <w:rFonts w:ascii="Calibri" w:hAnsi="Calibri" w:cs="Calibri"/>
          <w:bCs/>
          <w:sz w:val="24"/>
        </w:rPr>
        <w:t xml:space="preserve">O pedido de registro da Oferta foi requerido junto à CVM em </w:t>
      </w:r>
      <w:r w:rsidR="00333250" w:rsidRPr="00E66C26">
        <w:rPr>
          <w:rFonts w:ascii="Calibri" w:hAnsi="Calibri" w:cs="Calibri"/>
          <w:b/>
          <w:sz w:val="24"/>
        </w:rPr>
        <w:t>13</w:t>
      </w:r>
      <w:r w:rsidR="005F199D" w:rsidRPr="00E66C26">
        <w:rPr>
          <w:rFonts w:ascii="Calibri" w:hAnsi="Calibri" w:cs="Calibri"/>
          <w:b/>
          <w:sz w:val="24"/>
        </w:rPr>
        <w:t xml:space="preserve"> </w:t>
      </w:r>
      <w:r w:rsidRPr="00E66C26">
        <w:rPr>
          <w:rFonts w:ascii="Calibri" w:hAnsi="Calibri" w:cs="Calibri"/>
          <w:b/>
          <w:sz w:val="24"/>
        </w:rPr>
        <w:t xml:space="preserve">de </w:t>
      </w:r>
      <w:r w:rsidR="001B1C04" w:rsidRPr="00E66C26">
        <w:rPr>
          <w:rFonts w:ascii="Calibri" w:hAnsi="Calibri" w:cs="Calibri"/>
          <w:b/>
          <w:sz w:val="24"/>
        </w:rPr>
        <w:t>dezembro</w:t>
      </w:r>
      <w:r w:rsidR="005F199D" w:rsidRPr="00E66C26">
        <w:rPr>
          <w:rFonts w:ascii="Calibri" w:hAnsi="Calibri" w:cs="Calibri"/>
          <w:b/>
          <w:sz w:val="24"/>
        </w:rPr>
        <w:t xml:space="preserve"> </w:t>
      </w:r>
      <w:r w:rsidRPr="00E66C26">
        <w:rPr>
          <w:rFonts w:ascii="Calibri" w:hAnsi="Calibri" w:cs="Calibri"/>
          <w:b/>
          <w:sz w:val="24"/>
        </w:rPr>
        <w:t xml:space="preserve">de </w:t>
      </w:r>
      <w:r w:rsidR="005F199D" w:rsidRPr="00E66C26">
        <w:rPr>
          <w:rFonts w:ascii="Calibri" w:hAnsi="Calibri" w:cs="Calibri"/>
          <w:b/>
          <w:sz w:val="24"/>
        </w:rPr>
        <w:t>20</w:t>
      </w:r>
      <w:r w:rsidR="001B1C04" w:rsidRPr="00E66C26">
        <w:rPr>
          <w:rFonts w:ascii="Calibri" w:hAnsi="Calibri" w:cs="Calibri"/>
          <w:b/>
          <w:sz w:val="24"/>
        </w:rPr>
        <w:t>21</w:t>
      </w:r>
      <w:r w:rsidRPr="00E66C26">
        <w:rPr>
          <w:rFonts w:ascii="Calibri" w:hAnsi="Calibri" w:cs="Calibri"/>
          <w:bCs/>
          <w:sz w:val="24"/>
        </w:rPr>
        <w:t xml:space="preserve">, estando a Oferta sujeita à análise e aprovação da CVM. A Oferta será registrada em conformidade com os procedimentos da Instrução CVM 400, </w:t>
      </w:r>
      <w:r w:rsidR="00107287" w:rsidRPr="00E66C26">
        <w:rPr>
          <w:rFonts w:ascii="Calibri" w:hAnsi="Calibri" w:cs="Calibri"/>
          <w:bCs/>
          <w:sz w:val="24"/>
        </w:rPr>
        <w:t xml:space="preserve">o </w:t>
      </w:r>
      <w:r w:rsidRPr="00E66C26">
        <w:rPr>
          <w:rFonts w:ascii="Calibri" w:hAnsi="Calibri" w:cs="Calibri"/>
          <w:bCs/>
          <w:sz w:val="24"/>
        </w:rPr>
        <w:t xml:space="preserve">Código ANBIMA e </w:t>
      </w:r>
      <w:r w:rsidR="00107287" w:rsidRPr="00E66C26">
        <w:rPr>
          <w:rFonts w:ascii="Calibri" w:hAnsi="Calibri" w:cs="Calibri"/>
          <w:bCs/>
          <w:sz w:val="24"/>
        </w:rPr>
        <w:t xml:space="preserve">as </w:t>
      </w:r>
      <w:r w:rsidRPr="00E66C26">
        <w:rPr>
          <w:rFonts w:ascii="Calibri" w:hAnsi="Calibri" w:cs="Calibri"/>
          <w:bCs/>
          <w:sz w:val="24"/>
        </w:rPr>
        <w:t>demais disposições legais e regulamentares aplicáveis.</w:t>
      </w:r>
    </w:p>
    <w:p w14:paraId="4FAF63D6" w14:textId="77777777" w:rsidR="00643349" w:rsidRPr="00C6089D" w:rsidRDefault="00643349" w:rsidP="00643349">
      <w:pPr>
        <w:pStyle w:val="Body"/>
        <w:rPr>
          <w:rFonts w:ascii="Calibri" w:hAnsi="Calibri" w:cs="Calibri"/>
          <w:b/>
          <w:sz w:val="24"/>
        </w:rPr>
      </w:pPr>
      <w:r w:rsidRPr="00C6089D">
        <w:rPr>
          <w:rFonts w:ascii="Calibri" w:hAnsi="Calibri" w:cs="Calibri"/>
          <w:b/>
          <w:caps/>
          <w:sz w:val="24"/>
          <w:u w:val="thick"/>
        </w:rPr>
        <w:t>O registro da presente Oferta não implica, por parte da CVM, garantia de veracidade das informações prestadas ou em julgamento sobre a qualidade da Emissora, bem como sobre as Debêntures a serem distribuídas.</w:t>
      </w:r>
    </w:p>
    <w:p w14:paraId="1695EAE7" w14:textId="77777777" w:rsidR="00643349" w:rsidRPr="00C6089D" w:rsidRDefault="00643349" w:rsidP="00643349">
      <w:pPr>
        <w:pStyle w:val="Body"/>
        <w:jc w:val="center"/>
        <w:rPr>
          <w:rFonts w:ascii="Calibri" w:hAnsi="Calibri" w:cs="Calibri"/>
          <w:b/>
          <w:sz w:val="24"/>
        </w:rPr>
      </w:pPr>
    </w:p>
    <w:tbl>
      <w:tblPr>
        <w:tblStyle w:val="Tabelacomgrade"/>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73"/>
      </w:tblGrid>
      <w:tr w:rsidR="00643349" w:rsidRPr="00365D60" w14:paraId="0B04D705" w14:textId="77777777" w:rsidTr="00DC3B85">
        <w:trPr>
          <w:trHeight w:val="1273"/>
        </w:trPr>
        <w:tc>
          <w:tcPr>
            <w:tcW w:w="4372" w:type="dxa"/>
            <w:vAlign w:val="center"/>
          </w:tcPr>
          <w:p w14:paraId="10615173" w14:textId="77777777" w:rsidR="00643349" w:rsidRPr="00C6089D" w:rsidRDefault="00643349" w:rsidP="00DC3B85">
            <w:pPr>
              <w:pStyle w:val="Body"/>
              <w:jc w:val="center"/>
              <w:rPr>
                <w:rFonts w:ascii="Calibri" w:hAnsi="Calibri" w:cs="Calibri"/>
                <w:b/>
                <w:sz w:val="24"/>
              </w:rPr>
            </w:pPr>
            <w:r w:rsidRPr="00C6089D">
              <w:rPr>
                <w:rFonts w:ascii="Calibri" w:hAnsi="Calibri" w:cs="Calibri"/>
                <w:b/>
                <w:noProof/>
                <w:sz w:val="24"/>
              </w:rPr>
              <w:drawing>
                <wp:inline distT="0" distB="0" distL="0" distR="0" wp14:anchorId="34FC4166" wp14:editId="4C65AB96">
                  <wp:extent cx="1327867" cy="76050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Ofertas-Publicas-Colorido-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2928" cy="786314"/>
                          </a:xfrm>
                          <a:prstGeom prst="rect">
                            <a:avLst/>
                          </a:prstGeom>
                        </pic:spPr>
                      </pic:pic>
                    </a:graphicData>
                  </a:graphic>
                </wp:inline>
              </w:drawing>
            </w:r>
          </w:p>
        </w:tc>
        <w:tc>
          <w:tcPr>
            <w:tcW w:w="4373" w:type="dxa"/>
            <w:vAlign w:val="center"/>
          </w:tcPr>
          <w:p w14:paraId="007E5EBB" w14:textId="77777777" w:rsidR="00643349" w:rsidRPr="00C6089D" w:rsidRDefault="00643349" w:rsidP="00DC3B85">
            <w:pPr>
              <w:pStyle w:val="Body"/>
              <w:jc w:val="center"/>
              <w:rPr>
                <w:rFonts w:ascii="Calibri" w:hAnsi="Calibri" w:cs="Calibri"/>
                <w:b/>
                <w:sz w:val="24"/>
              </w:rPr>
            </w:pPr>
            <w:r w:rsidRPr="00365D60">
              <w:rPr>
                <w:rFonts w:ascii="Calibri" w:hAnsi="Calibri" w:cs="Calibri"/>
                <w:b/>
                <w:noProof/>
                <w:sz w:val="24"/>
                <w:lang w:eastAsia="pt-BR"/>
              </w:rPr>
              <w:drawing>
                <wp:inline distT="0" distB="0" distL="0" distR="0" wp14:anchorId="737488E8" wp14:editId="58B5304E">
                  <wp:extent cx="1359673" cy="77872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8331" cy="806590"/>
                          </a:xfrm>
                          <a:prstGeom prst="rect">
                            <a:avLst/>
                          </a:prstGeom>
                        </pic:spPr>
                      </pic:pic>
                    </a:graphicData>
                  </a:graphic>
                </wp:inline>
              </w:drawing>
            </w:r>
          </w:p>
        </w:tc>
      </w:tr>
    </w:tbl>
    <w:p w14:paraId="53B99F4D" w14:textId="77777777" w:rsidR="00643349" w:rsidRPr="00C6089D" w:rsidRDefault="00643349" w:rsidP="00643349">
      <w:pPr>
        <w:pStyle w:val="Body"/>
        <w:jc w:val="center"/>
        <w:rPr>
          <w:rFonts w:ascii="Calibri" w:hAnsi="Calibri" w:cs="Calibri"/>
          <w:sz w:val="24"/>
        </w:rPr>
      </w:pPr>
    </w:p>
    <w:p w14:paraId="13213311" w14:textId="590C29A9" w:rsidR="00643349" w:rsidRPr="00C6089D" w:rsidRDefault="00643349" w:rsidP="00643349">
      <w:pPr>
        <w:pStyle w:val="Body"/>
        <w:jc w:val="center"/>
        <w:rPr>
          <w:rFonts w:ascii="Calibri" w:hAnsi="Calibri" w:cs="Calibri"/>
          <w:sz w:val="24"/>
        </w:rPr>
      </w:pPr>
      <w:r w:rsidRPr="00C6089D">
        <w:rPr>
          <w:rFonts w:ascii="Calibri" w:hAnsi="Calibri" w:cs="Calibri"/>
          <w:sz w:val="24"/>
        </w:rPr>
        <w:t xml:space="preserve">São Paulo, </w:t>
      </w:r>
      <w:r w:rsidR="00AD1572">
        <w:rPr>
          <w:rFonts w:ascii="Calibri" w:hAnsi="Calibri" w:cs="Calibri"/>
          <w:sz w:val="24"/>
        </w:rPr>
        <w:t>22</w:t>
      </w:r>
      <w:r w:rsidRPr="00365D60">
        <w:rPr>
          <w:rFonts w:ascii="Calibri" w:hAnsi="Calibri" w:cs="Calibri"/>
          <w:sz w:val="24"/>
        </w:rPr>
        <w:t xml:space="preserve"> </w:t>
      </w:r>
      <w:r w:rsidRPr="00C6089D">
        <w:rPr>
          <w:rFonts w:ascii="Calibri" w:hAnsi="Calibri" w:cs="Calibri"/>
          <w:sz w:val="24"/>
        </w:rPr>
        <w:t xml:space="preserve">de </w:t>
      </w:r>
      <w:r w:rsidR="00873200">
        <w:rPr>
          <w:rFonts w:ascii="Calibri" w:hAnsi="Calibri" w:cs="Calibri"/>
          <w:sz w:val="24"/>
        </w:rPr>
        <w:t>dezembro</w:t>
      </w:r>
      <w:r w:rsidRPr="00C6089D">
        <w:rPr>
          <w:rFonts w:ascii="Calibri" w:hAnsi="Calibri" w:cs="Calibri"/>
          <w:sz w:val="24"/>
        </w:rPr>
        <w:t xml:space="preserve"> de 20</w:t>
      </w:r>
      <w:r w:rsidRPr="00365D60">
        <w:rPr>
          <w:rFonts w:ascii="Calibri" w:hAnsi="Calibri" w:cs="Calibri"/>
          <w:sz w:val="24"/>
        </w:rPr>
        <w:t>2</w:t>
      </w:r>
      <w:r w:rsidR="00873200">
        <w:rPr>
          <w:rFonts w:ascii="Calibri" w:hAnsi="Calibri" w:cs="Calibri"/>
          <w:sz w:val="24"/>
        </w:rPr>
        <w:t>1</w:t>
      </w:r>
      <w:r w:rsidRPr="00C6089D">
        <w:rPr>
          <w:rFonts w:ascii="Calibri" w:hAnsi="Calibri" w:cs="Calibri"/>
          <w:sz w:val="24"/>
        </w:rPr>
        <w:t>.</w:t>
      </w:r>
    </w:p>
    <w:p w14:paraId="7BB0C620" w14:textId="77777777" w:rsidR="00643349" w:rsidRPr="00C6089D" w:rsidRDefault="00643349" w:rsidP="00643349">
      <w:pPr>
        <w:pStyle w:val="Body"/>
        <w:jc w:val="center"/>
        <w:rPr>
          <w:rFonts w:ascii="Calibri" w:hAnsi="Calibri" w:cs="Calibri"/>
          <w:b/>
          <w:sz w:val="24"/>
        </w:rPr>
      </w:pPr>
    </w:p>
    <w:tbl>
      <w:tblPr>
        <w:tblW w:w="4940" w:type="pct"/>
        <w:tblLook w:val="04A0" w:firstRow="1" w:lastRow="0" w:firstColumn="1" w:lastColumn="0" w:noHBand="0" w:noVBand="1"/>
      </w:tblPr>
      <w:tblGrid>
        <w:gridCol w:w="2983"/>
        <w:gridCol w:w="2986"/>
        <w:gridCol w:w="2986"/>
      </w:tblGrid>
      <w:tr w:rsidR="00643349" w:rsidRPr="00365D60" w14:paraId="4BD4347F" w14:textId="77777777" w:rsidTr="00DC3B85">
        <w:trPr>
          <w:trHeight w:val="1066"/>
        </w:trPr>
        <w:tc>
          <w:tcPr>
            <w:tcW w:w="1666" w:type="pct"/>
            <w:vAlign w:val="center"/>
          </w:tcPr>
          <w:p w14:paraId="47ADA73F" w14:textId="77777777" w:rsidR="00643349" w:rsidRPr="00C6089D" w:rsidRDefault="00643349" w:rsidP="00DC3B85">
            <w:pPr>
              <w:pStyle w:val="Body"/>
              <w:rPr>
                <w:rFonts w:ascii="Calibri" w:eastAsia="Calibri" w:hAnsi="Calibri" w:cs="Calibri"/>
                <w:b/>
                <w:sz w:val="24"/>
              </w:rPr>
            </w:pPr>
          </w:p>
        </w:tc>
        <w:tc>
          <w:tcPr>
            <w:tcW w:w="1667" w:type="pct"/>
            <w:vAlign w:val="center"/>
          </w:tcPr>
          <w:p w14:paraId="6BF5EBD5" w14:textId="77777777" w:rsidR="00643349" w:rsidRPr="00C6089D" w:rsidRDefault="00643349" w:rsidP="00DC3B85">
            <w:pPr>
              <w:pStyle w:val="Body"/>
              <w:rPr>
                <w:rFonts w:ascii="Calibri" w:eastAsia="Calibri" w:hAnsi="Calibri" w:cs="Calibri"/>
                <w:b/>
                <w:sz w:val="24"/>
              </w:rPr>
            </w:pPr>
            <w:r>
              <w:rPr>
                <w:noProof/>
              </w:rPr>
              <w:drawing>
                <wp:anchor distT="0" distB="0" distL="114300" distR="114300" simplePos="0" relativeHeight="251661312" behindDoc="0" locked="0" layoutInCell="1" allowOverlap="1" wp14:anchorId="3A0AFC46" wp14:editId="527CDE66">
                  <wp:simplePos x="0" y="0"/>
                  <wp:positionH relativeFrom="margin">
                    <wp:posOffset>636905</wp:posOffset>
                  </wp:positionH>
                  <wp:positionV relativeFrom="paragraph">
                    <wp:posOffset>-63500</wp:posOffset>
                  </wp:positionV>
                  <wp:extent cx="547370" cy="462915"/>
                  <wp:effectExtent l="0" t="0" r="5080" b="0"/>
                  <wp:wrapSquare wrapText="bothSides"/>
                  <wp:docPr id="9" name="Imagem 32" descr="Forma&#10;&#10;Descrição gerada automaticamente com confiança média">
                    <a:extLst xmlns:a="http://schemas.openxmlformats.org/drawingml/2006/main">
                      <a:ext uri="{FF2B5EF4-FFF2-40B4-BE49-F238E27FC236}">
                        <a16:creationId xmlns:a16="http://schemas.microsoft.com/office/drawing/2014/main"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5" name="Imagem 32" descr="Forma&#10;&#10;Descrição gerada automaticamente com confiança média">
                            <a:extLst>
                              <a:ext uri="{FF2B5EF4-FFF2-40B4-BE49-F238E27FC236}">
                                <a16:creationId xmlns:a16="http://schemas.microsoft.com/office/drawing/2014/main" id="{838F8B97-4D01-4E84-BFFD-29C18DC88A49}"/>
                              </a:ext>
                            </a:extLst>
                          </pic:cNvPr>
                          <pic:cNvPicPr/>
                        </pic:nvPicPr>
                        <pic:blipFill rotWithShape="1">
                          <a:blip r:embed="rId19"/>
                          <a:srcRect r="58172"/>
                          <a:stretch/>
                        </pic:blipFill>
                        <pic:spPr bwMode="auto">
                          <a:xfrm>
                            <a:off x="0" y="0"/>
                            <a:ext cx="547370" cy="46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667" w:type="pct"/>
            <w:vAlign w:val="center"/>
          </w:tcPr>
          <w:p w14:paraId="54654350" w14:textId="77777777" w:rsidR="00643349" w:rsidRPr="00C6089D" w:rsidRDefault="00643349" w:rsidP="00DC3B85">
            <w:pPr>
              <w:pStyle w:val="Body"/>
              <w:rPr>
                <w:rFonts w:ascii="Calibri" w:eastAsia="Calibri" w:hAnsi="Calibri" w:cs="Calibri"/>
                <w:b/>
                <w:sz w:val="24"/>
              </w:rPr>
            </w:pPr>
          </w:p>
        </w:tc>
      </w:tr>
      <w:tr w:rsidR="00643349" w:rsidRPr="00365D60" w14:paraId="06AFC1C3" w14:textId="77777777" w:rsidTr="00DC3B85">
        <w:trPr>
          <w:trHeight w:val="1066"/>
        </w:trPr>
        <w:tc>
          <w:tcPr>
            <w:tcW w:w="1666" w:type="pct"/>
            <w:vAlign w:val="center"/>
          </w:tcPr>
          <w:p w14:paraId="26EEBD36" w14:textId="77777777" w:rsidR="00643349" w:rsidRPr="00C6089D" w:rsidRDefault="00643349" w:rsidP="00DC3B85">
            <w:pPr>
              <w:pStyle w:val="Body"/>
              <w:rPr>
                <w:rFonts w:ascii="Calibri" w:eastAsia="Calibri" w:hAnsi="Calibri" w:cs="Calibri"/>
                <w:b/>
                <w:sz w:val="24"/>
              </w:rPr>
            </w:pPr>
          </w:p>
        </w:tc>
        <w:tc>
          <w:tcPr>
            <w:tcW w:w="1667" w:type="pct"/>
            <w:vAlign w:val="center"/>
          </w:tcPr>
          <w:p w14:paraId="2FDD88A0" w14:textId="77777777" w:rsidR="00643349" w:rsidRPr="00C6089D" w:rsidRDefault="00643349" w:rsidP="00DC3B85">
            <w:pPr>
              <w:pStyle w:val="Body"/>
              <w:jc w:val="center"/>
              <w:rPr>
                <w:rFonts w:ascii="Calibri" w:eastAsia="Calibri" w:hAnsi="Calibri" w:cs="Calibri"/>
                <w:b/>
                <w:sz w:val="24"/>
              </w:rPr>
            </w:pPr>
            <w:r w:rsidRPr="00C6089D">
              <w:rPr>
                <w:rFonts w:ascii="Calibri" w:eastAsia="Calibri" w:hAnsi="Calibri" w:cs="Calibri"/>
                <w:b/>
                <w:sz w:val="24"/>
              </w:rPr>
              <w:t>Coordenador Líder</w:t>
            </w:r>
          </w:p>
        </w:tc>
        <w:tc>
          <w:tcPr>
            <w:tcW w:w="1667" w:type="pct"/>
            <w:vAlign w:val="center"/>
          </w:tcPr>
          <w:p w14:paraId="60CF2AF4" w14:textId="77777777" w:rsidR="00643349" w:rsidRPr="00C6089D" w:rsidRDefault="00643349" w:rsidP="00DC3B85">
            <w:pPr>
              <w:pStyle w:val="Body"/>
              <w:rPr>
                <w:rFonts w:ascii="Calibri" w:eastAsia="Calibri" w:hAnsi="Calibri" w:cs="Calibri"/>
                <w:b/>
                <w:sz w:val="24"/>
              </w:rPr>
            </w:pPr>
          </w:p>
        </w:tc>
      </w:tr>
    </w:tbl>
    <w:p w14:paraId="1FA917A1" w14:textId="77777777" w:rsidR="00643349" w:rsidRPr="00C6089D" w:rsidRDefault="00643349" w:rsidP="00643349">
      <w:pPr>
        <w:pStyle w:val="Body"/>
        <w:jc w:val="center"/>
        <w:rPr>
          <w:rFonts w:ascii="Calibri" w:hAnsi="Calibri" w:cs="Calibri"/>
          <w:sz w:val="24"/>
        </w:rPr>
      </w:pPr>
    </w:p>
    <w:p w14:paraId="1AA31A4E" w14:textId="77777777" w:rsidR="0028458A" w:rsidRPr="00E66C26" w:rsidRDefault="0028458A" w:rsidP="00643349">
      <w:pPr>
        <w:spacing w:after="140" w:line="290" w:lineRule="auto"/>
        <w:jc w:val="both"/>
        <w:rPr>
          <w:rFonts w:ascii="Calibri" w:hAnsi="Calibri" w:cs="Calibri"/>
          <w:bCs/>
          <w:sz w:val="24"/>
        </w:rPr>
      </w:pPr>
    </w:p>
    <w:sectPr w:rsidR="0028458A" w:rsidRPr="00E66C26" w:rsidSect="002D6D49">
      <w:headerReference w:type="even" r:id="rId20"/>
      <w:headerReference w:type="default" r:id="rId21"/>
      <w:footerReference w:type="even" r:id="rId22"/>
      <w:footerReference w:type="default" r:id="rId23"/>
      <w:headerReference w:type="first" r:id="rId24"/>
      <w:footerReference w:type="first" r:id="rId25"/>
      <w:pgSz w:w="12240" w:h="15840" w:code="119"/>
      <w:pgMar w:top="1701" w:right="1588" w:bottom="1304" w:left="1588" w:header="709" w:footer="3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AECC" w14:textId="77777777" w:rsidR="00CB6573" w:rsidRDefault="00CB6573">
      <w:r>
        <w:separator/>
      </w:r>
    </w:p>
    <w:p w14:paraId="736EC5E9" w14:textId="77777777" w:rsidR="00CB6573" w:rsidRDefault="00CB6573"/>
  </w:endnote>
  <w:endnote w:type="continuationSeparator" w:id="0">
    <w:p w14:paraId="7C988721" w14:textId="77777777" w:rsidR="00CB6573" w:rsidRDefault="00CB6573">
      <w:r>
        <w:continuationSeparator/>
      </w:r>
    </w:p>
    <w:p w14:paraId="0284E884" w14:textId="77777777" w:rsidR="00CB6573" w:rsidRDefault="00CB6573"/>
  </w:endnote>
  <w:endnote w:type="continuationNotice" w:id="1">
    <w:p w14:paraId="77D43B65" w14:textId="77777777" w:rsidR="00CB6573" w:rsidRDefault="00CB6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yriad Pro Light">
    <w:altName w:val="Segoe UI Light"/>
    <w:panose1 w:val="020B06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16E0" w14:textId="77777777" w:rsidR="00DB1F2A" w:rsidRDefault="00DB1F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4A9" w14:textId="77777777" w:rsidR="00DC3B85" w:rsidRDefault="00DC3B85" w:rsidP="00643349">
    <w:pPr>
      <w:pStyle w:val="DocExCode"/>
      <w:pBdr>
        <w:top w:val="none" w:sz="0" w:space="0" w:color="auto"/>
      </w:pBdr>
    </w:pPr>
    <w:r>
      <w:rPr>
        <w:noProof/>
      </w:rPr>
      <w:drawing>
        <wp:anchor distT="0" distB="0" distL="114300" distR="114300" simplePos="0" relativeHeight="251654656" behindDoc="0" locked="0" layoutInCell="1" allowOverlap="1" wp14:anchorId="50193AEF" wp14:editId="72F6B7CA">
          <wp:simplePos x="1009934" y="8911988"/>
          <wp:positionH relativeFrom="column">
            <wp:align>center</wp:align>
          </wp:positionH>
          <wp:positionV relativeFrom="page">
            <wp:align>top</wp:align>
          </wp:positionV>
          <wp:extent cx="7812000" cy="741600"/>
          <wp:effectExtent l="0" t="0" r="0" b="190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7DF5BFD5" wp14:editId="57CD4D88">
          <wp:simplePos x="1009650" y="9170670"/>
          <wp:positionH relativeFrom="column">
            <wp:align>center</wp:align>
          </wp:positionH>
          <wp:positionV relativeFrom="page">
            <wp:align>bottom</wp:align>
          </wp:positionV>
          <wp:extent cx="7812000" cy="3888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F80D0C" w14:textId="77777777" w:rsidR="00DC3B85" w:rsidRDefault="00DC3B85" w:rsidP="00643349">
    <w:pPr>
      <w:pStyle w:val="DocExCode"/>
      <w:pBdr>
        <w:top w:val="none" w:sz="0" w:space="0" w:color="auto"/>
      </w:pBdr>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kern w:val="17"/>
      </w:rPr>
      <w:t>1</w:t>
    </w:r>
    <w:r>
      <w:rPr>
        <w:rStyle w:val="Nmerodepgina"/>
        <w:kern w:val="17"/>
      </w:rPr>
      <w:fldChar w:fldCharType="end"/>
    </w:r>
  </w:p>
  <w:p w14:paraId="51B0D329" w14:textId="77777777" w:rsidR="00DC3B85" w:rsidRPr="00643349" w:rsidRDefault="00DC3B85" w:rsidP="0064334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C498" w14:textId="14990097" w:rsidR="005E35B5" w:rsidRDefault="00CB6573" w:rsidP="005E35B5">
    <w:pPr>
      <w:pStyle w:val="DocExCode"/>
      <w:pBdr>
        <w:top w:val="none" w:sz="0" w:space="0" w:color="auto"/>
      </w:pBdr>
    </w:pPr>
    <w:r>
      <w:rPr>
        <w:noProof/>
      </w:rPr>
    </w:r>
    <w:r w:rsidR="000134F2">
      <w:rPr>
        <w:noProof/>
      </w:rPr>
      <w:pict w14:anchorId="0B7D7A4F">
        <v:shapetype id="_x0000_t202" coordsize="21600,21600" o:spt="202" path="m,l,21600r21600,l21600,xe">
          <v:stroke joinstyle="miter"/>
          <v:path gradientshapeok="t" o:connecttype="rect"/>
        </v:shapetype>
        <v:shape id="wsFIRSTFOOTER" o:spid="_x0000_s1025"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fill o:detectmouseclick="t"/>
          <v:textbox style="mso-fit-shape-to-text:t" inset="0,0,0,0">
            <w:txbxContent>
              <w:p w14:paraId="4C1F87B1" w14:textId="42A70C17" w:rsidR="00757637" w:rsidRPr="00757637" w:rsidRDefault="00757637" w:rsidP="00757637">
                <w:pPr>
                  <w:spacing w:line="220" w:lineRule="auto"/>
                  <w:rPr>
                    <w:rFonts w:ascii="Calibri" w:hAnsi="Calibri" w:cs="Calibri"/>
                    <w:sz w:val="12"/>
                  </w:rPr>
                </w:pPr>
              </w:p>
            </w:txbxContent>
          </v:textbox>
          <w10:wrap type="none"/>
          <w10:anchorlock/>
        </v:shape>
      </w:pict>
    </w:r>
    <w:r w:rsidR="005E35B5">
      <w:rPr>
        <w:noProof/>
      </w:rPr>
      <w:drawing>
        <wp:anchor distT="0" distB="0" distL="114300" distR="114300" simplePos="0" relativeHeight="251657728" behindDoc="0" locked="0" layoutInCell="1" allowOverlap="1" wp14:anchorId="48C7BCAB" wp14:editId="319DD2A0">
          <wp:simplePos x="1009934" y="8911988"/>
          <wp:positionH relativeFrom="column">
            <wp:align>center</wp:align>
          </wp:positionH>
          <wp:positionV relativeFrom="page">
            <wp:align>top</wp:align>
          </wp:positionV>
          <wp:extent cx="7812000" cy="741600"/>
          <wp:effectExtent l="0" t="0" r="0"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5B5">
      <w:rPr>
        <w:noProof/>
      </w:rPr>
      <w:drawing>
        <wp:anchor distT="0" distB="0" distL="114300" distR="114300" simplePos="0" relativeHeight="251659776" behindDoc="0" locked="0" layoutInCell="1" allowOverlap="1" wp14:anchorId="0EA60A30" wp14:editId="12E1808C">
          <wp:simplePos x="1009650" y="9170670"/>
          <wp:positionH relativeFrom="column">
            <wp:align>center</wp:align>
          </wp:positionH>
          <wp:positionV relativeFrom="page">
            <wp:align>bottom</wp:align>
          </wp:positionV>
          <wp:extent cx="7812000" cy="38880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BBC68" w14:textId="77777777" w:rsidR="005E35B5" w:rsidRDefault="005E35B5" w:rsidP="005E35B5">
    <w:pPr>
      <w:pStyle w:val="DocExCode"/>
      <w:pBdr>
        <w:top w:val="none" w:sz="0" w:space="0" w:color="auto"/>
      </w:pBdr>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kern w:val="17"/>
      </w:rPr>
      <w:t>2</w:t>
    </w:r>
    <w:r>
      <w:rPr>
        <w:rStyle w:val="Nmerodepgina"/>
        <w:kern w:val="17"/>
      </w:rPr>
      <w:fldChar w:fldCharType="end"/>
    </w:r>
  </w:p>
  <w:p w14:paraId="50C7E6CE" w14:textId="0EEF3A57" w:rsidR="00DC3B85" w:rsidRPr="005E35B5" w:rsidRDefault="00DC3B85" w:rsidP="005E35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9D89" w14:textId="77777777" w:rsidR="00CB6573" w:rsidRDefault="00CB6573">
      <w:r>
        <w:separator/>
      </w:r>
    </w:p>
    <w:p w14:paraId="769067FC" w14:textId="77777777" w:rsidR="00CB6573" w:rsidRDefault="00CB6573"/>
  </w:footnote>
  <w:footnote w:type="continuationSeparator" w:id="0">
    <w:p w14:paraId="0EB0F343" w14:textId="77777777" w:rsidR="00CB6573" w:rsidRDefault="00CB6573">
      <w:r>
        <w:continuationSeparator/>
      </w:r>
    </w:p>
    <w:p w14:paraId="3571196C" w14:textId="77777777" w:rsidR="00CB6573" w:rsidRDefault="00CB6573"/>
  </w:footnote>
  <w:footnote w:type="continuationNotice" w:id="1">
    <w:p w14:paraId="5EB261E7" w14:textId="77777777" w:rsidR="00CB6573" w:rsidRDefault="00CB6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D60D" w14:textId="77777777" w:rsidR="00DB1F2A" w:rsidRDefault="00DB1F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30F3" w14:textId="0C9D9775" w:rsidR="00DC3B85" w:rsidRPr="00643349" w:rsidRDefault="00DC3B85" w:rsidP="00643349">
    <w:pPr>
      <w:pStyle w:val="Cabealho"/>
    </w:pPr>
    <w:r>
      <w:rPr>
        <w:noProof/>
      </w:rPr>
      <w:drawing>
        <wp:anchor distT="0" distB="0" distL="114300" distR="114300" simplePos="0" relativeHeight="251653632" behindDoc="0" locked="0" layoutInCell="1" allowOverlap="1" wp14:anchorId="14C82E5C" wp14:editId="11D489BF">
          <wp:simplePos x="0" y="0"/>
          <wp:positionH relativeFrom="column">
            <wp:align>center</wp:align>
          </wp:positionH>
          <wp:positionV relativeFrom="page">
            <wp:align>top</wp:align>
          </wp:positionV>
          <wp:extent cx="7812000" cy="741600"/>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BC4B" w14:textId="16C94B45" w:rsidR="006E3D62" w:rsidRDefault="005E35B5">
    <w:pPr>
      <w:pStyle w:val="Cabealho"/>
    </w:pPr>
    <w:r>
      <w:rPr>
        <w:noProof/>
      </w:rPr>
      <w:drawing>
        <wp:anchor distT="0" distB="0" distL="114300" distR="114300" simplePos="0" relativeHeight="251656704" behindDoc="0" locked="0" layoutInCell="1" allowOverlap="1" wp14:anchorId="43594592" wp14:editId="2863AFA0">
          <wp:simplePos x="0" y="0"/>
          <wp:positionH relativeFrom="column">
            <wp:align>center</wp:align>
          </wp:positionH>
          <wp:positionV relativeFrom="page">
            <wp:align>top</wp:align>
          </wp:positionV>
          <wp:extent cx="7812000" cy="741600"/>
          <wp:effectExtent l="0" t="0" r="0" b="190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645A2A"/>
    <w:multiLevelType w:val="multilevel"/>
    <w:tmpl w:val="750A9FF8"/>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4BC30A9"/>
    <w:multiLevelType w:val="multilevel"/>
    <w:tmpl w:val="0D249BE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15:restartNumberingAfterBreak="0">
    <w:nsid w:val="38F13CF3"/>
    <w:multiLevelType w:val="multilevel"/>
    <w:tmpl w:val="CFBCD9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bCs/>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5B6215"/>
    <w:multiLevelType w:val="multilevel"/>
    <w:tmpl w:val="1F54270E"/>
    <w:lvl w:ilvl="0">
      <w:start w:val="1"/>
      <w:numFmt w:val="bullet"/>
      <w:pStyle w:val="Bullet10"/>
      <w:lvlText w:val=""/>
      <w:lvlJc w:val="left"/>
      <w:pPr>
        <w:tabs>
          <w:tab w:val="num" w:pos="1361"/>
        </w:tabs>
        <w:ind w:left="1361" w:hanging="681"/>
      </w:pPr>
      <w:rPr>
        <w:rFonts w:ascii="Symbol" w:hAnsi="Symbol" w:hint="default"/>
        <w:b w:val="0"/>
        <w:i w:val="0"/>
        <w:color w:val="auto"/>
        <w:sz w:val="20"/>
        <w:lang w:val="pt-BR"/>
      </w:rPr>
    </w:lvl>
    <w:lvl w:ilvl="1">
      <w:start w:val="1"/>
      <w:numFmt w:val="bullet"/>
      <w:pStyle w:val="Bullet20"/>
      <w:lvlText w:val=""/>
      <w:lvlJc w:val="left"/>
      <w:pPr>
        <w:tabs>
          <w:tab w:val="num" w:pos="2041"/>
        </w:tabs>
        <w:ind w:left="2041" w:hanging="680"/>
      </w:pPr>
      <w:rPr>
        <w:rFonts w:ascii="Symbol" w:hAnsi="Symbol" w:hint="default"/>
        <w:b w:val="0"/>
        <w:i w:val="0"/>
        <w:sz w:val="20"/>
      </w:rPr>
    </w:lvl>
    <w:lvl w:ilvl="2">
      <w:start w:val="1"/>
      <w:numFmt w:val="bullet"/>
      <w:pStyle w:val="Bullet30"/>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3" w15:restartNumberingAfterBreak="0">
    <w:nsid w:val="3D437BF4"/>
    <w:multiLevelType w:val="multilevel"/>
    <w:tmpl w:val="8556AAD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2AF0712"/>
    <w:multiLevelType w:val="multilevel"/>
    <w:tmpl w:val="D2E8CC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1D1232"/>
    <w:multiLevelType w:val="multilevel"/>
    <w:tmpl w:val="26641B04"/>
    <w:lvl w:ilvl="0">
      <w:start w:val="1"/>
      <w:numFmt w:val="decimal"/>
      <w:lvlText w:val="%1"/>
      <w:lvlJc w:val="left"/>
      <w:pPr>
        <w:tabs>
          <w:tab w:val="num" w:pos="680"/>
        </w:tabs>
        <w:ind w:left="680" w:hanging="680"/>
      </w:pPr>
      <w:rPr>
        <w:rFonts w:hint="default"/>
        <w:b/>
        <w:i w:val="0"/>
        <w:sz w:val="28"/>
        <w:szCs w:val="28"/>
      </w:rPr>
    </w:lvl>
    <w:lvl w:ilvl="1">
      <w:start w:val="1"/>
      <w:numFmt w:val="lowerRoman"/>
      <w:lvlText w:val="(%2)"/>
      <w:lvlJc w:val="left"/>
      <w:pPr>
        <w:tabs>
          <w:tab w:val="num" w:pos="680"/>
        </w:tabs>
        <w:ind w:left="680" w:hanging="680"/>
      </w:pPr>
      <w:rPr>
        <w:rFonts w:ascii="Calibri" w:eastAsia="Times New Roman" w:hAnsi="Calibri" w:cs="Calibri"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1400"/>
        </w:tabs>
        <w:ind w:left="1400"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15:restartNumberingAfterBreak="0">
    <w:nsid w:val="777F08FF"/>
    <w:multiLevelType w:val="multilevel"/>
    <w:tmpl w:val="99F4CB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17"/>
  </w:num>
  <w:num w:numId="4">
    <w:abstractNumId w:val="8"/>
  </w:num>
  <w:num w:numId="5">
    <w:abstractNumId w:val="28"/>
  </w:num>
  <w:num w:numId="6">
    <w:abstractNumId w:val="20"/>
  </w:num>
  <w:num w:numId="7">
    <w:abstractNumId w:val="9"/>
  </w:num>
  <w:num w:numId="8">
    <w:abstractNumId w:val="16"/>
  </w:num>
  <w:num w:numId="9">
    <w:abstractNumId w:val="14"/>
  </w:num>
  <w:num w:numId="10">
    <w:abstractNumId w:val="35"/>
  </w:num>
  <w:num w:numId="11">
    <w:abstractNumId w:val="49"/>
  </w:num>
  <w:num w:numId="12">
    <w:abstractNumId w:val="10"/>
  </w:num>
  <w:num w:numId="13">
    <w:abstractNumId w:val="24"/>
  </w:num>
  <w:num w:numId="14">
    <w:abstractNumId w:val="32"/>
  </w:num>
  <w:num w:numId="15">
    <w:abstractNumId w:val="27"/>
  </w:num>
  <w:num w:numId="16">
    <w:abstractNumId w:val="31"/>
  </w:num>
  <w:num w:numId="17">
    <w:abstractNumId w:val="30"/>
  </w:num>
  <w:num w:numId="18">
    <w:abstractNumId w:val="11"/>
  </w:num>
  <w:num w:numId="19">
    <w:abstractNumId w:val="42"/>
  </w:num>
  <w:num w:numId="20">
    <w:abstractNumId w:val="41"/>
  </w:num>
  <w:num w:numId="21">
    <w:abstractNumId w:val="50"/>
  </w:num>
  <w:num w:numId="22">
    <w:abstractNumId w:val="1"/>
  </w:num>
  <w:num w:numId="23">
    <w:abstractNumId w:val="37"/>
  </w:num>
  <w:num w:numId="24">
    <w:abstractNumId w:val="36"/>
  </w:num>
  <w:num w:numId="25">
    <w:abstractNumId w:val="48"/>
  </w:num>
  <w:num w:numId="26">
    <w:abstractNumId w:val="38"/>
  </w:num>
  <w:num w:numId="27">
    <w:abstractNumId w:val="34"/>
  </w:num>
  <w:num w:numId="28">
    <w:abstractNumId w:val="46"/>
  </w:num>
  <w:num w:numId="29">
    <w:abstractNumId w:val="44"/>
  </w:num>
  <w:num w:numId="30">
    <w:abstractNumId w:val="5"/>
  </w:num>
  <w:num w:numId="31">
    <w:abstractNumId w:val="19"/>
  </w:num>
  <w:num w:numId="32">
    <w:abstractNumId w:val="6"/>
  </w:num>
  <w:num w:numId="33">
    <w:abstractNumId w:val="15"/>
  </w:num>
  <w:num w:numId="34">
    <w:abstractNumId w:val="3"/>
  </w:num>
  <w:num w:numId="35">
    <w:abstractNumId w:val="39"/>
  </w:num>
  <w:num w:numId="36">
    <w:abstractNumId w:val="0"/>
  </w:num>
  <w:num w:numId="37">
    <w:abstractNumId w:val="18"/>
  </w:num>
  <w:num w:numId="38">
    <w:abstractNumId w:val="40"/>
  </w:num>
  <w:num w:numId="39">
    <w:abstractNumId w:val="13"/>
  </w:num>
  <w:num w:numId="40">
    <w:abstractNumId w:val="25"/>
  </w:num>
  <w:num w:numId="41">
    <w:abstractNumId w:val="43"/>
  </w:num>
  <w:num w:numId="42">
    <w:abstractNumId w:val="12"/>
  </w:num>
  <w:num w:numId="43">
    <w:abstractNumId w:val="33"/>
  </w:num>
  <w:num w:numId="4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7"/>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3"/>
  </w:num>
  <w:num w:numId="50">
    <w:abstractNumId w:val="41"/>
  </w:num>
  <w:num w:numId="51">
    <w:abstractNumId w:val="41"/>
  </w:num>
  <w:num w:numId="52">
    <w:abstractNumId w:val="41"/>
  </w:num>
  <w:num w:numId="53">
    <w:abstractNumId w:val="41"/>
  </w:num>
  <w:num w:numId="54">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1"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1"/>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E80B84"/>
    <w:rsid w:val="00000FBF"/>
    <w:rsid w:val="00001DB9"/>
    <w:rsid w:val="00002744"/>
    <w:rsid w:val="00002C31"/>
    <w:rsid w:val="00002DC5"/>
    <w:rsid w:val="000034E4"/>
    <w:rsid w:val="000038F1"/>
    <w:rsid w:val="00003A07"/>
    <w:rsid w:val="00003F81"/>
    <w:rsid w:val="000042C2"/>
    <w:rsid w:val="00004464"/>
    <w:rsid w:val="00006062"/>
    <w:rsid w:val="000079AF"/>
    <w:rsid w:val="00010AFC"/>
    <w:rsid w:val="00010DBB"/>
    <w:rsid w:val="00010E03"/>
    <w:rsid w:val="000114CD"/>
    <w:rsid w:val="00011F97"/>
    <w:rsid w:val="00012151"/>
    <w:rsid w:val="00012ED6"/>
    <w:rsid w:val="000134F2"/>
    <w:rsid w:val="00015D3B"/>
    <w:rsid w:val="00016545"/>
    <w:rsid w:val="000174E2"/>
    <w:rsid w:val="00017CFF"/>
    <w:rsid w:val="00021001"/>
    <w:rsid w:val="00021548"/>
    <w:rsid w:val="00021B3E"/>
    <w:rsid w:val="00021CAC"/>
    <w:rsid w:val="00022235"/>
    <w:rsid w:val="000229EB"/>
    <w:rsid w:val="00022CDC"/>
    <w:rsid w:val="00022E81"/>
    <w:rsid w:val="000235EF"/>
    <w:rsid w:val="0002442A"/>
    <w:rsid w:val="000246FD"/>
    <w:rsid w:val="00024805"/>
    <w:rsid w:val="00024979"/>
    <w:rsid w:val="00024DA4"/>
    <w:rsid w:val="00025A3E"/>
    <w:rsid w:val="00025A5C"/>
    <w:rsid w:val="000270F0"/>
    <w:rsid w:val="00027EA0"/>
    <w:rsid w:val="00030D18"/>
    <w:rsid w:val="00030DA6"/>
    <w:rsid w:val="000316D1"/>
    <w:rsid w:val="00032867"/>
    <w:rsid w:val="000328F6"/>
    <w:rsid w:val="000341D8"/>
    <w:rsid w:val="000342C2"/>
    <w:rsid w:val="00034AF2"/>
    <w:rsid w:val="00035231"/>
    <w:rsid w:val="00037ABF"/>
    <w:rsid w:val="00037BC5"/>
    <w:rsid w:val="00037D3E"/>
    <w:rsid w:val="000405CE"/>
    <w:rsid w:val="0004112B"/>
    <w:rsid w:val="000418B4"/>
    <w:rsid w:val="00042BE5"/>
    <w:rsid w:val="00042FA8"/>
    <w:rsid w:val="0004306C"/>
    <w:rsid w:val="00043315"/>
    <w:rsid w:val="00043E90"/>
    <w:rsid w:val="00044A06"/>
    <w:rsid w:val="00045180"/>
    <w:rsid w:val="00046C61"/>
    <w:rsid w:val="00046FE4"/>
    <w:rsid w:val="0004759D"/>
    <w:rsid w:val="000476DF"/>
    <w:rsid w:val="0005022E"/>
    <w:rsid w:val="000507AD"/>
    <w:rsid w:val="00050E42"/>
    <w:rsid w:val="0005116C"/>
    <w:rsid w:val="000519AA"/>
    <w:rsid w:val="00051CDF"/>
    <w:rsid w:val="000525F7"/>
    <w:rsid w:val="00052A10"/>
    <w:rsid w:val="00053514"/>
    <w:rsid w:val="000535AA"/>
    <w:rsid w:val="00053619"/>
    <w:rsid w:val="000541C4"/>
    <w:rsid w:val="00054E5F"/>
    <w:rsid w:val="0005770F"/>
    <w:rsid w:val="000579C5"/>
    <w:rsid w:val="00060B59"/>
    <w:rsid w:val="00061E55"/>
    <w:rsid w:val="00061FA1"/>
    <w:rsid w:val="00062E77"/>
    <w:rsid w:val="0006489E"/>
    <w:rsid w:val="00065467"/>
    <w:rsid w:val="00065699"/>
    <w:rsid w:val="000656D4"/>
    <w:rsid w:val="00065956"/>
    <w:rsid w:val="00065BD9"/>
    <w:rsid w:val="000671C8"/>
    <w:rsid w:val="000676D8"/>
    <w:rsid w:val="00067F54"/>
    <w:rsid w:val="00070967"/>
    <w:rsid w:val="00070DD3"/>
    <w:rsid w:val="00071EB8"/>
    <w:rsid w:val="00072AA8"/>
    <w:rsid w:val="00072AF4"/>
    <w:rsid w:val="00074212"/>
    <w:rsid w:val="0007446E"/>
    <w:rsid w:val="000744B8"/>
    <w:rsid w:val="000744E2"/>
    <w:rsid w:val="000749C9"/>
    <w:rsid w:val="00074F30"/>
    <w:rsid w:val="0007500B"/>
    <w:rsid w:val="00075699"/>
    <w:rsid w:val="00075D8C"/>
    <w:rsid w:val="000772D4"/>
    <w:rsid w:val="00077466"/>
    <w:rsid w:val="00080A14"/>
    <w:rsid w:val="00080A15"/>
    <w:rsid w:val="000813E2"/>
    <w:rsid w:val="000825F1"/>
    <w:rsid w:val="000826F4"/>
    <w:rsid w:val="00082D6C"/>
    <w:rsid w:val="0008300F"/>
    <w:rsid w:val="00084D49"/>
    <w:rsid w:val="00085AEB"/>
    <w:rsid w:val="000861DA"/>
    <w:rsid w:val="000863A9"/>
    <w:rsid w:val="00087DA3"/>
    <w:rsid w:val="00087DF7"/>
    <w:rsid w:val="00090082"/>
    <w:rsid w:val="00091685"/>
    <w:rsid w:val="00092413"/>
    <w:rsid w:val="00092911"/>
    <w:rsid w:val="000929C5"/>
    <w:rsid w:val="00092C85"/>
    <w:rsid w:val="00093452"/>
    <w:rsid w:val="00094148"/>
    <w:rsid w:val="0009481A"/>
    <w:rsid w:val="00094ACD"/>
    <w:rsid w:val="0009597B"/>
    <w:rsid w:val="00096D99"/>
    <w:rsid w:val="00096EC0"/>
    <w:rsid w:val="00097071"/>
    <w:rsid w:val="000976B1"/>
    <w:rsid w:val="0009795D"/>
    <w:rsid w:val="000A1728"/>
    <w:rsid w:val="000A1CCF"/>
    <w:rsid w:val="000A1EE0"/>
    <w:rsid w:val="000A2924"/>
    <w:rsid w:val="000A2994"/>
    <w:rsid w:val="000A3527"/>
    <w:rsid w:val="000A3C40"/>
    <w:rsid w:val="000A5FE8"/>
    <w:rsid w:val="000A618A"/>
    <w:rsid w:val="000A659C"/>
    <w:rsid w:val="000A6B33"/>
    <w:rsid w:val="000A7268"/>
    <w:rsid w:val="000A78D1"/>
    <w:rsid w:val="000B0DFD"/>
    <w:rsid w:val="000B1420"/>
    <w:rsid w:val="000B2372"/>
    <w:rsid w:val="000B2A62"/>
    <w:rsid w:val="000B2CB8"/>
    <w:rsid w:val="000B2D30"/>
    <w:rsid w:val="000B425B"/>
    <w:rsid w:val="000B56BF"/>
    <w:rsid w:val="000B5C2B"/>
    <w:rsid w:val="000B70A9"/>
    <w:rsid w:val="000B76BB"/>
    <w:rsid w:val="000B7E44"/>
    <w:rsid w:val="000C0C97"/>
    <w:rsid w:val="000C16B8"/>
    <w:rsid w:val="000C1F5A"/>
    <w:rsid w:val="000C2034"/>
    <w:rsid w:val="000C34C4"/>
    <w:rsid w:val="000C368E"/>
    <w:rsid w:val="000C3939"/>
    <w:rsid w:val="000C3EAF"/>
    <w:rsid w:val="000C5040"/>
    <w:rsid w:val="000C5101"/>
    <w:rsid w:val="000C5B64"/>
    <w:rsid w:val="000C7024"/>
    <w:rsid w:val="000C7240"/>
    <w:rsid w:val="000D00CE"/>
    <w:rsid w:val="000D1F9D"/>
    <w:rsid w:val="000D3054"/>
    <w:rsid w:val="000D33BA"/>
    <w:rsid w:val="000D5311"/>
    <w:rsid w:val="000D56D3"/>
    <w:rsid w:val="000D6150"/>
    <w:rsid w:val="000D69D3"/>
    <w:rsid w:val="000D78D1"/>
    <w:rsid w:val="000D7BF6"/>
    <w:rsid w:val="000E01CA"/>
    <w:rsid w:val="000E165B"/>
    <w:rsid w:val="000E2D76"/>
    <w:rsid w:val="000E6622"/>
    <w:rsid w:val="000E6686"/>
    <w:rsid w:val="000E6CDB"/>
    <w:rsid w:val="000E6F20"/>
    <w:rsid w:val="000E7737"/>
    <w:rsid w:val="000F0275"/>
    <w:rsid w:val="000F0FF0"/>
    <w:rsid w:val="000F0FFF"/>
    <w:rsid w:val="000F130F"/>
    <w:rsid w:val="000F1ADB"/>
    <w:rsid w:val="000F1CE8"/>
    <w:rsid w:val="000F1F79"/>
    <w:rsid w:val="000F2283"/>
    <w:rsid w:val="000F2764"/>
    <w:rsid w:val="000F2938"/>
    <w:rsid w:val="000F2CAA"/>
    <w:rsid w:val="000F34B4"/>
    <w:rsid w:val="000F36CD"/>
    <w:rsid w:val="000F57EE"/>
    <w:rsid w:val="000F6F6C"/>
    <w:rsid w:val="000F7437"/>
    <w:rsid w:val="001001D4"/>
    <w:rsid w:val="00100656"/>
    <w:rsid w:val="0010120A"/>
    <w:rsid w:val="00101554"/>
    <w:rsid w:val="00103805"/>
    <w:rsid w:val="00103B72"/>
    <w:rsid w:val="00103DB2"/>
    <w:rsid w:val="00104AE9"/>
    <w:rsid w:val="001050E8"/>
    <w:rsid w:val="00105EBE"/>
    <w:rsid w:val="001066C9"/>
    <w:rsid w:val="00106B2C"/>
    <w:rsid w:val="00106FCC"/>
    <w:rsid w:val="00107287"/>
    <w:rsid w:val="001074B4"/>
    <w:rsid w:val="0010753F"/>
    <w:rsid w:val="00111B5D"/>
    <w:rsid w:val="00111B8E"/>
    <w:rsid w:val="00113253"/>
    <w:rsid w:val="00113EF1"/>
    <w:rsid w:val="00113FB8"/>
    <w:rsid w:val="001143E8"/>
    <w:rsid w:val="0011467B"/>
    <w:rsid w:val="0011497E"/>
    <w:rsid w:val="00115418"/>
    <w:rsid w:val="00115533"/>
    <w:rsid w:val="00115EB2"/>
    <w:rsid w:val="0011689C"/>
    <w:rsid w:val="00116A98"/>
    <w:rsid w:val="001177A3"/>
    <w:rsid w:val="00120668"/>
    <w:rsid w:val="00121D1B"/>
    <w:rsid w:val="00122502"/>
    <w:rsid w:val="0012278D"/>
    <w:rsid w:val="00123E01"/>
    <w:rsid w:val="00124742"/>
    <w:rsid w:val="00124813"/>
    <w:rsid w:val="001250C5"/>
    <w:rsid w:val="00125487"/>
    <w:rsid w:val="00125908"/>
    <w:rsid w:val="00125F33"/>
    <w:rsid w:val="00126300"/>
    <w:rsid w:val="00126A06"/>
    <w:rsid w:val="00126BDC"/>
    <w:rsid w:val="00126E97"/>
    <w:rsid w:val="001301FA"/>
    <w:rsid w:val="00131208"/>
    <w:rsid w:val="001314C1"/>
    <w:rsid w:val="001316CF"/>
    <w:rsid w:val="00132C63"/>
    <w:rsid w:val="00133276"/>
    <w:rsid w:val="0013353F"/>
    <w:rsid w:val="00134729"/>
    <w:rsid w:val="00135279"/>
    <w:rsid w:val="0013595A"/>
    <w:rsid w:val="00135DBF"/>
    <w:rsid w:val="00135E42"/>
    <w:rsid w:val="00136667"/>
    <w:rsid w:val="001371BB"/>
    <w:rsid w:val="00137763"/>
    <w:rsid w:val="00137BCD"/>
    <w:rsid w:val="001410CC"/>
    <w:rsid w:val="0014168C"/>
    <w:rsid w:val="0014232F"/>
    <w:rsid w:val="001425A4"/>
    <w:rsid w:val="00142691"/>
    <w:rsid w:val="00142F14"/>
    <w:rsid w:val="00143DDF"/>
    <w:rsid w:val="00143EC2"/>
    <w:rsid w:val="00144D3C"/>
    <w:rsid w:val="00145505"/>
    <w:rsid w:val="00145763"/>
    <w:rsid w:val="001458DA"/>
    <w:rsid w:val="00145F90"/>
    <w:rsid w:val="001460B9"/>
    <w:rsid w:val="001462D3"/>
    <w:rsid w:val="00146877"/>
    <w:rsid w:val="00146B4C"/>
    <w:rsid w:val="00147FBF"/>
    <w:rsid w:val="001514FD"/>
    <w:rsid w:val="00151599"/>
    <w:rsid w:val="00151906"/>
    <w:rsid w:val="00151A1A"/>
    <w:rsid w:val="00151B44"/>
    <w:rsid w:val="00151BEF"/>
    <w:rsid w:val="0015264A"/>
    <w:rsid w:val="00152B55"/>
    <w:rsid w:val="00152BE7"/>
    <w:rsid w:val="001530C6"/>
    <w:rsid w:val="00153965"/>
    <w:rsid w:val="00153C5D"/>
    <w:rsid w:val="00154C63"/>
    <w:rsid w:val="0015549B"/>
    <w:rsid w:val="00156952"/>
    <w:rsid w:val="001569E6"/>
    <w:rsid w:val="001573C7"/>
    <w:rsid w:val="001618D1"/>
    <w:rsid w:val="001626EA"/>
    <w:rsid w:val="0016283E"/>
    <w:rsid w:val="0016385D"/>
    <w:rsid w:val="00164BC0"/>
    <w:rsid w:val="00165499"/>
    <w:rsid w:val="00166356"/>
    <w:rsid w:val="0016637A"/>
    <w:rsid w:val="001672BF"/>
    <w:rsid w:val="00167B66"/>
    <w:rsid w:val="0017011D"/>
    <w:rsid w:val="00171002"/>
    <w:rsid w:val="0017122F"/>
    <w:rsid w:val="001715DB"/>
    <w:rsid w:val="001716FF"/>
    <w:rsid w:val="001729D9"/>
    <w:rsid w:val="00172CC0"/>
    <w:rsid w:val="0017408E"/>
    <w:rsid w:val="001756B8"/>
    <w:rsid w:val="001763F1"/>
    <w:rsid w:val="00176AFA"/>
    <w:rsid w:val="00177B0A"/>
    <w:rsid w:val="00180465"/>
    <w:rsid w:val="00180D98"/>
    <w:rsid w:val="0018145F"/>
    <w:rsid w:val="0018528A"/>
    <w:rsid w:val="001855A2"/>
    <w:rsid w:val="00185965"/>
    <w:rsid w:val="00185ABD"/>
    <w:rsid w:val="00185C8B"/>
    <w:rsid w:val="00186363"/>
    <w:rsid w:val="001863C8"/>
    <w:rsid w:val="00186C0B"/>
    <w:rsid w:val="00187FBA"/>
    <w:rsid w:val="0019027D"/>
    <w:rsid w:val="001905CB"/>
    <w:rsid w:val="00190B6E"/>
    <w:rsid w:val="00191905"/>
    <w:rsid w:val="00191F5F"/>
    <w:rsid w:val="001929CE"/>
    <w:rsid w:val="00192E43"/>
    <w:rsid w:val="00192F62"/>
    <w:rsid w:val="001943CF"/>
    <w:rsid w:val="00194986"/>
    <w:rsid w:val="00194D82"/>
    <w:rsid w:val="001951FA"/>
    <w:rsid w:val="00195C56"/>
    <w:rsid w:val="00195EFD"/>
    <w:rsid w:val="00195FE8"/>
    <w:rsid w:val="00196297"/>
    <w:rsid w:val="0019630E"/>
    <w:rsid w:val="001965A1"/>
    <w:rsid w:val="001968D4"/>
    <w:rsid w:val="0019696B"/>
    <w:rsid w:val="00197341"/>
    <w:rsid w:val="00197A5A"/>
    <w:rsid w:val="00197BA4"/>
    <w:rsid w:val="001A0811"/>
    <w:rsid w:val="001A2181"/>
    <w:rsid w:val="001A242C"/>
    <w:rsid w:val="001A253A"/>
    <w:rsid w:val="001A2B10"/>
    <w:rsid w:val="001A2BB0"/>
    <w:rsid w:val="001A3547"/>
    <w:rsid w:val="001A3634"/>
    <w:rsid w:val="001A4A13"/>
    <w:rsid w:val="001A5346"/>
    <w:rsid w:val="001A57C2"/>
    <w:rsid w:val="001A73B2"/>
    <w:rsid w:val="001A7ABC"/>
    <w:rsid w:val="001B1C04"/>
    <w:rsid w:val="001B200B"/>
    <w:rsid w:val="001B2790"/>
    <w:rsid w:val="001B3B0C"/>
    <w:rsid w:val="001B3D63"/>
    <w:rsid w:val="001B48A0"/>
    <w:rsid w:val="001B4CA7"/>
    <w:rsid w:val="001B524C"/>
    <w:rsid w:val="001B5838"/>
    <w:rsid w:val="001B5F9B"/>
    <w:rsid w:val="001B6AC1"/>
    <w:rsid w:val="001B6C5C"/>
    <w:rsid w:val="001B6E2C"/>
    <w:rsid w:val="001C0338"/>
    <w:rsid w:val="001C0B0F"/>
    <w:rsid w:val="001C0B1F"/>
    <w:rsid w:val="001C10D5"/>
    <w:rsid w:val="001C44F3"/>
    <w:rsid w:val="001C4788"/>
    <w:rsid w:val="001C4F64"/>
    <w:rsid w:val="001C5240"/>
    <w:rsid w:val="001C5580"/>
    <w:rsid w:val="001C7339"/>
    <w:rsid w:val="001C7ADC"/>
    <w:rsid w:val="001D063A"/>
    <w:rsid w:val="001D064B"/>
    <w:rsid w:val="001D06DB"/>
    <w:rsid w:val="001D283F"/>
    <w:rsid w:val="001D2C0F"/>
    <w:rsid w:val="001D3268"/>
    <w:rsid w:val="001D4188"/>
    <w:rsid w:val="001D47E8"/>
    <w:rsid w:val="001D4F89"/>
    <w:rsid w:val="001D51E4"/>
    <w:rsid w:val="001D5564"/>
    <w:rsid w:val="001D5A10"/>
    <w:rsid w:val="001D601F"/>
    <w:rsid w:val="001D6862"/>
    <w:rsid w:val="001D6B72"/>
    <w:rsid w:val="001D76B3"/>
    <w:rsid w:val="001D790F"/>
    <w:rsid w:val="001D798F"/>
    <w:rsid w:val="001E03A7"/>
    <w:rsid w:val="001E0AE7"/>
    <w:rsid w:val="001E14F2"/>
    <w:rsid w:val="001E1929"/>
    <w:rsid w:val="001E2389"/>
    <w:rsid w:val="001E2AC8"/>
    <w:rsid w:val="001E3014"/>
    <w:rsid w:val="001E314A"/>
    <w:rsid w:val="001E33FC"/>
    <w:rsid w:val="001E34FB"/>
    <w:rsid w:val="001E3794"/>
    <w:rsid w:val="001E4989"/>
    <w:rsid w:val="001E4F83"/>
    <w:rsid w:val="001E53DD"/>
    <w:rsid w:val="001E58FB"/>
    <w:rsid w:val="001E5C3B"/>
    <w:rsid w:val="001E5EBB"/>
    <w:rsid w:val="001E6836"/>
    <w:rsid w:val="001E6AE7"/>
    <w:rsid w:val="001E799D"/>
    <w:rsid w:val="001E7C41"/>
    <w:rsid w:val="001F0004"/>
    <w:rsid w:val="001F0500"/>
    <w:rsid w:val="001F0BAA"/>
    <w:rsid w:val="001F0E12"/>
    <w:rsid w:val="001F1497"/>
    <w:rsid w:val="001F28F8"/>
    <w:rsid w:val="001F2A8D"/>
    <w:rsid w:val="001F2BAA"/>
    <w:rsid w:val="001F2C23"/>
    <w:rsid w:val="001F2D6D"/>
    <w:rsid w:val="001F2DD6"/>
    <w:rsid w:val="001F2F95"/>
    <w:rsid w:val="001F34FC"/>
    <w:rsid w:val="001F44C1"/>
    <w:rsid w:val="001F4F02"/>
    <w:rsid w:val="001F4FB4"/>
    <w:rsid w:val="001F60B4"/>
    <w:rsid w:val="001F7A25"/>
    <w:rsid w:val="00202028"/>
    <w:rsid w:val="00202163"/>
    <w:rsid w:val="00203018"/>
    <w:rsid w:val="0020368D"/>
    <w:rsid w:val="00203849"/>
    <w:rsid w:val="00203D89"/>
    <w:rsid w:val="00205603"/>
    <w:rsid w:val="00206057"/>
    <w:rsid w:val="002064F8"/>
    <w:rsid w:val="002070D2"/>
    <w:rsid w:val="002073C0"/>
    <w:rsid w:val="00207D29"/>
    <w:rsid w:val="002101EF"/>
    <w:rsid w:val="002108A9"/>
    <w:rsid w:val="0021123F"/>
    <w:rsid w:val="00211BA0"/>
    <w:rsid w:val="00211F63"/>
    <w:rsid w:val="002127E6"/>
    <w:rsid w:val="0021370D"/>
    <w:rsid w:val="00213AFC"/>
    <w:rsid w:val="00213D5A"/>
    <w:rsid w:val="00213E23"/>
    <w:rsid w:val="00213E60"/>
    <w:rsid w:val="0021582A"/>
    <w:rsid w:val="00216180"/>
    <w:rsid w:val="002161D5"/>
    <w:rsid w:val="0021647B"/>
    <w:rsid w:val="0021673F"/>
    <w:rsid w:val="00216A2A"/>
    <w:rsid w:val="00216AC7"/>
    <w:rsid w:val="002170CB"/>
    <w:rsid w:val="00217886"/>
    <w:rsid w:val="0022120D"/>
    <w:rsid w:val="0022260A"/>
    <w:rsid w:val="00222A87"/>
    <w:rsid w:val="002235C3"/>
    <w:rsid w:val="002239B3"/>
    <w:rsid w:val="00223FE9"/>
    <w:rsid w:val="0022411E"/>
    <w:rsid w:val="0022457E"/>
    <w:rsid w:val="00225495"/>
    <w:rsid w:val="002258ED"/>
    <w:rsid w:val="00226657"/>
    <w:rsid w:val="00227224"/>
    <w:rsid w:val="0022739A"/>
    <w:rsid w:val="00230B68"/>
    <w:rsid w:val="0023120F"/>
    <w:rsid w:val="00231D70"/>
    <w:rsid w:val="00231F65"/>
    <w:rsid w:val="00232291"/>
    <w:rsid w:val="002325EF"/>
    <w:rsid w:val="00232ECA"/>
    <w:rsid w:val="00232EEF"/>
    <w:rsid w:val="0023345A"/>
    <w:rsid w:val="00233670"/>
    <w:rsid w:val="00234185"/>
    <w:rsid w:val="00234692"/>
    <w:rsid w:val="00234FD0"/>
    <w:rsid w:val="002365DE"/>
    <w:rsid w:val="00237618"/>
    <w:rsid w:val="0024052B"/>
    <w:rsid w:val="00240DCC"/>
    <w:rsid w:val="002410CD"/>
    <w:rsid w:val="00241E58"/>
    <w:rsid w:val="0024207A"/>
    <w:rsid w:val="002429BB"/>
    <w:rsid w:val="00243865"/>
    <w:rsid w:val="00243D62"/>
    <w:rsid w:val="00243DD9"/>
    <w:rsid w:val="002457D1"/>
    <w:rsid w:val="00245F43"/>
    <w:rsid w:val="00246596"/>
    <w:rsid w:val="00246A3B"/>
    <w:rsid w:val="00247123"/>
    <w:rsid w:val="0024763E"/>
    <w:rsid w:val="00247964"/>
    <w:rsid w:val="00247C2B"/>
    <w:rsid w:val="00247F62"/>
    <w:rsid w:val="00250444"/>
    <w:rsid w:val="00250540"/>
    <w:rsid w:val="0025084E"/>
    <w:rsid w:val="00250873"/>
    <w:rsid w:val="00251A6A"/>
    <w:rsid w:val="002521D2"/>
    <w:rsid w:val="0025246F"/>
    <w:rsid w:val="002547A1"/>
    <w:rsid w:val="00255623"/>
    <w:rsid w:val="00256456"/>
    <w:rsid w:val="00256A8C"/>
    <w:rsid w:val="00256C5E"/>
    <w:rsid w:val="00256D69"/>
    <w:rsid w:val="00256E28"/>
    <w:rsid w:val="002575E4"/>
    <w:rsid w:val="00257C96"/>
    <w:rsid w:val="00257D7E"/>
    <w:rsid w:val="00260027"/>
    <w:rsid w:val="002608C9"/>
    <w:rsid w:val="00260FAE"/>
    <w:rsid w:val="00261803"/>
    <w:rsid w:val="00261DD7"/>
    <w:rsid w:val="002622F5"/>
    <w:rsid w:val="00262C0B"/>
    <w:rsid w:val="00262D11"/>
    <w:rsid w:val="00262DC6"/>
    <w:rsid w:val="00263261"/>
    <w:rsid w:val="00264098"/>
    <w:rsid w:val="002640AA"/>
    <w:rsid w:val="002643E7"/>
    <w:rsid w:val="0026474E"/>
    <w:rsid w:val="002653A4"/>
    <w:rsid w:val="00265C65"/>
    <w:rsid w:val="00266FB0"/>
    <w:rsid w:val="002679FB"/>
    <w:rsid w:val="00270482"/>
    <w:rsid w:val="00270629"/>
    <w:rsid w:val="00270CD0"/>
    <w:rsid w:val="0027120F"/>
    <w:rsid w:val="0027280C"/>
    <w:rsid w:val="00272AAC"/>
    <w:rsid w:val="0027300C"/>
    <w:rsid w:val="00273734"/>
    <w:rsid w:val="00274DC0"/>
    <w:rsid w:val="00275432"/>
    <w:rsid w:val="002757BA"/>
    <w:rsid w:val="00275F4C"/>
    <w:rsid w:val="00275FAF"/>
    <w:rsid w:val="00276252"/>
    <w:rsid w:val="00276526"/>
    <w:rsid w:val="002804B9"/>
    <w:rsid w:val="002805FD"/>
    <w:rsid w:val="00281386"/>
    <w:rsid w:val="002819A3"/>
    <w:rsid w:val="00281D64"/>
    <w:rsid w:val="002820DC"/>
    <w:rsid w:val="00282513"/>
    <w:rsid w:val="0028458A"/>
    <w:rsid w:val="002850E0"/>
    <w:rsid w:val="002851AA"/>
    <w:rsid w:val="002854B3"/>
    <w:rsid w:val="0028552B"/>
    <w:rsid w:val="00285880"/>
    <w:rsid w:val="00285CD8"/>
    <w:rsid w:val="00285E2F"/>
    <w:rsid w:val="00285E76"/>
    <w:rsid w:val="00286212"/>
    <w:rsid w:val="00286573"/>
    <w:rsid w:val="00287069"/>
    <w:rsid w:val="002874FD"/>
    <w:rsid w:val="00290386"/>
    <w:rsid w:val="00290AB7"/>
    <w:rsid w:val="00290E83"/>
    <w:rsid w:val="0029198E"/>
    <w:rsid w:val="00291B55"/>
    <w:rsid w:val="00292197"/>
    <w:rsid w:val="002921C0"/>
    <w:rsid w:val="002921F6"/>
    <w:rsid w:val="00292482"/>
    <w:rsid w:val="00292AA4"/>
    <w:rsid w:val="00293298"/>
    <w:rsid w:val="00293426"/>
    <w:rsid w:val="002941D1"/>
    <w:rsid w:val="00294877"/>
    <w:rsid w:val="0029528E"/>
    <w:rsid w:val="00295485"/>
    <w:rsid w:val="00295D45"/>
    <w:rsid w:val="00295F02"/>
    <w:rsid w:val="00296248"/>
    <w:rsid w:val="00297272"/>
    <w:rsid w:val="00297A45"/>
    <w:rsid w:val="00297A83"/>
    <w:rsid w:val="002A08D1"/>
    <w:rsid w:val="002A0FE6"/>
    <w:rsid w:val="002A1863"/>
    <w:rsid w:val="002A3404"/>
    <w:rsid w:val="002A34D7"/>
    <w:rsid w:val="002A3DFD"/>
    <w:rsid w:val="002A3E89"/>
    <w:rsid w:val="002A4233"/>
    <w:rsid w:val="002A4A4B"/>
    <w:rsid w:val="002A4AB8"/>
    <w:rsid w:val="002A4BA2"/>
    <w:rsid w:val="002A4C79"/>
    <w:rsid w:val="002A5744"/>
    <w:rsid w:val="002A5AC3"/>
    <w:rsid w:val="002A725F"/>
    <w:rsid w:val="002B040B"/>
    <w:rsid w:val="002B0445"/>
    <w:rsid w:val="002B1B8F"/>
    <w:rsid w:val="002B1D81"/>
    <w:rsid w:val="002B256B"/>
    <w:rsid w:val="002B2664"/>
    <w:rsid w:val="002B45B9"/>
    <w:rsid w:val="002B495A"/>
    <w:rsid w:val="002B53ED"/>
    <w:rsid w:val="002B6023"/>
    <w:rsid w:val="002B6307"/>
    <w:rsid w:val="002B6482"/>
    <w:rsid w:val="002B670D"/>
    <w:rsid w:val="002B69E0"/>
    <w:rsid w:val="002B79F3"/>
    <w:rsid w:val="002B7B48"/>
    <w:rsid w:val="002C0B88"/>
    <w:rsid w:val="002C258E"/>
    <w:rsid w:val="002C3D79"/>
    <w:rsid w:val="002C406F"/>
    <w:rsid w:val="002C4896"/>
    <w:rsid w:val="002C5698"/>
    <w:rsid w:val="002C65D9"/>
    <w:rsid w:val="002C672F"/>
    <w:rsid w:val="002C7011"/>
    <w:rsid w:val="002C7C00"/>
    <w:rsid w:val="002D0F60"/>
    <w:rsid w:val="002D1DAD"/>
    <w:rsid w:val="002D1DF6"/>
    <w:rsid w:val="002D1F7E"/>
    <w:rsid w:val="002D24BF"/>
    <w:rsid w:val="002D2E73"/>
    <w:rsid w:val="002D30D4"/>
    <w:rsid w:val="002D38C3"/>
    <w:rsid w:val="002D3BE7"/>
    <w:rsid w:val="002D474D"/>
    <w:rsid w:val="002D48FB"/>
    <w:rsid w:val="002D4915"/>
    <w:rsid w:val="002D599B"/>
    <w:rsid w:val="002D6BA6"/>
    <w:rsid w:val="002D6D49"/>
    <w:rsid w:val="002D6E5F"/>
    <w:rsid w:val="002D72B5"/>
    <w:rsid w:val="002D78A4"/>
    <w:rsid w:val="002E0427"/>
    <w:rsid w:val="002E169E"/>
    <w:rsid w:val="002E17B9"/>
    <w:rsid w:val="002E1B61"/>
    <w:rsid w:val="002E1DA0"/>
    <w:rsid w:val="002E30CF"/>
    <w:rsid w:val="002E3819"/>
    <w:rsid w:val="002E4426"/>
    <w:rsid w:val="002E52C6"/>
    <w:rsid w:val="002E5706"/>
    <w:rsid w:val="002E5E69"/>
    <w:rsid w:val="002E6742"/>
    <w:rsid w:val="002E6E2E"/>
    <w:rsid w:val="002F0795"/>
    <w:rsid w:val="002F0DDE"/>
    <w:rsid w:val="002F1914"/>
    <w:rsid w:val="002F1D1D"/>
    <w:rsid w:val="002F1D8B"/>
    <w:rsid w:val="002F2279"/>
    <w:rsid w:val="002F321A"/>
    <w:rsid w:val="002F321C"/>
    <w:rsid w:val="002F36CF"/>
    <w:rsid w:val="002F4236"/>
    <w:rsid w:val="002F42AC"/>
    <w:rsid w:val="002F43E6"/>
    <w:rsid w:val="002F503C"/>
    <w:rsid w:val="002F519E"/>
    <w:rsid w:val="002F617D"/>
    <w:rsid w:val="002F64FC"/>
    <w:rsid w:val="002F7871"/>
    <w:rsid w:val="002F79AD"/>
    <w:rsid w:val="002F7BDC"/>
    <w:rsid w:val="003003C1"/>
    <w:rsid w:val="00301D9E"/>
    <w:rsid w:val="0030206A"/>
    <w:rsid w:val="00303BE7"/>
    <w:rsid w:val="00304446"/>
    <w:rsid w:val="00304698"/>
    <w:rsid w:val="00305D74"/>
    <w:rsid w:val="00305E48"/>
    <w:rsid w:val="00306B5F"/>
    <w:rsid w:val="00307507"/>
    <w:rsid w:val="00310330"/>
    <w:rsid w:val="0031059C"/>
    <w:rsid w:val="00310AB9"/>
    <w:rsid w:val="00311EE5"/>
    <w:rsid w:val="0031223B"/>
    <w:rsid w:val="003136B5"/>
    <w:rsid w:val="003138B0"/>
    <w:rsid w:val="00313F91"/>
    <w:rsid w:val="003143E6"/>
    <w:rsid w:val="00314468"/>
    <w:rsid w:val="0031638F"/>
    <w:rsid w:val="0031665A"/>
    <w:rsid w:val="00316D1D"/>
    <w:rsid w:val="003171E2"/>
    <w:rsid w:val="003205CE"/>
    <w:rsid w:val="00320BAE"/>
    <w:rsid w:val="00320C7E"/>
    <w:rsid w:val="00322F04"/>
    <w:rsid w:val="0032313E"/>
    <w:rsid w:val="0032398E"/>
    <w:rsid w:val="00325F6D"/>
    <w:rsid w:val="00325FE9"/>
    <w:rsid w:val="0032634A"/>
    <w:rsid w:val="00326830"/>
    <w:rsid w:val="00327716"/>
    <w:rsid w:val="00330C65"/>
    <w:rsid w:val="00331823"/>
    <w:rsid w:val="00332770"/>
    <w:rsid w:val="00333250"/>
    <w:rsid w:val="0033412B"/>
    <w:rsid w:val="00334384"/>
    <w:rsid w:val="003343EF"/>
    <w:rsid w:val="00334DAD"/>
    <w:rsid w:val="00337227"/>
    <w:rsid w:val="00340603"/>
    <w:rsid w:val="00341A3A"/>
    <w:rsid w:val="00341BA1"/>
    <w:rsid w:val="003421C6"/>
    <w:rsid w:val="00343CCA"/>
    <w:rsid w:val="00343ED0"/>
    <w:rsid w:val="00344B77"/>
    <w:rsid w:val="0034507F"/>
    <w:rsid w:val="00345A2A"/>
    <w:rsid w:val="00346042"/>
    <w:rsid w:val="00346436"/>
    <w:rsid w:val="003469DB"/>
    <w:rsid w:val="00346CCB"/>
    <w:rsid w:val="00347BD9"/>
    <w:rsid w:val="003501F1"/>
    <w:rsid w:val="003504B6"/>
    <w:rsid w:val="0035093B"/>
    <w:rsid w:val="0035163B"/>
    <w:rsid w:val="00351CEE"/>
    <w:rsid w:val="003521D8"/>
    <w:rsid w:val="0035266B"/>
    <w:rsid w:val="0035324C"/>
    <w:rsid w:val="00353F0A"/>
    <w:rsid w:val="003541B3"/>
    <w:rsid w:val="003549C1"/>
    <w:rsid w:val="00354C81"/>
    <w:rsid w:val="00354D76"/>
    <w:rsid w:val="00360143"/>
    <w:rsid w:val="003606CD"/>
    <w:rsid w:val="00360B10"/>
    <w:rsid w:val="003613CB"/>
    <w:rsid w:val="00362AA2"/>
    <w:rsid w:val="00362B05"/>
    <w:rsid w:val="003638F4"/>
    <w:rsid w:val="003659C8"/>
    <w:rsid w:val="00366791"/>
    <w:rsid w:val="00371CD5"/>
    <w:rsid w:val="00371E68"/>
    <w:rsid w:val="003720B5"/>
    <w:rsid w:val="003731B7"/>
    <w:rsid w:val="00374FFF"/>
    <w:rsid w:val="00375401"/>
    <w:rsid w:val="00376DA9"/>
    <w:rsid w:val="003770D2"/>
    <w:rsid w:val="003779E5"/>
    <w:rsid w:val="003817F1"/>
    <w:rsid w:val="003825C0"/>
    <w:rsid w:val="00382F9C"/>
    <w:rsid w:val="003830C3"/>
    <w:rsid w:val="00383534"/>
    <w:rsid w:val="003835A7"/>
    <w:rsid w:val="00384ECD"/>
    <w:rsid w:val="003854BB"/>
    <w:rsid w:val="00385F2B"/>
    <w:rsid w:val="00385F77"/>
    <w:rsid w:val="00386635"/>
    <w:rsid w:val="00386C34"/>
    <w:rsid w:val="00387A57"/>
    <w:rsid w:val="003904C8"/>
    <w:rsid w:val="00390693"/>
    <w:rsid w:val="00390A75"/>
    <w:rsid w:val="00393B1A"/>
    <w:rsid w:val="00394AE9"/>
    <w:rsid w:val="003A041C"/>
    <w:rsid w:val="003A2223"/>
    <w:rsid w:val="003A29DC"/>
    <w:rsid w:val="003A2C66"/>
    <w:rsid w:val="003A395A"/>
    <w:rsid w:val="003A4144"/>
    <w:rsid w:val="003A453C"/>
    <w:rsid w:val="003A4B79"/>
    <w:rsid w:val="003A52D6"/>
    <w:rsid w:val="003A59F3"/>
    <w:rsid w:val="003A6341"/>
    <w:rsid w:val="003A6D78"/>
    <w:rsid w:val="003A6EE5"/>
    <w:rsid w:val="003A711A"/>
    <w:rsid w:val="003A71C9"/>
    <w:rsid w:val="003B098D"/>
    <w:rsid w:val="003B10EF"/>
    <w:rsid w:val="003B16D2"/>
    <w:rsid w:val="003B1EA3"/>
    <w:rsid w:val="003B1ED3"/>
    <w:rsid w:val="003B316D"/>
    <w:rsid w:val="003B4149"/>
    <w:rsid w:val="003B49D3"/>
    <w:rsid w:val="003B4A5D"/>
    <w:rsid w:val="003B57E0"/>
    <w:rsid w:val="003B6081"/>
    <w:rsid w:val="003B7361"/>
    <w:rsid w:val="003C0053"/>
    <w:rsid w:val="003C07F3"/>
    <w:rsid w:val="003C105F"/>
    <w:rsid w:val="003C21BA"/>
    <w:rsid w:val="003C235C"/>
    <w:rsid w:val="003C351D"/>
    <w:rsid w:val="003C3DD9"/>
    <w:rsid w:val="003C5624"/>
    <w:rsid w:val="003C57B8"/>
    <w:rsid w:val="003C5813"/>
    <w:rsid w:val="003C5A04"/>
    <w:rsid w:val="003C73D0"/>
    <w:rsid w:val="003D0736"/>
    <w:rsid w:val="003D0802"/>
    <w:rsid w:val="003D09D6"/>
    <w:rsid w:val="003D0C3D"/>
    <w:rsid w:val="003D0E5D"/>
    <w:rsid w:val="003D0E9F"/>
    <w:rsid w:val="003D13C0"/>
    <w:rsid w:val="003D181D"/>
    <w:rsid w:val="003D2073"/>
    <w:rsid w:val="003D265C"/>
    <w:rsid w:val="003D2847"/>
    <w:rsid w:val="003D2F6F"/>
    <w:rsid w:val="003D3C0D"/>
    <w:rsid w:val="003D3D39"/>
    <w:rsid w:val="003D4848"/>
    <w:rsid w:val="003D4DC7"/>
    <w:rsid w:val="003D4E16"/>
    <w:rsid w:val="003D680D"/>
    <w:rsid w:val="003D6A51"/>
    <w:rsid w:val="003D7A11"/>
    <w:rsid w:val="003E04DB"/>
    <w:rsid w:val="003E0D7A"/>
    <w:rsid w:val="003E2149"/>
    <w:rsid w:val="003E2F81"/>
    <w:rsid w:val="003E2FF2"/>
    <w:rsid w:val="003E3D19"/>
    <w:rsid w:val="003E3ED4"/>
    <w:rsid w:val="003E440D"/>
    <w:rsid w:val="003E4BD2"/>
    <w:rsid w:val="003E4C26"/>
    <w:rsid w:val="003E4E03"/>
    <w:rsid w:val="003E52B4"/>
    <w:rsid w:val="003E5B30"/>
    <w:rsid w:val="003E60DD"/>
    <w:rsid w:val="003E6B81"/>
    <w:rsid w:val="003E6E96"/>
    <w:rsid w:val="003E75A3"/>
    <w:rsid w:val="003E78B7"/>
    <w:rsid w:val="003E7C03"/>
    <w:rsid w:val="003E7E2E"/>
    <w:rsid w:val="003F024C"/>
    <w:rsid w:val="003F0F2B"/>
    <w:rsid w:val="003F2EE7"/>
    <w:rsid w:val="003F30A6"/>
    <w:rsid w:val="003F3BB1"/>
    <w:rsid w:val="003F3E08"/>
    <w:rsid w:val="003F40D5"/>
    <w:rsid w:val="003F4CEA"/>
    <w:rsid w:val="003F5078"/>
    <w:rsid w:val="003F50DD"/>
    <w:rsid w:val="003F557E"/>
    <w:rsid w:val="003F595B"/>
    <w:rsid w:val="004011BF"/>
    <w:rsid w:val="00401708"/>
    <w:rsid w:val="00401D06"/>
    <w:rsid w:val="0040212E"/>
    <w:rsid w:val="00402447"/>
    <w:rsid w:val="004027F9"/>
    <w:rsid w:val="00402E76"/>
    <w:rsid w:val="00402F41"/>
    <w:rsid w:val="004034D8"/>
    <w:rsid w:val="00404A09"/>
    <w:rsid w:val="00404B37"/>
    <w:rsid w:val="00405378"/>
    <w:rsid w:val="00406CF4"/>
    <w:rsid w:val="0040718D"/>
    <w:rsid w:val="004076FE"/>
    <w:rsid w:val="004106C4"/>
    <w:rsid w:val="00410702"/>
    <w:rsid w:val="004107AF"/>
    <w:rsid w:val="00410875"/>
    <w:rsid w:val="0041089C"/>
    <w:rsid w:val="0041093D"/>
    <w:rsid w:val="00410E08"/>
    <w:rsid w:val="00411071"/>
    <w:rsid w:val="00411838"/>
    <w:rsid w:val="00413654"/>
    <w:rsid w:val="0041394F"/>
    <w:rsid w:val="00413BA8"/>
    <w:rsid w:val="00413C9A"/>
    <w:rsid w:val="00414267"/>
    <w:rsid w:val="00415DFF"/>
    <w:rsid w:val="00415FC9"/>
    <w:rsid w:val="0041690C"/>
    <w:rsid w:val="00417084"/>
    <w:rsid w:val="00417CB2"/>
    <w:rsid w:val="00417EB4"/>
    <w:rsid w:val="004200BC"/>
    <w:rsid w:val="004208F8"/>
    <w:rsid w:val="00422208"/>
    <w:rsid w:val="0042316A"/>
    <w:rsid w:val="004239C8"/>
    <w:rsid w:val="00424C77"/>
    <w:rsid w:val="00425BC1"/>
    <w:rsid w:val="00425E2B"/>
    <w:rsid w:val="0042737C"/>
    <w:rsid w:val="00427C5E"/>
    <w:rsid w:val="00430114"/>
    <w:rsid w:val="004306BD"/>
    <w:rsid w:val="00430725"/>
    <w:rsid w:val="00431F2D"/>
    <w:rsid w:val="00432AC1"/>
    <w:rsid w:val="00432CF2"/>
    <w:rsid w:val="004334F0"/>
    <w:rsid w:val="00433533"/>
    <w:rsid w:val="004338AC"/>
    <w:rsid w:val="0043437D"/>
    <w:rsid w:val="00434624"/>
    <w:rsid w:val="00434758"/>
    <w:rsid w:val="00434F32"/>
    <w:rsid w:val="00434F8E"/>
    <w:rsid w:val="004352BF"/>
    <w:rsid w:val="004362E7"/>
    <w:rsid w:val="00440282"/>
    <w:rsid w:val="0044356E"/>
    <w:rsid w:val="004435BD"/>
    <w:rsid w:val="0044595E"/>
    <w:rsid w:val="0044599B"/>
    <w:rsid w:val="00445BF8"/>
    <w:rsid w:val="0044620E"/>
    <w:rsid w:val="0044680D"/>
    <w:rsid w:val="004468EF"/>
    <w:rsid w:val="00446DFE"/>
    <w:rsid w:val="00447C32"/>
    <w:rsid w:val="00447D4C"/>
    <w:rsid w:val="00450464"/>
    <w:rsid w:val="00451136"/>
    <w:rsid w:val="00451273"/>
    <w:rsid w:val="0045128C"/>
    <w:rsid w:val="00451697"/>
    <w:rsid w:val="00451704"/>
    <w:rsid w:val="00451E1D"/>
    <w:rsid w:val="00452645"/>
    <w:rsid w:val="00452A77"/>
    <w:rsid w:val="00452EA9"/>
    <w:rsid w:val="004564D7"/>
    <w:rsid w:val="00456DC0"/>
    <w:rsid w:val="00456ED2"/>
    <w:rsid w:val="004570B0"/>
    <w:rsid w:val="00457197"/>
    <w:rsid w:val="00457558"/>
    <w:rsid w:val="004575EE"/>
    <w:rsid w:val="004576CD"/>
    <w:rsid w:val="00457D5F"/>
    <w:rsid w:val="00460E12"/>
    <w:rsid w:val="00461577"/>
    <w:rsid w:val="004622CF"/>
    <w:rsid w:val="004622DC"/>
    <w:rsid w:val="0046276B"/>
    <w:rsid w:val="00462D39"/>
    <w:rsid w:val="00464125"/>
    <w:rsid w:val="0046470D"/>
    <w:rsid w:val="00465E89"/>
    <w:rsid w:val="00466591"/>
    <w:rsid w:val="00467746"/>
    <w:rsid w:val="004677DC"/>
    <w:rsid w:val="00470135"/>
    <w:rsid w:val="00470441"/>
    <w:rsid w:val="004709F4"/>
    <w:rsid w:val="00470D2A"/>
    <w:rsid w:val="00470DBF"/>
    <w:rsid w:val="00471428"/>
    <w:rsid w:val="00471EBE"/>
    <w:rsid w:val="00472499"/>
    <w:rsid w:val="00473EB2"/>
    <w:rsid w:val="00475160"/>
    <w:rsid w:val="004752AB"/>
    <w:rsid w:val="004753D5"/>
    <w:rsid w:val="0047589A"/>
    <w:rsid w:val="00475930"/>
    <w:rsid w:val="00475BD7"/>
    <w:rsid w:val="00476152"/>
    <w:rsid w:val="004764BB"/>
    <w:rsid w:val="00476B19"/>
    <w:rsid w:val="004777DB"/>
    <w:rsid w:val="00480DA5"/>
    <w:rsid w:val="00480EDF"/>
    <w:rsid w:val="004811C7"/>
    <w:rsid w:val="004817E9"/>
    <w:rsid w:val="00482509"/>
    <w:rsid w:val="004825DC"/>
    <w:rsid w:val="004829FB"/>
    <w:rsid w:val="00482CE3"/>
    <w:rsid w:val="004847B9"/>
    <w:rsid w:val="00485BCC"/>
    <w:rsid w:val="0048645E"/>
    <w:rsid w:val="00486525"/>
    <w:rsid w:val="004869D0"/>
    <w:rsid w:val="004876C9"/>
    <w:rsid w:val="0048774B"/>
    <w:rsid w:val="004878FB"/>
    <w:rsid w:val="004900EE"/>
    <w:rsid w:val="0049067B"/>
    <w:rsid w:val="00490A83"/>
    <w:rsid w:val="004910C3"/>
    <w:rsid w:val="0049238E"/>
    <w:rsid w:val="004929B2"/>
    <w:rsid w:val="004938AA"/>
    <w:rsid w:val="004939A9"/>
    <w:rsid w:val="004967A6"/>
    <w:rsid w:val="00496970"/>
    <w:rsid w:val="00497242"/>
    <w:rsid w:val="004975E5"/>
    <w:rsid w:val="00497B96"/>
    <w:rsid w:val="00497CEC"/>
    <w:rsid w:val="004A07E3"/>
    <w:rsid w:val="004A339C"/>
    <w:rsid w:val="004A3CA1"/>
    <w:rsid w:val="004A3F06"/>
    <w:rsid w:val="004A588D"/>
    <w:rsid w:val="004A7669"/>
    <w:rsid w:val="004B001E"/>
    <w:rsid w:val="004B10BC"/>
    <w:rsid w:val="004B3CFF"/>
    <w:rsid w:val="004B41B8"/>
    <w:rsid w:val="004B49BA"/>
    <w:rsid w:val="004B63B9"/>
    <w:rsid w:val="004B6D8F"/>
    <w:rsid w:val="004B726E"/>
    <w:rsid w:val="004B7418"/>
    <w:rsid w:val="004C0377"/>
    <w:rsid w:val="004C07B7"/>
    <w:rsid w:val="004C33C3"/>
    <w:rsid w:val="004C379B"/>
    <w:rsid w:val="004C3C29"/>
    <w:rsid w:val="004C3F0B"/>
    <w:rsid w:val="004C43F5"/>
    <w:rsid w:val="004C4620"/>
    <w:rsid w:val="004C478B"/>
    <w:rsid w:val="004C5514"/>
    <w:rsid w:val="004C558E"/>
    <w:rsid w:val="004C55E5"/>
    <w:rsid w:val="004C5855"/>
    <w:rsid w:val="004C5A82"/>
    <w:rsid w:val="004C633B"/>
    <w:rsid w:val="004C64A2"/>
    <w:rsid w:val="004D007B"/>
    <w:rsid w:val="004D1798"/>
    <w:rsid w:val="004D1B46"/>
    <w:rsid w:val="004D2019"/>
    <w:rsid w:val="004D2258"/>
    <w:rsid w:val="004D2405"/>
    <w:rsid w:val="004D2622"/>
    <w:rsid w:val="004D2B6B"/>
    <w:rsid w:val="004D3A66"/>
    <w:rsid w:val="004D41BF"/>
    <w:rsid w:val="004D47EC"/>
    <w:rsid w:val="004D4ECA"/>
    <w:rsid w:val="004D62BD"/>
    <w:rsid w:val="004D6CEF"/>
    <w:rsid w:val="004D7135"/>
    <w:rsid w:val="004D732D"/>
    <w:rsid w:val="004D7BBE"/>
    <w:rsid w:val="004E0A41"/>
    <w:rsid w:val="004E1239"/>
    <w:rsid w:val="004E15D1"/>
    <w:rsid w:val="004E16FF"/>
    <w:rsid w:val="004E285F"/>
    <w:rsid w:val="004E3B7F"/>
    <w:rsid w:val="004E3F73"/>
    <w:rsid w:val="004E4431"/>
    <w:rsid w:val="004E4DD1"/>
    <w:rsid w:val="004E4FCB"/>
    <w:rsid w:val="004E538C"/>
    <w:rsid w:val="004E555A"/>
    <w:rsid w:val="004E6307"/>
    <w:rsid w:val="004E6F58"/>
    <w:rsid w:val="004E762E"/>
    <w:rsid w:val="004E7CDA"/>
    <w:rsid w:val="004E7D6B"/>
    <w:rsid w:val="004F1CFA"/>
    <w:rsid w:val="004F3192"/>
    <w:rsid w:val="004F3F60"/>
    <w:rsid w:val="004F4918"/>
    <w:rsid w:val="004F5B9D"/>
    <w:rsid w:val="004F666C"/>
    <w:rsid w:val="004F7900"/>
    <w:rsid w:val="004F7AEE"/>
    <w:rsid w:val="005005AB"/>
    <w:rsid w:val="00500611"/>
    <w:rsid w:val="005015E9"/>
    <w:rsid w:val="0050235F"/>
    <w:rsid w:val="005026C2"/>
    <w:rsid w:val="005029FC"/>
    <w:rsid w:val="00503811"/>
    <w:rsid w:val="00503C19"/>
    <w:rsid w:val="0050468F"/>
    <w:rsid w:val="00504713"/>
    <w:rsid w:val="00504852"/>
    <w:rsid w:val="00504BFC"/>
    <w:rsid w:val="00506035"/>
    <w:rsid w:val="005062F3"/>
    <w:rsid w:val="00507366"/>
    <w:rsid w:val="005079EF"/>
    <w:rsid w:val="00507AF4"/>
    <w:rsid w:val="00507B7F"/>
    <w:rsid w:val="00511283"/>
    <w:rsid w:val="00511F8C"/>
    <w:rsid w:val="00512B2D"/>
    <w:rsid w:val="00512D28"/>
    <w:rsid w:val="00512EB3"/>
    <w:rsid w:val="005133F5"/>
    <w:rsid w:val="0051458A"/>
    <w:rsid w:val="0051519F"/>
    <w:rsid w:val="0051530E"/>
    <w:rsid w:val="00516CAA"/>
    <w:rsid w:val="00517209"/>
    <w:rsid w:val="0051736D"/>
    <w:rsid w:val="0051741D"/>
    <w:rsid w:val="00520FAF"/>
    <w:rsid w:val="00520FF6"/>
    <w:rsid w:val="00521168"/>
    <w:rsid w:val="00523AAF"/>
    <w:rsid w:val="00523B5A"/>
    <w:rsid w:val="00523F09"/>
    <w:rsid w:val="005244BA"/>
    <w:rsid w:val="00524A7D"/>
    <w:rsid w:val="00525489"/>
    <w:rsid w:val="0052557B"/>
    <w:rsid w:val="0052569D"/>
    <w:rsid w:val="005257C7"/>
    <w:rsid w:val="00525D17"/>
    <w:rsid w:val="005265CA"/>
    <w:rsid w:val="00526764"/>
    <w:rsid w:val="005274DE"/>
    <w:rsid w:val="005278B5"/>
    <w:rsid w:val="005309AF"/>
    <w:rsid w:val="00530E4C"/>
    <w:rsid w:val="005319F3"/>
    <w:rsid w:val="00531C7E"/>
    <w:rsid w:val="00532D04"/>
    <w:rsid w:val="0053334C"/>
    <w:rsid w:val="005339CD"/>
    <w:rsid w:val="0053466B"/>
    <w:rsid w:val="0053467B"/>
    <w:rsid w:val="00534C05"/>
    <w:rsid w:val="00536C0B"/>
    <w:rsid w:val="00537189"/>
    <w:rsid w:val="00537195"/>
    <w:rsid w:val="00537250"/>
    <w:rsid w:val="00537798"/>
    <w:rsid w:val="005378DD"/>
    <w:rsid w:val="00537CEA"/>
    <w:rsid w:val="00537DB1"/>
    <w:rsid w:val="00540815"/>
    <w:rsid w:val="00541CAD"/>
    <w:rsid w:val="00541CF0"/>
    <w:rsid w:val="00543720"/>
    <w:rsid w:val="00543A37"/>
    <w:rsid w:val="005442B0"/>
    <w:rsid w:val="00544D70"/>
    <w:rsid w:val="00544EFB"/>
    <w:rsid w:val="00545789"/>
    <w:rsid w:val="00546770"/>
    <w:rsid w:val="00546802"/>
    <w:rsid w:val="00546ED8"/>
    <w:rsid w:val="005472C8"/>
    <w:rsid w:val="00550381"/>
    <w:rsid w:val="00550E34"/>
    <w:rsid w:val="00552230"/>
    <w:rsid w:val="0055395B"/>
    <w:rsid w:val="005548F0"/>
    <w:rsid w:val="00554BC4"/>
    <w:rsid w:val="00555688"/>
    <w:rsid w:val="005563FE"/>
    <w:rsid w:val="005578B1"/>
    <w:rsid w:val="0055793C"/>
    <w:rsid w:val="0056028C"/>
    <w:rsid w:val="00560442"/>
    <w:rsid w:val="00561551"/>
    <w:rsid w:val="0056184A"/>
    <w:rsid w:val="00562264"/>
    <w:rsid w:val="00562D36"/>
    <w:rsid w:val="0056319D"/>
    <w:rsid w:val="0056363F"/>
    <w:rsid w:val="00563743"/>
    <w:rsid w:val="005637E9"/>
    <w:rsid w:val="00563A7A"/>
    <w:rsid w:val="00563BED"/>
    <w:rsid w:val="00563D31"/>
    <w:rsid w:val="00563F42"/>
    <w:rsid w:val="00563FC0"/>
    <w:rsid w:val="00565D6B"/>
    <w:rsid w:val="00565EDD"/>
    <w:rsid w:val="00565F41"/>
    <w:rsid w:val="0056724D"/>
    <w:rsid w:val="00567C3A"/>
    <w:rsid w:val="00567C45"/>
    <w:rsid w:val="0057159F"/>
    <w:rsid w:val="005718D7"/>
    <w:rsid w:val="00572D28"/>
    <w:rsid w:val="00574131"/>
    <w:rsid w:val="0057429C"/>
    <w:rsid w:val="00574574"/>
    <w:rsid w:val="00575178"/>
    <w:rsid w:val="00575960"/>
    <w:rsid w:val="00575D02"/>
    <w:rsid w:val="00575EDB"/>
    <w:rsid w:val="00580EA3"/>
    <w:rsid w:val="005813BE"/>
    <w:rsid w:val="00581584"/>
    <w:rsid w:val="005821E9"/>
    <w:rsid w:val="00582358"/>
    <w:rsid w:val="00582E6A"/>
    <w:rsid w:val="00583B04"/>
    <w:rsid w:val="005851B9"/>
    <w:rsid w:val="00585E5C"/>
    <w:rsid w:val="00586C5D"/>
    <w:rsid w:val="00586F2E"/>
    <w:rsid w:val="00587946"/>
    <w:rsid w:val="00590264"/>
    <w:rsid w:val="005906D0"/>
    <w:rsid w:val="005907B2"/>
    <w:rsid w:val="00590895"/>
    <w:rsid w:val="00590D96"/>
    <w:rsid w:val="00592012"/>
    <w:rsid w:val="0059258E"/>
    <w:rsid w:val="005955EE"/>
    <w:rsid w:val="00595743"/>
    <w:rsid w:val="00595F5D"/>
    <w:rsid w:val="00596096"/>
    <w:rsid w:val="005964E2"/>
    <w:rsid w:val="00597832"/>
    <w:rsid w:val="00597E3F"/>
    <w:rsid w:val="005A127F"/>
    <w:rsid w:val="005A193C"/>
    <w:rsid w:val="005A29E6"/>
    <w:rsid w:val="005A3323"/>
    <w:rsid w:val="005A4AE4"/>
    <w:rsid w:val="005A4CCB"/>
    <w:rsid w:val="005A4EB6"/>
    <w:rsid w:val="005A4ECE"/>
    <w:rsid w:val="005A60FA"/>
    <w:rsid w:val="005A68B7"/>
    <w:rsid w:val="005A767F"/>
    <w:rsid w:val="005A7E25"/>
    <w:rsid w:val="005B00FA"/>
    <w:rsid w:val="005B0441"/>
    <w:rsid w:val="005B0602"/>
    <w:rsid w:val="005B1367"/>
    <w:rsid w:val="005B136E"/>
    <w:rsid w:val="005B15C0"/>
    <w:rsid w:val="005B23C0"/>
    <w:rsid w:val="005B23FB"/>
    <w:rsid w:val="005B2693"/>
    <w:rsid w:val="005B2756"/>
    <w:rsid w:val="005B2B7B"/>
    <w:rsid w:val="005B3267"/>
    <w:rsid w:val="005B3943"/>
    <w:rsid w:val="005B3D48"/>
    <w:rsid w:val="005B4294"/>
    <w:rsid w:val="005B55F5"/>
    <w:rsid w:val="005B6E93"/>
    <w:rsid w:val="005B7049"/>
    <w:rsid w:val="005B7660"/>
    <w:rsid w:val="005B7718"/>
    <w:rsid w:val="005C0117"/>
    <w:rsid w:val="005C2384"/>
    <w:rsid w:val="005C401D"/>
    <w:rsid w:val="005C4F3F"/>
    <w:rsid w:val="005C59AC"/>
    <w:rsid w:val="005C6AE4"/>
    <w:rsid w:val="005C7916"/>
    <w:rsid w:val="005C7F03"/>
    <w:rsid w:val="005D0DAD"/>
    <w:rsid w:val="005D0E7B"/>
    <w:rsid w:val="005D1B2B"/>
    <w:rsid w:val="005D1E3B"/>
    <w:rsid w:val="005D401C"/>
    <w:rsid w:val="005D4F63"/>
    <w:rsid w:val="005D547B"/>
    <w:rsid w:val="005D5A6A"/>
    <w:rsid w:val="005D5DB7"/>
    <w:rsid w:val="005D5EA9"/>
    <w:rsid w:val="005D69B1"/>
    <w:rsid w:val="005D6A31"/>
    <w:rsid w:val="005D7121"/>
    <w:rsid w:val="005D777C"/>
    <w:rsid w:val="005D7ACE"/>
    <w:rsid w:val="005D7E08"/>
    <w:rsid w:val="005E00E4"/>
    <w:rsid w:val="005E0338"/>
    <w:rsid w:val="005E04B9"/>
    <w:rsid w:val="005E11B1"/>
    <w:rsid w:val="005E1289"/>
    <w:rsid w:val="005E1D0B"/>
    <w:rsid w:val="005E2072"/>
    <w:rsid w:val="005E20FD"/>
    <w:rsid w:val="005E2517"/>
    <w:rsid w:val="005E2BE9"/>
    <w:rsid w:val="005E35B5"/>
    <w:rsid w:val="005E35BE"/>
    <w:rsid w:val="005E429F"/>
    <w:rsid w:val="005E512E"/>
    <w:rsid w:val="005E563E"/>
    <w:rsid w:val="005E58EE"/>
    <w:rsid w:val="005E60FC"/>
    <w:rsid w:val="005E6A8F"/>
    <w:rsid w:val="005E702C"/>
    <w:rsid w:val="005F007A"/>
    <w:rsid w:val="005F0088"/>
    <w:rsid w:val="005F058F"/>
    <w:rsid w:val="005F0911"/>
    <w:rsid w:val="005F0B02"/>
    <w:rsid w:val="005F136A"/>
    <w:rsid w:val="005F199D"/>
    <w:rsid w:val="005F2848"/>
    <w:rsid w:val="005F2A5C"/>
    <w:rsid w:val="005F3B6C"/>
    <w:rsid w:val="005F48DB"/>
    <w:rsid w:val="005F5275"/>
    <w:rsid w:val="005F573B"/>
    <w:rsid w:val="005F66E1"/>
    <w:rsid w:val="005F7098"/>
    <w:rsid w:val="005F753F"/>
    <w:rsid w:val="005F762E"/>
    <w:rsid w:val="005F76FA"/>
    <w:rsid w:val="005F7D3F"/>
    <w:rsid w:val="00600197"/>
    <w:rsid w:val="0060038F"/>
    <w:rsid w:val="00600BE5"/>
    <w:rsid w:val="00600E27"/>
    <w:rsid w:val="0060145E"/>
    <w:rsid w:val="00601781"/>
    <w:rsid w:val="006020E0"/>
    <w:rsid w:val="00603096"/>
    <w:rsid w:val="006030EA"/>
    <w:rsid w:val="00603277"/>
    <w:rsid w:val="00603401"/>
    <w:rsid w:val="00603D61"/>
    <w:rsid w:val="00603EE9"/>
    <w:rsid w:val="0060442E"/>
    <w:rsid w:val="0060467F"/>
    <w:rsid w:val="006054F6"/>
    <w:rsid w:val="0060551E"/>
    <w:rsid w:val="006070E0"/>
    <w:rsid w:val="00607461"/>
    <w:rsid w:val="006076AE"/>
    <w:rsid w:val="0061020A"/>
    <w:rsid w:val="00611C70"/>
    <w:rsid w:val="006129C3"/>
    <w:rsid w:val="00612A0A"/>
    <w:rsid w:val="00612BEB"/>
    <w:rsid w:val="00613444"/>
    <w:rsid w:val="00613505"/>
    <w:rsid w:val="00613752"/>
    <w:rsid w:val="00613C48"/>
    <w:rsid w:val="00614336"/>
    <w:rsid w:val="006147C7"/>
    <w:rsid w:val="00615E9B"/>
    <w:rsid w:val="00615FF8"/>
    <w:rsid w:val="006169EE"/>
    <w:rsid w:val="00616D18"/>
    <w:rsid w:val="006172D0"/>
    <w:rsid w:val="00617A6C"/>
    <w:rsid w:val="00620794"/>
    <w:rsid w:val="00620E7A"/>
    <w:rsid w:val="0062104C"/>
    <w:rsid w:val="00621105"/>
    <w:rsid w:val="006227E9"/>
    <w:rsid w:val="00622907"/>
    <w:rsid w:val="00622AB9"/>
    <w:rsid w:val="00623297"/>
    <w:rsid w:val="00623ED5"/>
    <w:rsid w:val="00624AA6"/>
    <w:rsid w:val="00624E81"/>
    <w:rsid w:val="00625696"/>
    <w:rsid w:val="006258CE"/>
    <w:rsid w:val="00626A30"/>
    <w:rsid w:val="00627ED2"/>
    <w:rsid w:val="00632BF9"/>
    <w:rsid w:val="0063427D"/>
    <w:rsid w:val="00634740"/>
    <w:rsid w:val="00635733"/>
    <w:rsid w:val="006361F2"/>
    <w:rsid w:val="00636F85"/>
    <w:rsid w:val="0063760D"/>
    <w:rsid w:val="00637D69"/>
    <w:rsid w:val="00637DFF"/>
    <w:rsid w:val="0064174E"/>
    <w:rsid w:val="00641FCE"/>
    <w:rsid w:val="00642256"/>
    <w:rsid w:val="00642B39"/>
    <w:rsid w:val="00643349"/>
    <w:rsid w:val="00643485"/>
    <w:rsid w:val="006443B4"/>
    <w:rsid w:val="0064529F"/>
    <w:rsid w:val="0064584A"/>
    <w:rsid w:val="00646689"/>
    <w:rsid w:val="00647181"/>
    <w:rsid w:val="00647C11"/>
    <w:rsid w:val="00647E52"/>
    <w:rsid w:val="00647F15"/>
    <w:rsid w:val="00650485"/>
    <w:rsid w:val="00650BA0"/>
    <w:rsid w:val="0065142D"/>
    <w:rsid w:val="006517FF"/>
    <w:rsid w:val="006519F7"/>
    <w:rsid w:val="00651D73"/>
    <w:rsid w:val="00652C32"/>
    <w:rsid w:val="00652E85"/>
    <w:rsid w:val="00653385"/>
    <w:rsid w:val="00653CBB"/>
    <w:rsid w:val="00655552"/>
    <w:rsid w:val="00655B9F"/>
    <w:rsid w:val="00655C26"/>
    <w:rsid w:val="00656236"/>
    <w:rsid w:val="006568E7"/>
    <w:rsid w:val="00657011"/>
    <w:rsid w:val="006610B1"/>
    <w:rsid w:val="0066212B"/>
    <w:rsid w:val="00663BC1"/>
    <w:rsid w:val="006642A3"/>
    <w:rsid w:val="0066436D"/>
    <w:rsid w:val="006644E5"/>
    <w:rsid w:val="00664E45"/>
    <w:rsid w:val="00665C5A"/>
    <w:rsid w:val="0066750C"/>
    <w:rsid w:val="00667815"/>
    <w:rsid w:val="00667F7D"/>
    <w:rsid w:val="00667FD7"/>
    <w:rsid w:val="00670749"/>
    <w:rsid w:val="00670E8E"/>
    <w:rsid w:val="006714F7"/>
    <w:rsid w:val="00671587"/>
    <w:rsid w:val="0067183A"/>
    <w:rsid w:val="006725B4"/>
    <w:rsid w:val="006733F1"/>
    <w:rsid w:val="006734E7"/>
    <w:rsid w:val="00673531"/>
    <w:rsid w:val="00673BAE"/>
    <w:rsid w:val="006746AD"/>
    <w:rsid w:val="00674B5F"/>
    <w:rsid w:val="00676448"/>
    <w:rsid w:val="00676B52"/>
    <w:rsid w:val="00677074"/>
    <w:rsid w:val="00677BFB"/>
    <w:rsid w:val="00681BEA"/>
    <w:rsid w:val="006820BA"/>
    <w:rsid w:val="0068216E"/>
    <w:rsid w:val="00683C8B"/>
    <w:rsid w:val="00684318"/>
    <w:rsid w:val="006844C0"/>
    <w:rsid w:val="00684CCD"/>
    <w:rsid w:val="00685449"/>
    <w:rsid w:val="00686032"/>
    <w:rsid w:val="00686A70"/>
    <w:rsid w:val="00687D21"/>
    <w:rsid w:val="00690052"/>
    <w:rsid w:val="00690324"/>
    <w:rsid w:val="00690FBE"/>
    <w:rsid w:val="006917EF"/>
    <w:rsid w:val="00691A85"/>
    <w:rsid w:val="006922FB"/>
    <w:rsid w:val="00692753"/>
    <w:rsid w:val="00692B37"/>
    <w:rsid w:val="00692F5C"/>
    <w:rsid w:val="006935A8"/>
    <w:rsid w:val="00694DB1"/>
    <w:rsid w:val="00694FED"/>
    <w:rsid w:val="006953B1"/>
    <w:rsid w:val="00696544"/>
    <w:rsid w:val="00696B07"/>
    <w:rsid w:val="00697E64"/>
    <w:rsid w:val="00697E93"/>
    <w:rsid w:val="006A0E0D"/>
    <w:rsid w:val="006A17E9"/>
    <w:rsid w:val="006A19A2"/>
    <w:rsid w:val="006A1EEC"/>
    <w:rsid w:val="006A2783"/>
    <w:rsid w:val="006A304C"/>
    <w:rsid w:val="006A3A1B"/>
    <w:rsid w:val="006A3DD5"/>
    <w:rsid w:val="006A4D28"/>
    <w:rsid w:val="006A51B0"/>
    <w:rsid w:val="006A5273"/>
    <w:rsid w:val="006A553C"/>
    <w:rsid w:val="006A55BE"/>
    <w:rsid w:val="006A68B0"/>
    <w:rsid w:val="006A6A6B"/>
    <w:rsid w:val="006A72E0"/>
    <w:rsid w:val="006A74B5"/>
    <w:rsid w:val="006A7C9F"/>
    <w:rsid w:val="006A7D48"/>
    <w:rsid w:val="006B00AC"/>
    <w:rsid w:val="006B3B23"/>
    <w:rsid w:val="006B40AB"/>
    <w:rsid w:val="006B4F59"/>
    <w:rsid w:val="006B6883"/>
    <w:rsid w:val="006B72C3"/>
    <w:rsid w:val="006B7956"/>
    <w:rsid w:val="006C0279"/>
    <w:rsid w:val="006C0486"/>
    <w:rsid w:val="006C1376"/>
    <w:rsid w:val="006C15DF"/>
    <w:rsid w:val="006C1F46"/>
    <w:rsid w:val="006C237D"/>
    <w:rsid w:val="006C3BD2"/>
    <w:rsid w:val="006C412F"/>
    <w:rsid w:val="006C42EE"/>
    <w:rsid w:val="006C58D8"/>
    <w:rsid w:val="006C5B33"/>
    <w:rsid w:val="006C5E29"/>
    <w:rsid w:val="006C644A"/>
    <w:rsid w:val="006C6692"/>
    <w:rsid w:val="006C72F0"/>
    <w:rsid w:val="006C7A46"/>
    <w:rsid w:val="006D02FF"/>
    <w:rsid w:val="006D23F9"/>
    <w:rsid w:val="006D242A"/>
    <w:rsid w:val="006D3913"/>
    <w:rsid w:val="006D3AEE"/>
    <w:rsid w:val="006D3EE9"/>
    <w:rsid w:val="006D5A2E"/>
    <w:rsid w:val="006D69B4"/>
    <w:rsid w:val="006D6BC2"/>
    <w:rsid w:val="006D6C14"/>
    <w:rsid w:val="006D6E9B"/>
    <w:rsid w:val="006D6EA8"/>
    <w:rsid w:val="006D74CE"/>
    <w:rsid w:val="006D7B9A"/>
    <w:rsid w:val="006D7CAF"/>
    <w:rsid w:val="006E0736"/>
    <w:rsid w:val="006E07BC"/>
    <w:rsid w:val="006E08BF"/>
    <w:rsid w:val="006E0D20"/>
    <w:rsid w:val="006E1558"/>
    <w:rsid w:val="006E1958"/>
    <w:rsid w:val="006E1B56"/>
    <w:rsid w:val="006E1F1F"/>
    <w:rsid w:val="006E3C83"/>
    <w:rsid w:val="006E3CCE"/>
    <w:rsid w:val="006E3D62"/>
    <w:rsid w:val="006E42B4"/>
    <w:rsid w:val="006E50BF"/>
    <w:rsid w:val="006E51CA"/>
    <w:rsid w:val="006F0466"/>
    <w:rsid w:val="006F0551"/>
    <w:rsid w:val="006F079E"/>
    <w:rsid w:val="006F0B71"/>
    <w:rsid w:val="006F0F1F"/>
    <w:rsid w:val="006F14FF"/>
    <w:rsid w:val="006F1B8E"/>
    <w:rsid w:val="006F2908"/>
    <w:rsid w:val="006F41AE"/>
    <w:rsid w:val="006F55DA"/>
    <w:rsid w:val="006F6251"/>
    <w:rsid w:val="006F6D4C"/>
    <w:rsid w:val="006F74D8"/>
    <w:rsid w:val="006F76DC"/>
    <w:rsid w:val="006F7B7E"/>
    <w:rsid w:val="0070093C"/>
    <w:rsid w:val="007031EF"/>
    <w:rsid w:val="0070327A"/>
    <w:rsid w:val="00704384"/>
    <w:rsid w:val="007044C3"/>
    <w:rsid w:val="007048F1"/>
    <w:rsid w:val="00704EAA"/>
    <w:rsid w:val="00705CC7"/>
    <w:rsid w:val="0070631D"/>
    <w:rsid w:val="00706A76"/>
    <w:rsid w:val="00707C43"/>
    <w:rsid w:val="007106F9"/>
    <w:rsid w:val="0071083E"/>
    <w:rsid w:val="00711442"/>
    <w:rsid w:val="00711B41"/>
    <w:rsid w:val="00711BAF"/>
    <w:rsid w:val="00711BB2"/>
    <w:rsid w:val="007120A5"/>
    <w:rsid w:val="0071231A"/>
    <w:rsid w:val="00713178"/>
    <w:rsid w:val="00713431"/>
    <w:rsid w:val="007139E8"/>
    <w:rsid w:val="00713DBC"/>
    <w:rsid w:val="00714441"/>
    <w:rsid w:val="007149CC"/>
    <w:rsid w:val="00716465"/>
    <w:rsid w:val="00716481"/>
    <w:rsid w:val="0071657D"/>
    <w:rsid w:val="00716B48"/>
    <w:rsid w:val="00716C2C"/>
    <w:rsid w:val="00717139"/>
    <w:rsid w:val="0072055E"/>
    <w:rsid w:val="00721697"/>
    <w:rsid w:val="00721989"/>
    <w:rsid w:val="00722381"/>
    <w:rsid w:val="00722E74"/>
    <w:rsid w:val="00722E89"/>
    <w:rsid w:val="00723277"/>
    <w:rsid w:val="00723D57"/>
    <w:rsid w:val="00723F0F"/>
    <w:rsid w:val="00724241"/>
    <w:rsid w:val="00727700"/>
    <w:rsid w:val="007279F5"/>
    <w:rsid w:val="00727A0E"/>
    <w:rsid w:val="0073122C"/>
    <w:rsid w:val="00731304"/>
    <w:rsid w:val="00733213"/>
    <w:rsid w:val="0073431F"/>
    <w:rsid w:val="007344D5"/>
    <w:rsid w:val="00734E6A"/>
    <w:rsid w:val="00735D41"/>
    <w:rsid w:val="007405F1"/>
    <w:rsid w:val="00740707"/>
    <w:rsid w:val="0074118C"/>
    <w:rsid w:val="007412C8"/>
    <w:rsid w:val="00741823"/>
    <w:rsid w:val="00741DF4"/>
    <w:rsid w:val="00742B73"/>
    <w:rsid w:val="00743ECD"/>
    <w:rsid w:val="00744BFF"/>
    <w:rsid w:val="00744EFB"/>
    <w:rsid w:val="00745462"/>
    <w:rsid w:val="0074560C"/>
    <w:rsid w:val="00745760"/>
    <w:rsid w:val="00745838"/>
    <w:rsid w:val="007464F1"/>
    <w:rsid w:val="00750BE5"/>
    <w:rsid w:val="00750C03"/>
    <w:rsid w:val="007513DF"/>
    <w:rsid w:val="007516B8"/>
    <w:rsid w:val="00752287"/>
    <w:rsid w:val="00752EF0"/>
    <w:rsid w:val="00753FDD"/>
    <w:rsid w:val="00754F89"/>
    <w:rsid w:val="00755B23"/>
    <w:rsid w:val="0075622C"/>
    <w:rsid w:val="007565BF"/>
    <w:rsid w:val="007566F8"/>
    <w:rsid w:val="007568AA"/>
    <w:rsid w:val="00756CB6"/>
    <w:rsid w:val="007572A4"/>
    <w:rsid w:val="00757637"/>
    <w:rsid w:val="007579D0"/>
    <w:rsid w:val="0076074B"/>
    <w:rsid w:val="007608F4"/>
    <w:rsid w:val="00760FA2"/>
    <w:rsid w:val="00762AC0"/>
    <w:rsid w:val="00763173"/>
    <w:rsid w:val="007648CC"/>
    <w:rsid w:val="0076576F"/>
    <w:rsid w:val="0076586D"/>
    <w:rsid w:val="00766FA7"/>
    <w:rsid w:val="00770EB4"/>
    <w:rsid w:val="00770EF8"/>
    <w:rsid w:val="00770FB4"/>
    <w:rsid w:val="007717B8"/>
    <w:rsid w:val="0077260A"/>
    <w:rsid w:val="007731F8"/>
    <w:rsid w:val="007743E3"/>
    <w:rsid w:val="0077482D"/>
    <w:rsid w:val="00774D0A"/>
    <w:rsid w:val="00774D16"/>
    <w:rsid w:val="00774FBC"/>
    <w:rsid w:val="00775404"/>
    <w:rsid w:val="007755A5"/>
    <w:rsid w:val="00776678"/>
    <w:rsid w:val="007768C7"/>
    <w:rsid w:val="00777EF4"/>
    <w:rsid w:val="00780AB2"/>
    <w:rsid w:val="00780CAB"/>
    <w:rsid w:val="0078166B"/>
    <w:rsid w:val="00781C82"/>
    <w:rsid w:val="007823FE"/>
    <w:rsid w:val="007826FD"/>
    <w:rsid w:val="0078278B"/>
    <w:rsid w:val="0078288F"/>
    <w:rsid w:val="00783516"/>
    <w:rsid w:val="00784A8B"/>
    <w:rsid w:val="007855F8"/>
    <w:rsid w:val="007862D0"/>
    <w:rsid w:val="00786FFA"/>
    <w:rsid w:val="00787D7E"/>
    <w:rsid w:val="00790559"/>
    <w:rsid w:val="00790EF9"/>
    <w:rsid w:val="007912DC"/>
    <w:rsid w:val="00791D06"/>
    <w:rsid w:val="0079323C"/>
    <w:rsid w:val="007941AF"/>
    <w:rsid w:val="0079456C"/>
    <w:rsid w:val="007953AD"/>
    <w:rsid w:val="00796003"/>
    <w:rsid w:val="00796072"/>
    <w:rsid w:val="00796203"/>
    <w:rsid w:val="00796679"/>
    <w:rsid w:val="00796846"/>
    <w:rsid w:val="007974FD"/>
    <w:rsid w:val="007A1377"/>
    <w:rsid w:val="007A2284"/>
    <w:rsid w:val="007A2C75"/>
    <w:rsid w:val="007A3128"/>
    <w:rsid w:val="007A383F"/>
    <w:rsid w:val="007A3BBB"/>
    <w:rsid w:val="007A3C7C"/>
    <w:rsid w:val="007A4821"/>
    <w:rsid w:val="007A55B6"/>
    <w:rsid w:val="007A55BE"/>
    <w:rsid w:val="007A56F0"/>
    <w:rsid w:val="007A66E8"/>
    <w:rsid w:val="007A68F6"/>
    <w:rsid w:val="007A76C7"/>
    <w:rsid w:val="007B0617"/>
    <w:rsid w:val="007B0780"/>
    <w:rsid w:val="007B1DB2"/>
    <w:rsid w:val="007B210C"/>
    <w:rsid w:val="007B2A9F"/>
    <w:rsid w:val="007B34FA"/>
    <w:rsid w:val="007B44F6"/>
    <w:rsid w:val="007B56AF"/>
    <w:rsid w:val="007B5EF5"/>
    <w:rsid w:val="007B6FD9"/>
    <w:rsid w:val="007C03A9"/>
    <w:rsid w:val="007C093E"/>
    <w:rsid w:val="007C0BBC"/>
    <w:rsid w:val="007C1171"/>
    <w:rsid w:val="007C126F"/>
    <w:rsid w:val="007C146E"/>
    <w:rsid w:val="007C20B7"/>
    <w:rsid w:val="007C21ED"/>
    <w:rsid w:val="007C2245"/>
    <w:rsid w:val="007C2A51"/>
    <w:rsid w:val="007C2A67"/>
    <w:rsid w:val="007C3E81"/>
    <w:rsid w:val="007C4581"/>
    <w:rsid w:val="007C7640"/>
    <w:rsid w:val="007D0496"/>
    <w:rsid w:val="007D0789"/>
    <w:rsid w:val="007D1541"/>
    <w:rsid w:val="007D18FB"/>
    <w:rsid w:val="007D1A58"/>
    <w:rsid w:val="007D2015"/>
    <w:rsid w:val="007D267D"/>
    <w:rsid w:val="007D4AED"/>
    <w:rsid w:val="007D53C4"/>
    <w:rsid w:val="007D592B"/>
    <w:rsid w:val="007D5E91"/>
    <w:rsid w:val="007D625F"/>
    <w:rsid w:val="007D6A30"/>
    <w:rsid w:val="007D702E"/>
    <w:rsid w:val="007D718E"/>
    <w:rsid w:val="007D77DD"/>
    <w:rsid w:val="007D79D3"/>
    <w:rsid w:val="007E06D1"/>
    <w:rsid w:val="007E091D"/>
    <w:rsid w:val="007E188D"/>
    <w:rsid w:val="007E1C10"/>
    <w:rsid w:val="007E2B07"/>
    <w:rsid w:val="007E388D"/>
    <w:rsid w:val="007E3CBC"/>
    <w:rsid w:val="007E3E2F"/>
    <w:rsid w:val="007E4222"/>
    <w:rsid w:val="007E4FB9"/>
    <w:rsid w:val="007E5155"/>
    <w:rsid w:val="007E5370"/>
    <w:rsid w:val="007E5B11"/>
    <w:rsid w:val="007E648D"/>
    <w:rsid w:val="007E68B3"/>
    <w:rsid w:val="007E6B7A"/>
    <w:rsid w:val="007E7F78"/>
    <w:rsid w:val="007F1BE4"/>
    <w:rsid w:val="007F1D87"/>
    <w:rsid w:val="007F2D7B"/>
    <w:rsid w:val="007F3A4F"/>
    <w:rsid w:val="007F439A"/>
    <w:rsid w:val="007F4541"/>
    <w:rsid w:val="007F476C"/>
    <w:rsid w:val="007F5E51"/>
    <w:rsid w:val="007F6732"/>
    <w:rsid w:val="008000A6"/>
    <w:rsid w:val="008003EA"/>
    <w:rsid w:val="00801377"/>
    <w:rsid w:val="008019A6"/>
    <w:rsid w:val="0080247D"/>
    <w:rsid w:val="008030E0"/>
    <w:rsid w:val="0080454F"/>
    <w:rsid w:val="00804869"/>
    <w:rsid w:val="00804995"/>
    <w:rsid w:val="00804C61"/>
    <w:rsid w:val="008055CE"/>
    <w:rsid w:val="008056A5"/>
    <w:rsid w:val="00805FFC"/>
    <w:rsid w:val="008063D6"/>
    <w:rsid w:val="008064C7"/>
    <w:rsid w:val="008065FA"/>
    <w:rsid w:val="00806A5C"/>
    <w:rsid w:val="0080735C"/>
    <w:rsid w:val="008104BE"/>
    <w:rsid w:val="00811743"/>
    <w:rsid w:val="008127C6"/>
    <w:rsid w:val="00812A3E"/>
    <w:rsid w:val="00812DBF"/>
    <w:rsid w:val="008137DD"/>
    <w:rsid w:val="00814442"/>
    <w:rsid w:val="008147A5"/>
    <w:rsid w:val="00814B16"/>
    <w:rsid w:val="00814EB0"/>
    <w:rsid w:val="00815FFB"/>
    <w:rsid w:val="008168BE"/>
    <w:rsid w:val="008171DA"/>
    <w:rsid w:val="0082100F"/>
    <w:rsid w:val="00821ADF"/>
    <w:rsid w:val="00821FA1"/>
    <w:rsid w:val="0082205B"/>
    <w:rsid w:val="00822D04"/>
    <w:rsid w:val="008243A7"/>
    <w:rsid w:val="0082451D"/>
    <w:rsid w:val="00824736"/>
    <w:rsid w:val="00825506"/>
    <w:rsid w:val="008259D2"/>
    <w:rsid w:val="00825B02"/>
    <w:rsid w:val="00825C60"/>
    <w:rsid w:val="00826EA2"/>
    <w:rsid w:val="0082775F"/>
    <w:rsid w:val="00827762"/>
    <w:rsid w:val="008279E1"/>
    <w:rsid w:val="008301A4"/>
    <w:rsid w:val="00830481"/>
    <w:rsid w:val="00830E26"/>
    <w:rsid w:val="008312EC"/>
    <w:rsid w:val="008324C4"/>
    <w:rsid w:val="00833DA0"/>
    <w:rsid w:val="0083522A"/>
    <w:rsid w:val="008357D8"/>
    <w:rsid w:val="0083619D"/>
    <w:rsid w:val="00837A87"/>
    <w:rsid w:val="00842043"/>
    <w:rsid w:val="00842F30"/>
    <w:rsid w:val="00843197"/>
    <w:rsid w:val="00843527"/>
    <w:rsid w:val="008472DB"/>
    <w:rsid w:val="0084737C"/>
    <w:rsid w:val="008474EE"/>
    <w:rsid w:val="00847B39"/>
    <w:rsid w:val="00847C71"/>
    <w:rsid w:val="0085071A"/>
    <w:rsid w:val="00850B26"/>
    <w:rsid w:val="00850BAB"/>
    <w:rsid w:val="0085142A"/>
    <w:rsid w:val="00851715"/>
    <w:rsid w:val="00852828"/>
    <w:rsid w:val="00852E2C"/>
    <w:rsid w:val="0085315E"/>
    <w:rsid w:val="00853A9B"/>
    <w:rsid w:val="00853B55"/>
    <w:rsid w:val="008550F7"/>
    <w:rsid w:val="008559A1"/>
    <w:rsid w:val="00855FD5"/>
    <w:rsid w:val="008569A1"/>
    <w:rsid w:val="00856C64"/>
    <w:rsid w:val="00857135"/>
    <w:rsid w:val="0085793D"/>
    <w:rsid w:val="00857A5F"/>
    <w:rsid w:val="00857C99"/>
    <w:rsid w:val="00857EC9"/>
    <w:rsid w:val="00861EFA"/>
    <w:rsid w:val="00862D47"/>
    <w:rsid w:val="0086363C"/>
    <w:rsid w:val="00863758"/>
    <w:rsid w:val="0086434C"/>
    <w:rsid w:val="008648EF"/>
    <w:rsid w:val="00865B25"/>
    <w:rsid w:val="00865E84"/>
    <w:rsid w:val="00866F1E"/>
    <w:rsid w:val="00866F9C"/>
    <w:rsid w:val="00867706"/>
    <w:rsid w:val="008679C7"/>
    <w:rsid w:val="00870F6E"/>
    <w:rsid w:val="00872B05"/>
    <w:rsid w:val="00872B80"/>
    <w:rsid w:val="00873200"/>
    <w:rsid w:val="00873F5E"/>
    <w:rsid w:val="008745A0"/>
    <w:rsid w:val="00874AD2"/>
    <w:rsid w:val="00874DC5"/>
    <w:rsid w:val="00874E15"/>
    <w:rsid w:val="00875A8E"/>
    <w:rsid w:val="00875C73"/>
    <w:rsid w:val="0087679C"/>
    <w:rsid w:val="00877966"/>
    <w:rsid w:val="008803AA"/>
    <w:rsid w:val="00881806"/>
    <w:rsid w:val="0088223B"/>
    <w:rsid w:val="00882500"/>
    <w:rsid w:val="008825F7"/>
    <w:rsid w:val="00883A28"/>
    <w:rsid w:val="00883A31"/>
    <w:rsid w:val="00883C12"/>
    <w:rsid w:val="00883F2F"/>
    <w:rsid w:val="00884201"/>
    <w:rsid w:val="008842D3"/>
    <w:rsid w:val="00884F7C"/>
    <w:rsid w:val="008859EF"/>
    <w:rsid w:val="008861F9"/>
    <w:rsid w:val="00886439"/>
    <w:rsid w:val="008868CD"/>
    <w:rsid w:val="00887033"/>
    <w:rsid w:val="00887FCD"/>
    <w:rsid w:val="00891C40"/>
    <w:rsid w:val="008920AD"/>
    <w:rsid w:val="00893825"/>
    <w:rsid w:val="00893D98"/>
    <w:rsid w:val="00894519"/>
    <w:rsid w:val="008949E7"/>
    <w:rsid w:val="00894CC0"/>
    <w:rsid w:val="008952BA"/>
    <w:rsid w:val="0089557A"/>
    <w:rsid w:val="00895655"/>
    <w:rsid w:val="008956A1"/>
    <w:rsid w:val="008958E7"/>
    <w:rsid w:val="00895BE2"/>
    <w:rsid w:val="008968C2"/>
    <w:rsid w:val="00896985"/>
    <w:rsid w:val="008971A2"/>
    <w:rsid w:val="00897A01"/>
    <w:rsid w:val="008A047D"/>
    <w:rsid w:val="008A0579"/>
    <w:rsid w:val="008A3219"/>
    <w:rsid w:val="008A36B0"/>
    <w:rsid w:val="008A40EE"/>
    <w:rsid w:val="008A493F"/>
    <w:rsid w:val="008A573E"/>
    <w:rsid w:val="008A659C"/>
    <w:rsid w:val="008A6D42"/>
    <w:rsid w:val="008A6F98"/>
    <w:rsid w:val="008A7028"/>
    <w:rsid w:val="008A76FC"/>
    <w:rsid w:val="008A7B45"/>
    <w:rsid w:val="008A7E87"/>
    <w:rsid w:val="008B03C3"/>
    <w:rsid w:val="008B1327"/>
    <w:rsid w:val="008B2307"/>
    <w:rsid w:val="008B2D5D"/>
    <w:rsid w:val="008B2DBE"/>
    <w:rsid w:val="008B3998"/>
    <w:rsid w:val="008B51EE"/>
    <w:rsid w:val="008B54F2"/>
    <w:rsid w:val="008B55DB"/>
    <w:rsid w:val="008B57F9"/>
    <w:rsid w:val="008B633D"/>
    <w:rsid w:val="008B6C36"/>
    <w:rsid w:val="008B7095"/>
    <w:rsid w:val="008B79AD"/>
    <w:rsid w:val="008C14A4"/>
    <w:rsid w:val="008C2340"/>
    <w:rsid w:val="008C3183"/>
    <w:rsid w:val="008C34E1"/>
    <w:rsid w:val="008C4337"/>
    <w:rsid w:val="008C5007"/>
    <w:rsid w:val="008C622F"/>
    <w:rsid w:val="008C62DD"/>
    <w:rsid w:val="008C75EB"/>
    <w:rsid w:val="008D0356"/>
    <w:rsid w:val="008D03BF"/>
    <w:rsid w:val="008D09B9"/>
    <w:rsid w:val="008D1011"/>
    <w:rsid w:val="008D12A0"/>
    <w:rsid w:val="008D12D8"/>
    <w:rsid w:val="008D1AC5"/>
    <w:rsid w:val="008D1F0C"/>
    <w:rsid w:val="008D2070"/>
    <w:rsid w:val="008D3359"/>
    <w:rsid w:val="008D36CE"/>
    <w:rsid w:val="008D377F"/>
    <w:rsid w:val="008D3F55"/>
    <w:rsid w:val="008D42C7"/>
    <w:rsid w:val="008D5122"/>
    <w:rsid w:val="008D5646"/>
    <w:rsid w:val="008D5CBD"/>
    <w:rsid w:val="008D5E40"/>
    <w:rsid w:val="008D6215"/>
    <w:rsid w:val="008D678B"/>
    <w:rsid w:val="008D6DAC"/>
    <w:rsid w:val="008E0D29"/>
    <w:rsid w:val="008E1393"/>
    <w:rsid w:val="008E1432"/>
    <w:rsid w:val="008E2771"/>
    <w:rsid w:val="008E3867"/>
    <w:rsid w:val="008E4650"/>
    <w:rsid w:val="008E467C"/>
    <w:rsid w:val="008E4B06"/>
    <w:rsid w:val="008E520C"/>
    <w:rsid w:val="008E52DF"/>
    <w:rsid w:val="008E56CC"/>
    <w:rsid w:val="008E5707"/>
    <w:rsid w:val="008E5F78"/>
    <w:rsid w:val="008E659C"/>
    <w:rsid w:val="008E6799"/>
    <w:rsid w:val="008E6BFA"/>
    <w:rsid w:val="008E6D3D"/>
    <w:rsid w:val="008E6D91"/>
    <w:rsid w:val="008E761F"/>
    <w:rsid w:val="008E7799"/>
    <w:rsid w:val="008E77C0"/>
    <w:rsid w:val="008E7881"/>
    <w:rsid w:val="008E7B6C"/>
    <w:rsid w:val="008F0218"/>
    <w:rsid w:val="008F135F"/>
    <w:rsid w:val="008F1571"/>
    <w:rsid w:val="008F21DD"/>
    <w:rsid w:val="008F27A1"/>
    <w:rsid w:val="008F30C6"/>
    <w:rsid w:val="008F34D8"/>
    <w:rsid w:val="008F36F7"/>
    <w:rsid w:val="008F3A05"/>
    <w:rsid w:val="008F5924"/>
    <w:rsid w:val="008F5D3F"/>
    <w:rsid w:val="008F5D60"/>
    <w:rsid w:val="008F61C3"/>
    <w:rsid w:val="008F61C6"/>
    <w:rsid w:val="008F6A02"/>
    <w:rsid w:val="008F768E"/>
    <w:rsid w:val="009000EB"/>
    <w:rsid w:val="0090033C"/>
    <w:rsid w:val="009007A2"/>
    <w:rsid w:val="0090123E"/>
    <w:rsid w:val="0090130B"/>
    <w:rsid w:val="00901448"/>
    <w:rsid w:val="00901460"/>
    <w:rsid w:val="00902759"/>
    <w:rsid w:val="009027FC"/>
    <w:rsid w:val="00902C32"/>
    <w:rsid w:val="009030D5"/>
    <w:rsid w:val="0090376B"/>
    <w:rsid w:val="00904B34"/>
    <w:rsid w:val="00905CA0"/>
    <w:rsid w:val="00905E5E"/>
    <w:rsid w:val="00912FE8"/>
    <w:rsid w:val="0091357C"/>
    <w:rsid w:val="00914529"/>
    <w:rsid w:val="009145A4"/>
    <w:rsid w:val="00914827"/>
    <w:rsid w:val="00915475"/>
    <w:rsid w:val="0091599B"/>
    <w:rsid w:val="00915B64"/>
    <w:rsid w:val="0091778B"/>
    <w:rsid w:val="00917A63"/>
    <w:rsid w:val="00917E22"/>
    <w:rsid w:val="00920201"/>
    <w:rsid w:val="009203C4"/>
    <w:rsid w:val="009205AA"/>
    <w:rsid w:val="00920706"/>
    <w:rsid w:val="00920FCD"/>
    <w:rsid w:val="009210B3"/>
    <w:rsid w:val="0092145C"/>
    <w:rsid w:val="00921C5E"/>
    <w:rsid w:val="00922C1C"/>
    <w:rsid w:val="00922E81"/>
    <w:rsid w:val="00923D01"/>
    <w:rsid w:val="00923F20"/>
    <w:rsid w:val="009242C0"/>
    <w:rsid w:val="00924991"/>
    <w:rsid w:val="00924C20"/>
    <w:rsid w:val="00924F33"/>
    <w:rsid w:val="00925376"/>
    <w:rsid w:val="00925993"/>
    <w:rsid w:val="009260F3"/>
    <w:rsid w:val="009267A2"/>
    <w:rsid w:val="00931341"/>
    <w:rsid w:val="009315F9"/>
    <w:rsid w:val="00932095"/>
    <w:rsid w:val="00932458"/>
    <w:rsid w:val="00932DA7"/>
    <w:rsid w:val="00933476"/>
    <w:rsid w:val="00934F94"/>
    <w:rsid w:val="00935A5B"/>
    <w:rsid w:val="009367BF"/>
    <w:rsid w:val="0093763A"/>
    <w:rsid w:val="00940C98"/>
    <w:rsid w:val="00940CA4"/>
    <w:rsid w:val="00941579"/>
    <w:rsid w:val="00942142"/>
    <w:rsid w:val="009421AA"/>
    <w:rsid w:val="00943075"/>
    <w:rsid w:val="009431A3"/>
    <w:rsid w:val="00943EBB"/>
    <w:rsid w:val="009442A7"/>
    <w:rsid w:val="009444EA"/>
    <w:rsid w:val="00945A6E"/>
    <w:rsid w:val="00945AB6"/>
    <w:rsid w:val="00946413"/>
    <w:rsid w:val="009504F3"/>
    <w:rsid w:val="00951041"/>
    <w:rsid w:val="00951F27"/>
    <w:rsid w:val="00952C1F"/>
    <w:rsid w:val="00952C38"/>
    <w:rsid w:val="00952F7F"/>
    <w:rsid w:val="009536FB"/>
    <w:rsid w:val="009553AE"/>
    <w:rsid w:val="009557AB"/>
    <w:rsid w:val="00955BBC"/>
    <w:rsid w:val="00955C2F"/>
    <w:rsid w:val="00955EA1"/>
    <w:rsid w:val="00956A67"/>
    <w:rsid w:val="0095784A"/>
    <w:rsid w:val="00960053"/>
    <w:rsid w:val="00960334"/>
    <w:rsid w:val="00960759"/>
    <w:rsid w:val="00960819"/>
    <w:rsid w:val="00961147"/>
    <w:rsid w:val="009614C7"/>
    <w:rsid w:val="009617EC"/>
    <w:rsid w:val="00961C21"/>
    <w:rsid w:val="00961D2F"/>
    <w:rsid w:val="00963213"/>
    <w:rsid w:val="00963BCD"/>
    <w:rsid w:val="009647FB"/>
    <w:rsid w:val="0096555F"/>
    <w:rsid w:val="00967063"/>
    <w:rsid w:val="009672AC"/>
    <w:rsid w:val="00967F89"/>
    <w:rsid w:val="0097042D"/>
    <w:rsid w:val="00971125"/>
    <w:rsid w:val="00971F70"/>
    <w:rsid w:val="009720CA"/>
    <w:rsid w:val="0097219B"/>
    <w:rsid w:val="0097228A"/>
    <w:rsid w:val="00972E4E"/>
    <w:rsid w:val="00972EBE"/>
    <w:rsid w:val="00973C1D"/>
    <w:rsid w:val="00974412"/>
    <w:rsid w:val="009752E9"/>
    <w:rsid w:val="0097650D"/>
    <w:rsid w:val="0097724C"/>
    <w:rsid w:val="00980AC8"/>
    <w:rsid w:val="00981802"/>
    <w:rsid w:val="00981DC3"/>
    <w:rsid w:val="00982120"/>
    <w:rsid w:val="009832CB"/>
    <w:rsid w:val="0098353E"/>
    <w:rsid w:val="009837E7"/>
    <w:rsid w:val="00983B0E"/>
    <w:rsid w:val="00984C68"/>
    <w:rsid w:val="0098538B"/>
    <w:rsid w:val="009853BC"/>
    <w:rsid w:val="00985C6B"/>
    <w:rsid w:val="00985F75"/>
    <w:rsid w:val="009870E1"/>
    <w:rsid w:val="0098759D"/>
    <w:rsid w:val="00987696"/>
    <w:rsid w:val="00987E64"/>
    <w:rsid w:val="009911B8"/>
    <w:rsid w:val="009920A9"/>
    <w:rsid w:val="0099366F"/>
    <w:rsid w:val="00993AD1"/>
    <w:rsid w:val="00994027"/>
    <w:rsid w:val="009941BA"/>
    <w:rsid w:val="00994E53"/>
    <w:rsid w:val="009952B1"/>
    <w:rsid w:val="009955CC"/>
    <w:rsid w:val="0099560A"/>
    <w:rsid w:val="00996A9C"/>
    <w:rsid w:val="009A046E"/>
    <w:rsid w:val="009A049E"/>
    <w:rsid w:val="009A07F9"/>
    <w:rsid w:val="009A203D"/>
    <w:rsid w:val="009A250D"/>
    <w:rsid w:val="009A3BDD"/>
    <w:rsid w:val="009A4352"/>
    <w:rsid w:val="009A435D"/>
    <w:rsid w:val="009A4647"/>
    <w:rsid w:val="009A49D9"/>
    <w:rsid w:val="009A4CEF"/>
    <w:rsid w:val="009A4E2B"/>
    <w:rsid w:val="009A5C1D"/>
    <w:rsid w:val="009A60C4"/>
    <w:rsid w:val="009A684E"/>
    <w:rsid w:val="009A6859"/>
    <w:rsid w:val="009A6B37"/>
    <w:rsid w:val="009A792E"/>
    <w:rsid w:val="009A7B40"/>
    <w:rsid w:val="009A7CF9"/>
    <w:rsid w:val="009B1557"/>
    <w:rsid w:val="009B1646"/>
    <w:rsid w:val="009B1CEB"/>
    <w:rsid w:val="009B21C5"/>
    <w:rsid w:val="009B2769"/>
    <w:rsid w:val="009B3257"/>
    <w:rsid w:val="009B3597"/>
    <w:rsid w:val="009B4C03"/>
    <w:rsid w:val="009B5205"/>
    <w:rsid w:val="009B5294"/>
    <w:rsid w:val="009B5EA3"/>
    <w:rsid w:val="009B6770"/>
    <w:rsid w:val="009B76B0"/>
    <w:rsid w:val="009B7DA4"/>
    <w:rsid w:val="009C0871"/>
    <w:rsid w:val="009C0B76"/>
    <w:rsid w:val="009C0CEF"/>
    <w:rsid w:val="009C1693"/>
    <w:rsid w:val="009C1722"/>
    <w:rsid w:val="009C1A40"/>
    <w:rsid w:val="009C1C00"/>
    <w:rsid w:val="009C210C"/>
    <w:rsid w:val="009C23DC"/>
    <w:rsid w:val="009C2F1B"/>
    <w:rsid w:val="009C38A1"/>
    <w:rsid w:val="009C3990"/>
    <w:rsid w:val="009C4C7D"/>
    <w:rsid w:val="009C66BE"/>
    <w:rsid w:val="009C6946"/>
    <w:rsid w:val="009C6EEA"/>
    <w:rsid w:val="009C77C2"/>
    <w:rsid w:val="009D0947"/>
    <w:rsid w:val="009D0C1D"/>
    <w:rsid w:val="009D14D7"/>
    <w:rsid w:val="009D1EB9"/>
    <w:rsid w:val="009D21F7"/>
    <w:rsid w:val="009D23B6"/>
    <w:rsid w:val="009D3554"/>
    <w:rsid w:val="009D448E"/>
    <w:rsid w:val="009D516B"/>
    <w:rsid w:val="009D531C"/>
    <w:rsid w:val="009D57EE"/>
    <w:rsid w:val="009D63E5"/>
    <w:rsid w:val="009D7172"/>
    <w:rsid w:val="009D7386"/>
    <w:rsid w:val="009D7C97"/>
    <w:rsid w:val="009D7CFE"/>
    <w:rsid w:val="009E055D"/>
    <w:rsid w:val="009E08E2"/>
    <w:rsid w:val="009E0A3B"/>
    <w:rsid w:val="009E2ADD"/>
    <w:rsid w:val="009E2B1B"/>
    <w:rsid w:val="009E2D4A"/>
    <w:rsid w:val="009E2FA7"/>
    <w:rsid w:val="009E34DF"/>
    <w:rsid w:val="009E3C32"/>
    <w:rsid w:val="009E3D20"/>
    <w:rsid w:val="009E4BA2"/>
    <w:rsid w:val="009E6168"/>
    <w:rsid w:val="009E68ED"/>
    <w:rsid w:val="009E7799"/>
    <w:rsid w:val="009E7D9E"/>
    <w:rsid w:val="009F01F5"/>
    <w:rsid w:val="009F09E0"/>
    <w:rsid w:val="009F1646"/>
    <w:rsid w:val="009F25B5"/>
    <w:rsid w:val="009F287A"/>
    <w:rsid w:val="009F3D47"/>
    <w:rsid w:val="009F4D84"/>
    <w:rsid w:val="009F4E47"/>
    <w:rsid w:val="009F52C8"/>
    <w:rsid w:val="009F5B72"/>
    <w:rsid w:val="009F706F"/>
    <w:rsid w:val="00A016FD"/>
    <w:rsid w:val="00A02255"/>
    <w:rsid w:val="00A024F2"/>
    <w:rsid w:val="00A033CF"/>
    <w:rsid w:val="00A03784"/>
    <w:rsid w:val="00A03961"/>
    <w:rsid w:val="00A049B6"/>
    <w:rsid w:val="00A050AA"/>
    <w:rsid w:val="00A05480"/>
    <w:rsid w:val="00A05E5E"/>
    <w:rsid w:val="00A05F24"/>
    <w:rsid w:val="00A06321"/>
    <w:rsid w:val="00A07011"/>
    <w:rsid w:val="00A1040E"/>
    <w:rsid w:val="00A116CE"/>
    <w:rsid w:val="00A11881"/>
    <w:rsid w:val="00A121B3"/>
    <w:rsid w:val="00A125F2"/>
    <w:rsid w:val="00A12BA2"/>
    <w:rsid w:val="00A141AE"/>
    <w:rsid w:val="00A16852"/>
    <w:rsid w:val="00A17B02"/>
    <w:rsid w:val="00A17E83"/>
    <w:rsid w:val="00A20CD4"/>
    <w:rsid w:val="00A210F9"/>
    <w:rsid w:val="00A21CBF"/>
    <w:rsid w:val="00A21DFF"/>
    <w:rsid w:val="00A22AE9"/>
    <w:rsid w:val="00A22B83"/>
    <w:rsid w:val="00A23129"/>
    <w:rsid w:val="00A2375C"/>
    <w:rsid w:val="00A23777"/>
    <w:rsid w:val="00A23C16"/>
    <w:rsid w:val="00A23C5E"/>
    <w:rsid w:val="00A245F4"/>
    <w:rsid w:val="00A253AD"/>
    <w:rsid w:val="00A2682D"/>
    <w:rsid w:val="00A27032"/>
    <w:rsid w:val="00A27FA2"/>
    <w:rsid w:val="00A313DC"/>
    <w:rsid w:val="00A3164F"/>
    <w:rsid w:val="00A325E7"/>
    <w:rsid w:val="00A32B66"/>
    <w:rsid w:val="00A33DDD"/>
    <w:rsid w:val="00A3409B"/>
    <w:rsid w:val="00A35113"/>
    <w:rsid w:val="00A35472"/>
    <w:rsid w:val="00A361F3"/>
    <w:rsid w:val="00A3630C"/>
    <w:rsid w:val="00A3632D"/>
    <w:rsid w:val="00A4059F"/>
    <w:rsid w:val="00A40888"/>
    <w:rsid w:val="00A41D01"/>
    <w:rsid w:val="00A420A8"/>
    <w:rsid w:val="00A4210D"/>
    <w:rsid w:val="00A4259B"/>
    <w:rsid w:val="00A4259F"/>
    <w:rsid w:val="00A42687"/>
    <w:rsid w:val="00A42C1C"/>
    <w:rsid w:val="00A43837"/>
    <w:rsid w:val="00A43CF0"/>
    <w:rsid w:val="00A43DD3"/>
    <w:rsid w:val="00A444B9"/>
    <w:rsid w:val="00A44B49"/>
    <w:rsid w:val="00A45FA5"/>
    <w:rsid w:val="00A468AA"/>
    <w:rsid w:val="00A46E71"/>
    <w:rsid w:val="00A47DE8"/>
    <w:rsid w:val="00A5198C"/>
    <w:rsid w:val="00A51C1D"/>
    <w:rsid w:val="00A51E41"/>
    <w:rsid w:val="00A52840"/>
    <w:rsid w:val="00A529FB"/>
    <w:rsid w:val="00A539A9"/>
    <w:rsid w:val="00A53DB8"/>
    <w:rsid w:val="00A54EA8"/>
    <w:rsid w:val="00A55965"/>
    <w:rsid w:val="00A600EC"/>
    <w:rsid w:val="00A60D51"/>
    <w:rsid w:val="00A60E4F"/>
    <w:rsid w:val="00A60F39"/>
    <w:rsid w:val="00A6185F"/>
    <w:rsid w:val="00A619B8"/>
    <w:rsid w:val="00A62C11"/>
    <w:rsid w:val="00A63984"/>
    <w:rsid w:val="00A63D0E"/>
    <w:rsid w:val="00A63D19"/>
    <w:rsid w:val="00A65515"/>
    <w:rsid w:val="00A65F14"/>
    <w:rsid w:val="00A66362"/>
    <w:rsid w:val="00A67093"/>
    <w:rsid w:val="00A67249"/>
    <w:rsid w:val="00A67F5F"/>
    <w:rsid w:val="00A67F92"/>
    <w:rsid w:val="00A71201"/>
    <w:rsid w:val="00A7147E"/>
    <w:rsid w:val="00A719F3"/>
    <w:rsid w:val="00A71B2B"/>
    <w:rsid w:val="00A73AD0"/>
    <w:rsid w:val="00A73BAF"/>
    <w:rsid w:val="00A740F3"/>
    <w:rsid w:val="00A758B2"/>
    <w:rsid w:val="00A76C6A"/>
    <w:rsid w:val="00A771E9"/>
    <w:rsid w:val="00A779A1"/>
    <w:rsid w:val="00A77C96"/>
    <w:rsid w:val="00A808C7"/>
    <w:rsid w:val="00A80DF7"/>
    <w:rsid w:val="00A812C6"/>
    <w:rsid w:val="00A81C12"/>
    <w:rsid w:val="00A828DD"/>
    <w:rsid w:val="00A82967"/>
    <w:rsid w:val="00A83CEA"/>
    <w:rsid w:val="00A83F95"/>
    <w:rsid w:val="00A842E1"/>
    <w:rsid w:val="00A853DB"/>
    <w:rsid w:val="00A85442"/>
    <w:rsid w:val="00A86541"/>
    <w:rsid w:val="00A875B4"/>
    <w:rsid w:val="00A87FE7"/>
    <w:rsid w:val="00A906D7"/>
    <w:rsid w:val="00A909F5"/>
    <w:rsid w:val="00A90AC8"/>
    <w:rsid w:val="00A90F42"/>
    <w:rsid w:val="00A90FA8"/>
    <w:rsid w:val="00A92DB0"/>
    <w:rsid w:val="00A9356D"/>
    <w:rsid w:val="00A93746"/>
    <w:rsid w:val="00A949CC"/>
    <w:rsid w:val="00A94DA0"/>
    <w:rsid w:val="00A94F62"/>
    <w:rsid w:val="00A9506F"/>
    <w:rsid w:val="00A95DDB"/>
    <w:rsid w:val="00A97407"/>
    <w:rsid w:val="00AA05F1"/>
    <w:rsid w:val="00AA0AC2"/>
    <w:rsid w:val="00AA163F"/>
    <w:rsid w:val="00AA180D"/>
    <w:rsid w:val="00AA1F08"/>
    <w:rsid w:val="00AA1FBE"/>
    <w:rsid w:val="00AA2106"/>
    <w:rsid w:val="00AA2886"/>
    <w:rsid w:val="00AA29B9"/>
    <w:rsid w:val="00AA3E1E"/>
    <w:rsid w:val="00AA4583"/>
    <w:rsid w:val="00AA4631"/>
    <w:rsid w:val="00AA4E1F"/>
    <w:rsid w:val="00AA5059"/>
    <w:rsid w:val="00AA5E13"/>
    <w:rsid w:val="00AA6B04"/>
    <w:rsid w:val="00AA73B5"/>
    <w:rsid w:val="00AA73E3"/>
    <w:rsid w:val="00AA7A1A"/>
    <w:rsid w:val="00AA7AA3"/>
    <w:rsid w:val="00AA7CB9"/>
    <w:rsid w:val="00AB0823"/>
    <w:rsid w:val="00AB1E0A"/>
    <w:rsid w:val="00AB24D5"/>
    <w:rsid w:val="00AB4184"/>
    <w:rsid w:val="00AB5030"/>
    <w:rsid w:val="00AB55EC"/>
    <w:rsid w:val="00AB5A6E"/>
    <w:rsid w:val="00AB5DE8"/>
    <w:rsid w:val="00AB649A"/>
    <w:rsid w:val="00AB66BE"/>
    <w:rsid w:val="00AB751A"/>
    <w:rsid w:val="00AB758D"/>
    <w:rsid w:val="00AB7A29"/>
    <w:rsid w:val="00AC00E0"/>
    <w:rsid w:val="00AC21DB"/>
    <w:rsid w:val="00AC2564"/>
    <w:rsid w:val="00AC3248"/>
    <w:rsid w:val="00AC37F8"/>
    <w:rsid w:val="00AC4609"/>
    <w:rsid w:val="00AC50BE"/>
    <w:rsid w:val="00AC5B2C"/>
    <w:rsid w:val="00AC6392"/>
    <w:rsid w:val="00AC6FBB"/>
    <w:rsid w:val="00AD07B7"/>
    <w:rsid w:val="00AD0820"/>
    <w:rsid w:val="00AD1431"/>
    <w:rsid w:val="00AD1572"/>
    <w:rsid w:val="00AD1613"/>
    <w:rsid w:val="00AD1FF0"/>
    <w:rsid w:val="00AD260A"/>
    <w:rsid w:val="00AD3431"/>
    <w:rsid w:val="00AD4262"/>
    <w:rsid w:val="00AD5C39"/>
    <w:rsid w:val="00AD731B"/>
    <w:rsid w:val="00AD78DB"/>
    <w:rsid w:val="00AE06D5"/>
    <w:rsid w:val="00AE1351"/>
    <w:rsid w:val="00AE2379"/>
    <w:rsid w:val="00AE273C"/>
    <w:rsid w:val="00AE3BCB"/>
    <w:rsid w:val="00AE487F"/>
    <w:rsid w:val="00AE4E7E"/>
    <w:rsid w:val="00AE4EA8"/>
    <w:rsid w:val="00AE66A5"/>
    <w:rsid w:val="00AE67A3"/>
    <w:rsid w:val="00AE6908"/>
    <w:rsid w:val="00AE6CFA"/>
    <w:rsid w:val="00AE6FB5"/>
    <w:rsid w:val="00AE71A3"/>
    <w:rsid w:val="00AF087A"/>
    <w:rsid w:val="00AF0F64"/>
    <w:rsid w:val="00AF140A"/>
    <w:rsid w:val="00AF18FE"/>
    <w:rsid w:val="00AF1E64"/>
    <w:rsid w:val="00AF3F0A"/>
    <w:rsid w:val="00AF48B6"/>
    <w:rsid w:val="00AF57A9"/>
    <w:rsid w:val="00AF62C2"/>
    <w:rsid w:val="00AF669C"/>
    <w:rsid w:val="00AF780C"/>
    <w:rsid w:val="00AF7A90"/>
    <w:rsid w:val="00B001EC"/>
    <w:rsid w:val="00B0143E"/>
    <w:rsid w:val="00B01694"/>
    <w:rsid w:val="00B01CB1"/>
    <w:rsid w:val="00B02546"/>
    <w:rsid w:val="00B02B6F"/>
    <w:rsid w:val="00B03354"/>
    <w:rsid w:val="00B0391B"/>
    <w:rsid w:val="00B04541"/>
    <w:rsid w:val="00B045C9"/>
    <w:rsid w:val="00B04643"/>
    <w:rsid w:val="00B048BD"/>
    <w:rsid w:val="00B05BEA"/>
    <w:rsid w:val="00B05F33"/>
    <w:rsid w:val="00B06369"/>
    <w:rsid w:val="00B06441"/>
    <w:rsid w:val="00B064E6"/>
    <w:rsid w:val="00B065C7"/>
    <w:rsid w:val="00B066ED"/>
    <w:rsid w:val="00B06CD1"/>
    <w:rsid w:val="00B07D0A"/>
    <w:rsid w:val="00B07F4D"/>
    <w:rsid w:val="00B102E9"/>
    <w:rsid w:val="00B10323"/>
    <w:rsid w:val="00B11BBE"/>
    <w:rsid w:val="00B1252F"/>
    <w:rsid w:val="00B12806"/>
    <w:rsid w:val="00B13333"/>
    <w:rsid w:val="00B13F1C"/>
    <w:rsid w:val="00B14234"/>
    <w:rsid w:val="00B142CD"/>
    <w:rsid w:val="00B14487"/>
    <w:rsid w:val="00B147DE"/>
    <w:rsid w:val="00B16300"/>
    <w:rsid w:val="00B163D1"/>
    <w:rsid w:val="00B1661F"/>
    <w:rsid w:val="00B16ED8"/>
    <w:rsid w:val="00B17C0B"/>
    <w:rsid w:val="00B17EEC"/>
    <w:rsid w:val="00B203CC"/>
    <w:rsid w:val="00B20E3A"/>
    <w:rsid w:val="00B213DF"/>
    <w:rsid w:val="00B2252C"/>
    <w:rsid w:val="00B24ABE"/>
    <w:rsid w:val="00B25B31"/>
    <w:rsid w:val="00B25E07"/>
    <w:rsid w:val="00B30534"/>
    <w:rsid w:val="00B30F24"/>
    <w:rsid w:val="00B32036"/>
    <w:rsid w:val="00B3230D"/>
    <w:rsid w:val="00B3340F"/>
    <w:rsid w:val="00B33569"/>
    <w:rsid w:val="00B33848"/>
    <w:rsid w:val="00B33AF5"/>
    <w:rsid w:val="00B33B60"/>
    <w:rsid w:val="00B33D36"/>
    <w:rsid w:val="00B34278"/>
    <w:rsid w:val="00B34872"/>
    <w:rsid w:val="00B34D2E"/>
    <w:rsid w:val="00B351FE"/>
    <w:rsid w:val="00B35802"/>
    <w:rsid w:val="00B36114"/>
    <w:rsid w:val="00B362AA"/>
    <w:rsid w:val="00B36C45"/>
    <w:rsid w:val="00B36DE0"/>
    <w:rsid w:val="00B377EA"/>
    <w:rsid w:val="00B40711"/>
    <w:rsid w:val="00B40D6A"/>
    <w:rsid w:val="00B41764"/>
    <w:rsid w:val="00B43E33"/>
    <w:rsid w:val="00B43EE2"/>
    <w:rsid w:val="00B444BA"/>
    <w:rsid w:val="00B44993"/>
    <w:rsid w:val="00B44E77"/>
    <w:rsid w:val="00B45086"/>
    <w:rsid w:val="00B459B1"/>
    <w:rsid w:val="00B46753"/>
    <w:rsid w:val="00B46A1F"/>
    <w:rsid w:val="00B46DC7"/>
    <w:rsid w:val="00B46E2A"/>
    <w:rsid w:val="00B478C6"/>
    <w:rsid w:val="00B47975"/>
    <w:rsid w:val="00B47DA0"/>
    <w:rsid w:val="00B501B8"/>
    <w:rsid w:val="00B50614"/>
    <w:rsid w:val="00B5067C"/>
    <w:rsid w:val="00B50FBC"/>
    <w:rsid w:val="00B51CDF"/>
    <w:rsid w:val="00B52366"/>
    <w:rsid w:val="00B530AC"/>
    <w:rsid w:val="00B544A3"/>
    <w:rsid w:val="00B55760"/>
    <w:rsid w:val="00B55D02"/>
    <w:rsid w:val="00B561E9"/>
    <w:rsid w:val="00B566C6"/>
    <w:rsid w:val="00B568E4"/>
    <w:rsid w:val="00B56BB0"/>
    <w:rsid w:val="00B57822"/>
    <w:rsid w:val="00B606A3"/>
    <w:rsid w:val="00B6075B"/>
    <w:rsid w:val="00B60A86"/>
    <w:rsid w:val="00B60D13"/>
    <w:rsid w:val="00B60E7C"/>
    <w:rsid w:val="00B61A65"/>
    <w:rsid w:val="00B632A5"/>
    <w:rsid w:val="00B636C5"/>
    <w:rsid w:val="00B63704"/>
    <w:rsid w:val="00B63815"/>
    <w:rsid w:val="00B64116"/>
    <w:rsid w:val="00B647E6"/>
    <w:rsid w:val="00B64C03"/>
    <w:rsid w:val="00B67227"/>
    <w:rsid w:val="00B700FB"/>
    <w:rsid w:val="00B70327"/>
    <w:rsid w:val="00B70AC6"/>
    <w:rsid w:val="00B70B01"/>
    <w:rsid w:val="00B70BF1"/>
    <w:rsid w:val="00B70FB5"/>
    <w:rsid w:val="00B72389"/>
    <w:rsid w:val="00B729B8"/>
    <w:rsid w:val="00B73188"/>
    <w:rsid w:val="00B74F09"/>
    <w:rsid w:val="00B756A3"/>
    <w:rsid w:val="00B75D40"/>
    <w:rsid w:val="00B76CD5"/>
    <w:rsid w:val="00B803F8"/>
    <w:rsid w:val="00B81112"/>
    <w:rsid w:val="00B81E40"/>
    <w:rsid w:val="00B826D3"/>
    <w:rsid w:val="00B82FF2"/>
    <w:rsid w:val="00B8422C"/>
    <w:rsid w:val="00B84C8D"/>
    <w:rsid w:val="00B85605"/>
    <w:rsid w:val="00B8568F"/>
    <w:rsid w:val="00B85B17"/>
    <w:rsid w:val="00B860DC"/>
    <w:rsid w:val="00B861BC"/>
    <w:rsid w:val="00B86A95"/>
    <w:rsid w:val="00B86C1A"/>
    <w:rsid w:val="00B8784B"/>
    <w:rsid w:val="00B87C40"/>
    <w:rsid w:val="00B87EA1"/>
    <w:rsid w:val="00B902B1"/>
    <w:rsid w:val="00B90DAD"/>
    <w:rsid w:val="00B90F06"/>
    <w:rsid w:val="00B90FFF"/>
    <w:rsid w:val="00B91260"/>
    <w:rsid w:val="00B91ABF"/>
    <w:rsid w:val="00B91C2E"/>
    <w:rsid w:val="00B9216D"/>
    <w:rsid w:val="00B93A5C"/>
    <w:rsid w:val="00B93F9A"/>
    <w:rsid w:val="00B94099"/>
    <w:rsid w:val="00B94ADC"/>
    <w:rsid w:val="00B94B1E"/>
    <w:rsid w:val="00B94E8C"/>
    <w:rsid w:val="00B94F14"/>
    <w:rsid w:val="00B95181"/>
    <w:rsid w:val="00B95E49"/>
    <w:rsid w:val="00B9692F"/>
    <w:rsid w:val="00B96AF4"/>
    <w:rsid w:val="00B96CD3"/>
    <w:rsid w:val="00B96D0F"/>
    <w:rsid w:val="00B972B2"/>
    <w:rsid w:val="00B975C5"/>
    <w:rsid w:val="00B97A62"/>
    <w:rsid w:val="00B97A90"/>
    <w:rsid w:val="00B97BB0"/>
    <w:rsid w:val="00BA0E1B"/>
    <w:rsid w:val="00BA2209"/>
    <w:rsid w:val="00BA261C"/>
    <w:rsid w:val="00BA2A59"/>
    <w:rsid w:val="00BA2CFB"/>
    <w:rsid w:val="00BA2F3C"/>
    <w:rsid w:val="00BA3183"/>
    <w:rsid w:val="00BA3C7A"/>
    <w:rsid w:val="00BA44F0"/>
    <w:rsid w:val="00BA4662"/>
    <w:rsid w:val="00BA472C"/>
    <w:rsid w:val="00BA5CA4"/>
    <w:rsid w:val="00BA5ED5"/>
    <w:rsid w:val="00BA7ADD"/>
    <w:rsid w:val="00BA7CFD"/>
    <w:rsid w:val="00BB0B1C"/>
    <w:rsid w:val="00BB1438"/>
    <w:rsid w:val="00BB2994"/>
    <w:rsid w:val="00BB3EE4"/>
    <w:rsid w:val="00BB41A1"/>
    <w:rsid w:val="00BB45B5"/>
    <w:rsid w:val="00BB45CD"/>
    <w:rsid w:val="00BB4A42"/>
    <w:rsid w:val="00BB5225"/>
    <w:rsid w:val="00BB593E"/>
    <w:rsid w:val="00BB5E25"/>
    <w:rsid w:val="00BB6106"/>
    <w:rsid w:val="00BB6D9A"/>
    <w:rsid w:val="00BB7239"/>
    <w:rsid w:val="00BB772F"/>
    <w:rsid w:val="00BC00B3"/>
    <w:rsid w:val="00BC16A4"/>
    <w:rsid w:val="00BC17F1"/>
    <w:rsid w:val="00BC1CEB"/>
    <w:rsid w:val="00BC1E2F"/>
    <w:rsid w:val="00BC212A"/>
    <w:rsid w:val="00BC3362"/>
    <w:rsid w:val="00BC3452"/>
    <w:rsid w:val="00BC3E82"/>
    <w:rsid w:val="00BC4C4C"/>
    <w:rsid w:val="00BC50F6"/>
    <w:rsid w:val="00BC57F3"/>
    <w:rsid w:val="00BC627F"/>
    <w:rsid w:val="00BC6E86"/>
    <w:rsid w:val="00BC7316"/>
    <w:rsid w:val="00BD037F"/>
    <w:rsid w:val="00BD1746"/>
    <w:rsid w:val="00BD20F6"/>
    <w:rsid w:val="00BD2206"/>
    <w:rsid w:val="00BD225B"/>
    <w:rsid w:val="00BD2918"/>
    <w:rsid w:val="00BD2F90"/>
    <w:rsid w:val="00BD3087"/>
    <w:rsid w:val="00BD6147"/>
    <w:rsid w:val="00BD6494"/>
    <w:rsid w:val="00BD6595"/>
    <w:rsid w:val="00BD65AA"/>
    <w:rsid w:val="00BD712B"/>
    <w:rsid w:val="00BD7138"/>
    <w:rsid w:val="00BD760F"/>
    <w:rsid w:val="00BD7709"/>
    <w:rsid w:val="00BD7997"/>
    <w:rsid w:val="00BD7D25"/>
    <w:rsid w:val="00BE003F"/>
    <w:rsid w:val="00BE09DE"/>
    <w:rsid w:val="00BE0EEB"/>
    <w:rsid w:val="00BE170A"/>
    <w:rsid w:val="00BE17D2"/>
    <w:rsid w:val="00BE1BE7"/>
    <w:rsid w:val="00BE31A1"/>
    <w:rsid w:val="00BE3BA6"/>
    <w:rsid w:val="00BE3C76"/>
    <w:rsid w:val="00BE474A"/>
    <w:rsid w:val="00BE6D75"/>
    <w:rsid w:val="00BE7318"/>
    <w:rsid w:val="00BE7D37"/>
    <w:rsid w:val="00BF144B"/>
    <w:rsid w:val="00BF25BE"/>
    <w:rsid w:val="00BF26BE"/>
    <w:rsid w:val="00BF2ED7"/>
    <w:rsid w:val="00BF2FA3"/>
    <w:rsid w:val="00BF36AA"/>
    <w:rsid w:val="00BF4A86"/>
    <w:rsid w:val="00BF4BAB"/>
    <w:rsid w:val="00BF52F4"/>
    <w:rsid w:val="00BF54F9"/>
    <w:rsid w:val="00BF56D6"/>
    <w:rsid w:val="00BF6396"/>
    <w:rsid w:val="00BF6739"/>
    <w:rsid w:val="00BF76EA"/>
    <w:rsid w:val="00BF7D59"/>
    <w:rsid w:val="00C0013A"/>
    <w:rsid w:val="00C00734"/>
    <w:rsid w:val="00C00FB2"/>
    <w:rsid w:val="00C017A8"/>
    <w:rsid w:val="00C01C75"/>
    <w:rsid w:val="00C029A4"/>
    <w:rsid w:val="00C0370D"/>
    <w:rsid w:val="00C039F0"/>
    <w:rsid w:val="00C03F90"/>
    <w:rsid w:val="00C04AD1"/>
    <w:rsid w:val="00C10BB6"/>
    <w:rsid w:val="00C1164A"/>
    <w:rsid w:val="00C117B1"/>
    <w:rsid w:val="00C11A41"/>
    <w:rsid w:val="00C11F4D"/>
    <w:rsid w:val="00C11F95"/>
    <w:rsid w:val="00C13465"/>
    <w:rsid w:val="00C13518"/>
    <w:rsid w:val="00C136E8"/>
    <w:rsid w:val="00C1391C"/>
    <w:rsid w:val="00C1585B"/>
    <w:rsid w:val="00C158EC"/>
    <w:rsid w:val="00C16A39"/>
    <w:rsid w:val="00C16DFE"/>
    <w:rsid w:val="00C16F05"/>
    <w:rsid w:val="00C1714E"/>
    <w:rsid w:val="00C17BA8"/>
    <w:rsid w:val="00C210FE"/>
    <w:rsid w:val="00C21280"/>
    <w:rsid w:val="00C2166B"/>
    <w:rsid w:val="00C2191C"/>
    <w:rsid w:val="00C22411"/>
    <w:rsid w:val="00C22BD2"/>
    <w:rsid w:val="00C23B1C"/>
    <w:rsid w:val="00C23F20"/>
    <w:rsid w:val="00C24250"/>
    <w:rsid w:val="00C24756"/>
    <w:rsid w:val="00C24DC3"/>
    <w:rsid w:val="00C2537C"/>
    <w:rsid w:val="00C25D2D"/>
    <w:rsid w:val="00C2606F"/>
    <w:rsid w:val="00C265EC"/>
    <w:rsid w:val="00C26C69"/>
    <w:rsid w:val="00C26D80"/>
    <w:rsid w:val="00C27663"/>
    <w:rsid w:val="00C30EF8"/>
    <w:rsid w:val="00C31E57"/>
    <w:rsid w:val="00C3236B"/>
    <w:rsid w:val="00C3269B"/>
    <w:rsid w:val="00C32865"/>
    <w:rsid w:val="00C334E0"/>
    <w:rsid w:val="00C3353B"/>
    <w:rsid w:val="00C33623"/>
    <w:rsid w:val="00C337AE"/>
    <w:rsid w:val="00C33916"/>
    <w:rsid w:val="00C33CD6"/>
    <w:rsid w:val="00C3481A"/>
    <w:rsid w:val="00C35A34"/>
    <w:rsid w:val="00C35B20"/>
    <w:rsid w:val="00C35C9B"/>
    <w:rsid w:val="00C361BE"/>
    <w:rsid w:val="00C37175"/>
    <w:rsid w:val="00C37808"/>
    <w:rsid w:val="00C37DBF"/>
    <w:rsid w:val="00C40258"/>
    <w:rsid w:val="00C40988"/>
    <w:rsid w:val="00C41C45"/>
    <w:rsid w:val="00C421E7"/>
    <w:rsid w:val="00C42E5F"/>
    <w:rsid w:val="00C43781"/>
    <w:rsid w:val="00C43A6B"/>
    <w:rsid w:val="00C43D94"/>
    <w:rsid w:val="00C45771"/>
    <w:rsid w:val="00C45FAA"/>
    <w:rsid w:val="00C46579"/>
    <w:rsid w:val="00C4797C"/>
    <w:rsid w:val="00C47981"/>
    <w:rsid w:val="00C479C2"/>
    <w:rsid w:val="00C510C1"/>
    <w:rsid w:val="00C51796"/>
    <w:rsid w:val="00C52287"/>
    <w:rsid w:val="00C525D0"/>
    <w:rsid w:val="00C527DC"/>
    <w:rsid w:val="00C528A4"/>
    <w:rsid w:val="00C53495"/>
    <w:rsid w:val="00C536E4"/>
    <w:rsid w:val="00C53883"/>
    <w:rsid w:val="00C53D08"/>
    <w:rsid w:val="00C5538B"/>
    <w:rsid w:val="00C55BD1"/>
    <w:rsid w:val="00C563FB"/>
    <w:rsid w:val="00C56B0D"/>
    <w:rsid w:val="00C57A1C"/>
    <w:rsid w:val="00C61E4D"/>
    <w:rsid w:val="00C61E55"/>
    <w:rsid w:val="00C6235A"/>
    <w:rsid w:val="00C62405"/>
    <w:rsid w:val="00C62430"/>
    <w:rsid w:val="00C6394F"/>
    <w:rsid w:val="00C63AED"/>
    <w:rsid w:val="00C6481E"/>
    <w:rsid w:val="00C64886"/>
    <w:rsid w:val="00C6499F"/>
    <w:rsid w:val="00C6538C"/>
    <w:rsid w:val="00C659C9"/>
    <w:rsid w:val="00C65E11"/>
    <w:rsid w:val="00C664B6"/>
    <w:rsid w:val="00C66859"/>
    <w:rsid w:val="00C66947"/>
    <w:rsid w:val="00C6694E"/>
    <w:rsid w:val="00C66D84"/>
    <w:rsid w:val="00C70BAF"/>
    <w:rsid w:val="00C70EEA"/>
    <w:rsid w:val="00C72417"/>
    <w:rsid w:val="00C739E1"/>
    <w:rsid w:val="00C761FB"/>
    <w:rsid w:val="00C7646D"/>
    <w:rsid w:val="00C764D1"/>
    <w:rsid w:val="00C77A29"/>
    <w:rsid w:val="00C80273"/>
    <w:rsid w:val="00C8038B"/>
    <w:rsid w:val="00C81357"/>
    <w:rsid w:val="00C81A43"/>
    <w:rsid w:val="00C81D25"/>
    <w:rsid w:val="00C8207A"/>
    <w:rsid w:val="00C82DF7"/>
    <w:rsid w:val="00C82EB5"/>
    <w:rsid w:val="00C8302F"/>
    <w:rsid w:val="00C84EE2"/>
    <w:rsid w:val="00C85190"/>
    <w:rsid w:val="00C8525C"/>
    <w:rsid w:val="00C85399"/>
    <w:rsid w:val="00C854B2"/>
    <w:rsid w:val="00C86F23"/>
    <w:rsid w:val="00C87F3D"/>
    <w:rsid w:val="00C9029F"/>
    <w:rsid w:val="00C90422"/>
    <w:rsid w:val="00C9055E"/>
    <w:rsid w:val="00C91971"/>
    <w:rsid w:val="00C91BE7"/>
    <w:rsid w:val="00C9333A"/>
    <w:rsid w:val="00C938C4"/>
    <w:rsid w:val="00C9467F"/>
    <w:rsid w:val="00C9480E"/>
    <w:rsid w:val="00C94F76"/>
    <w:rsid w:val="00C95D51"/>
    <w:rsid w:val="00C95FFB"/>
    <w:rsid w:val="00C9687F"/>
    <w:rsid w:val="00C96FDF"/>
    <w:rsid w:val="00C97539"/>
    <w:rsid w:val="00CA037B"/>
    <w:rsid w:val="00CA03F9"/>
    <w:rsid w:val="00CA2918"/>
    <w:rsid w:val="00CA3BF8"/>
    <w:rsid w:val="00CA3FCC"/>
    <w:rsid w:val="00CA48D9"/>
    <w:rsid w:val="00CA54E2"/>
    <w:rsid w:val="00CA63AD"/>
    <w:rsid w:val="00CA64F4"/>
    <w:rsid w:val="00CA7369"/>
    <w:rsid w:val="00CA7F25"/>
    <w:rsid w:val="00CB0A83"/>
    <w:rsid w:val="00CB0E44"/>
    <w:rsid w:val="00CB1447"/>
    <w:rsid w:val="00CB17C4"/>
    <w:rsid w:val="00CB1C5A"/>
    <w:rsid w:val="00CB1FF5"/>
    <w:rsid w:val="00CB2542"/>
    <w:rsid w:val="00CB2830"/>
    <w:rsid w:val="00CB3AF8"/>
    <w:rsid w:val="00CB5F16"/>
    <w:rsid w:val="00CB5F80"/>
    <w:rsid w:val="00CB6393"/>
    <w:rsid w:val="00CB6573"/>
    <w:rsid w:val="00CB6EC5"/>
    <w:rsid w:val="00CB700B"/>
    <w:rsid w:val="00CB760E"/>
    <w:rsid w:val="00CB7C7E"/>
    <w:rsid w:val="00CC06A4"/>
    <w:rsid w:val="00CC1EFE"/>
    <w:rsid w:val="00CC34EF"/>
    <w:rsid w:val="00CC3B58"/>
    <w:rsid w:val="00CC41FF"/>
    <w:rsid w:val="00CC491F"/>
    <w:rsid w:val="00CC4F12"/>
    <w:rsid w:val="00CC5E4A"/>
    <w:rsid w:val="00CC6ADD"/>
    <w:rsid w:val="00CC71F3"/>
    <w:rsid w:val="00CC7807"/>
    <w:rsid w:val="00CD0090"/>
    <w:rsid w:val="00CD0E84"/>
    <w:rsid w:val="00CD2342"/>
    <w:rsid w:val="00CD245A"/>
    <w:rsid w:val="00CD2694"/>
    <w:rsid w:val="00CD3B5D"/>
    <w:rsid w:val="00CD508C"/>
    <w:rsid w:val="00CD5847"/>
    <w:rsid w:val="00CD66A7"/>
    <w:rsid w:val="00CD6C17"/>
    <w:rsid w:val="00CD71B5"/>
    <w:rsid w:val="00CD77D1"/>
    <w:rsid w:val="00CD7D34"/>
    <w:rsid w:val="00CE05DA"/>
    <w:rsid w:val="00CE13A1"/>
    <w:rsid w:val="00CE1554"/>
    <w:rsid w:val="00CE16BB"/>
    <w:rsid w:val="00CE22CC"/>
    <w:rsid w:val="00CE2623"/>
    <w:rsid w:val="00CE2BCA"/>
    <w:rsid w:val="00CE2CB4"/>
    <w:rsid w:val="00CE3523"/>
    <w:rsid w:val="00CE4282"/>
    <w:rsid w:val="00CE43C2"/>
    <w:rsid w:val="00CE46EA"/>
    <w:rsid w:val="00CE474D"/>
    <w:rsid w:val="00CE48B3"/>
    <w:rsid w:val="00CE4A10"/>
    <w:rsid w:val="00CE4E8F"/>
    <w:rsid w:val="00CE512D"/>
    <w:rsid w:val="00CE56E1"/>
    <w:rsid w:val="00CE5B01"/>
    <w:rsid w:val="00CE5E07"/>
    <w:rsid w:val="00CE5E74"/>
    <w:rsid w:val="00CE613F"/>
    <w:rsid w:val="00CE6813"/>
    <w:rsid w:val="00CE7CE8"/>
    <w:rsid w:val="00CE7CFE"/>
    <w:rsid w:val="00CF0595"/>
    <w:rsid w:val="00CF2189"/>
    <w:rsid w:val="00CF2449"/>
    <w:rsid w:val="00CF3585"/>
    <w:rsid w:val="00CF35A8"/>
    <w:rsid w:val="00CF3C6F"/>
    <w:rsid w:val="00CF56AC"/>
    <w:rsid w:val="00CF58F0"/>
    <w:rsid w:val="00CF64A5"/>
    <w:rsid w:val="00CF6ED7"/>
    <w:rsid w:val="00CF70F3"/>
    <w:rsid w:val="00CF711C"/>
    <w:rsid w:val="00CF74E6"/>
    <w:rsid w:val="00CF752D"/>
    <w:rsid w:val="00CF777B"/>
    <w:rsid w:val="00CF7DFE"/>
    <w:rsid w:val="00CF7F53"/>
    <w:rsid w:val="00D005D0"/>
    <w:rsid w:val="00D010DC"/>
    <w:rsid w:val="00D01687"/>
    <w:rsid w:val="00D01BB1"/>
    <w:rsid w:val="00D01D99"/>
    <w:rsid w:val="00D01FA6"/>
    <w:rsid w:val="00D02342"/>
    <w:rsid w:val="00D025D0"/>
    <w:rsid w:val="00D03276"/>
    <w:rsid w:val="00D03821"/>
    <w:rsid w:val="00D047CE"/>
    <w:rsid w:val="00D0484E"/>
    <w:rsid w:val="00D0527F"/>
    <w:rsid w:val="00D05293"/>
    <w:rsid w:val="00D05B25"/>
    <w:rsid w:val="00D05BA7"/>
    <w:rsid w:val="00D070A0"/>
    <w:rsid w:val="00D070C1"/>
    <w:rsid w:val="00D07717"/>
    <w:rsid w:val="00D1045E"/>
    <w:rsid w:val="00D10C65"/>
    <w:rsid w:val="00D10F89"/>
    <w:rsid w:val="00D11EC7"/>
    <w:rsid w:val="00D11ED1"/>
    <w:rsid w:val="00D121BA"/>
    <w:rsid w:val="00D1291C"/>
    <w:rsid w:val="00D12A15"/>
    <w:rsid w:val="00D12E07"/>
    <w:rsid w:val="00D14CAD"/>
    <w:rsid w:val="00D14D98"/>
    <w:rsid w:val="00D1536E"/>
    <w:rsid w:val="00D157AE"/>
    <w:rsid w:val="00D1639A"/>
    <w:rsid w:val="00D208CF"/>
    <w:rsid w:val="00D21564"/>
    <w:rsid w:val="00D217EC"/>
    <w:rsid w:val="00D21FEF"/>
    <w:rsid w:val="00D23208"/>
    <w:rsid w:val="00D23F73"/>
    <w:rsid w:val="00D242A1"/>
    <w:rsid w:val="00D24675"/>
    <w:rsid w:val="00D25168"/>
    <w:rsid w:val="00D25C95"/>
    <w:rsid w:val="00D25E72"/>
    <w:rsid w:val="00D25F6D"/>
    <w:rsid w:val="00D2653F"/>
    <w:rsid w:val="00D26948"/>
    <w:rsid w:val="00D26F59"/>
    <w:rsid w:val="00D27682"/>
    <w:rsid w:val="00D279E0"/>
    <w:rsid w:val="00D301EE"/>
    <w:rsid w:val="00D309D6"/>
    <w:rsid w:val="00D3152A"/>
    <w:rsid w:val="00D31E3F"/>
    <w:rsid w:val="00D320CA"/>
    <w:rsid w:val="00D322FE"/>
    <w:rsid w:val="00D327C5"/>
    <w:rsid w:val="00D32FFB"/>
    <w:rsid w:val="00D335A0"/>
    <w:rsid w:val="00D34C30"/>
    <w:rsid w:val="00D351E8"/>
    <w:rsid w:val="00D35ACD"/>
    <w:rsid w:val="00D365BB"/>
    <w:rsid w:val="00D366B9"/>
    <w:rsid w:val="00D409FD"/>
    <w:rsid w:val="00D40E38"/>
    <w:rsid w:val="00D41686"/>
    <w:rsid w:val="00D4175F"/>
    <w:rsid w:val="00D42530"/>
    <w:rsid w:val="00D42652"/>
    <w:rsid w:val="00D42D1D"/>
    <w:rsid w:val="00D4307B"/>
    <w:rsid w:val="00D44926"/>
    <w:rsid w:val="00D44BF6"/>
    <w:rsid w:val="00D45393"/>
    <w:rsid w:val="00D45F46"/>
    <w:rsid w:val="00D460B2"/>
    <w:rsid w:val="00D461B7"/>
    <w:rsid w:val="00D4696A"/>
    <w:rsid w:val="00D46A58"/>
    <w:rsid w:val="00D46B3F"/>
    <w:rsid w:val="00D512BE"/>
    <w:rsid w:val="00D5149F"/>
    <w:rsid w:val="00D51568"/>
    <w:rsid w:val="00D5189C"/>
    <w:rsid w:val="00D51B7A"/>
    <w:rsid w:val="00D527A0"/>
    <w:rsid w:val="00D5325A"/>
    <w:rsid w:val="00D54248"/>
    <w:rsid w:val="00D54735"/>
    <w:rsid w:val="00D547D2"/>
    <w:rsid w:val="00D54A7E"/>
    <w:rsid w:val="00D551B7"/>
    <w:rsid w:val="00D555C0"/>
    <w:rsid w:val="00D55BFB"/>
    <w:rsid w:val="00D56406"/>
    <w:rsid w:val="00D565C9"/>
    <w:rsid w:val="00D566A1"/>
    <w:rsid w:val="00D6092B"/>
    <w:rsid w:val="00D609DE"/>
    <w:rsid w:val="00D60C45"/>
    <w:rsid w:val="00D61572"/>
    <w:rsid w:val="00D61D3F"/>
    <w:rsid w:val="00D62809"/>
    <w:rsid w:val="00D6357B"/>
    <w:rsid w:val="00D63615"/>
    <w:rsid w:val="00D636C3"/>
    <w:rsid w:val="00D639A0"/>
    <w:rsid w:val="00D640ED"/>
    <w:rsid w:val="00D652DD"/>
    <w:rsid w:val="00D65368"/>
    <w:rsid w:val="00D66730"/>
    <w:rsid w:val="00D66924"/>
    <w:rsid w:val="00D66B37"/>
    <w:rsid w:val="00D677C3"/>
    <w:rsid w:val="00D703B2"/>
    <w:rsid w:val="00D70E7D"/>
    <w:rsid w:val="00D71934"/>
    <w:rsid w:val="00D71DF6"/>
    <w:rsid w:val="00D72AC3"/>
    <w:rsid w:val="00D733CF"/>
    <w:rsid w:val="00D739FD"/>
    <w:rsid w:val="00D74FA9"/>
    <w:rsid w:val="00D75294"/>
    <w:rsid w:val="00D75772"/>
    <w:rsid w:val="00D75948"/>
    <w:rsid w:val="00D75957"/>
    <w:rsid w:val="00D75C65"/>
    <w:rsid w:val="00D76263"/>
    <w:rsid w:val="00D7660E"/>
    <w:rsid w:val="00D76A5B"/>
    <w:rsid w:val="00D779DE"/>
    <w:rsid w:val="00D77A43"/>
    <w:rsid w:val="00D77ACA"/>
    <w:rsid w:val="00D8118E"/>
    <w:rsid w:val="00D812D6"/>
    <w:rsid w:val="00D81771"/>
    <w:rsid w:val="00D8183E"/>
    <w:rsid w:val="00D8289E"/>
    <w:rsid w:val="00D84386"/>
    <w:rsid w:val="00D843CA"/>
    <w:rsid w:val="00D848AB"/>
    <w:rsid w:val="00D853A5"/>
    <w:rsid w:val="00D85653"/>
    <w:rsid w:val="00D86004"/>
    <w:rsid w:val="00D8751E"/>
    <w:rsid w:val="00D87608"/>
    <w:rsid w:val="00D877E5"/>
    <w:rsid w:val="00D8782F"/>
    <w:rsid w:val="00D87E4F"/>
    <w:rsid w:val="00D903EC"/>
    <w:rsid w:val="00D90B54"/>
    <w:rsid w:val="00D9143B"/>
    <w:rsid w:val="00D937B8"/>
    <w:rsid w:val="00D93B5D"/>
    <w:rsid w:val="00D93E38"/>
    <w:rsid w:val="00D942E3"/>
    <w:rsid w:val="00D95595"/>
    <w:rsid w:val="00D956ED"/>
    <w:rsid w:val="00D9582F"/>
    <w:rsid w:val="00D9628C"/>
    <w:rsid w:val="00D97FFA"/>
    <w:rsid w:val="00DA0787"/>
    <w:rsid w:val="00DA09B9"/>
    <w:rsid w:val="00DA1442"/>
    <w:rsid w:val="00DA1DFD"/>
    <w:rsid w:val="00DA235C"/>
    <w:rsid w:val="00DA3028"/>
    <w:rsid w:val="00DA358F"/>
    <w:rsid w:val="00DA4EC0"/>
    <w:rsid w:val="00DA5A3A"/>
    <w:rsid w:val="00DA5C90"/>
    <w:rsid w:val="00DA699A"/>
    <w:rsid w:val="00DA6DC0"/>
    <w:rsid w:val="00DA6F9E"/>
    <w:rsid w:val="00DB06C3"/>
    <w:rsid w:val="00DB1951"/>
    <w:rsid w:val="00DB1F2A"/>
    <w:rsid w:val="00DB1FBB"/>
    <w:rsid w:val="00DB2637"/>
    <w:rsid w:val="00DB32EB"/>
    <w:rsid w:val="00DB412D"/>
    <w:rsid w:val="00DB4874"/>
    <w:rsid w:val="00DB4A1D"/>
    <w:rsid w:val="00DB4D44"/>
    <w:rsid w:val="00DB4F02"/>
    <w:rsid w:val="00DB57FA"/>
    <w:rsid w:val="00DB6C55"/>
    <w:rsid w:val="00DB6E17"/>
    <w:rsid w:val="00DB74C5"/>
    <w:rsid w:val="00DB7D15"/>
    <w:rsid w:val="00DC066B"/>
    <w:rsid w:val="00DC1649"/>
    <w:rsid w:val="00DC1666"/>
    <w:rsid w:val="00DC18FB"/>
    <w:rsid w:val="00DC1ACD"/>
    <w:rsid w:val="00DC2242"/>
    <w:rsid w:val="00DC310C"/>
    <w:rsid w:val="00DC3839"/>
    <w:rsid w:val="00DC3B85"/>
    <w:rsid w:val="00DC5282"/>
    <w:rsid w:val="00DC590E"/>
    <w:rsid w:val="00DC5962"/>
    <w:rsid w:val="00DC5DD2"/>
    <w:rsid w:val="00DC6D6C"/>
    <w:rsid w:val="00DC7C6A"/>
    <w:rsid w:val="00DC7DD4"/>
    <w:rsid w:val="00DC7FD4"/>
    <w:rsid w:val="00DD01E8"/>
    <w:rsid w:val="00DD0ADD"/>
    <w:rsid w:val="00DD1666"/>
    <w:rsid w:val="00DD17BD"/>
    <w:rsid w:val="00DD1E44"/>
    <w:rsid w:val="00DD2428"/>
    <w:rsid w:val="00DD2C23"/>
    <w:rsid w:val="00DD2E12"/>
    <w:rsid w:val="00DD31A9"/>
    <w:rsid w:val="00DD37E6"/>
    <w:rsid w:val="00DD3D64"/>
    <w:rsid w:val="00DD4431"/>
    <w:rsid w:val="00DD4698"/>
    <w:rsid w:val="00DD4A30"/>
    <w:rsid w:val="00DD5F98"/>
    <w:rsid w:val="00DD6193"/>
    <w:rsid w:val="00DD6CBC"/>
    <w:rsid w:val="00DD741B"/>
    <w:rsid w:val="00DD7E13"/>
    <w:rsid w:val="00DE142D"/>
    <w:rsid w:val="00DE1CC9"/>
    <w:rsid w:val="00DE292F"/>
    <w:rsid w:val="00DE412D"/>
    <w:rsid w:val="00DE6C5F"/>
    <w:rsid w:val="00DE6F02"/>
    <w:rsid w:val="00DE7B3F"/>
    <w:rsid w:val="00DF0943"/>
    <w:rsid w:val="00DF0A02"/>
    <w:rsid w:val="00DF0A0F"/>
    <w:rsid w:val="00DF1773"/>
    <w:rsid w:val="00DF1A3E"/>
    <w:rsid w:val="00DF208A"/>
    <w:rsid w:val="00DF2952"/>
    <w:rsid w:val="00DF3547"/>
    <w:rsid w:val="00DF52B8"/>
    <w:rsid w:val="00DF5B68"/>
    <w:rsid w:val="00DF7299"/>
    <w:rsid w:val="00DF76A3"/>
    <w:rsid w:val="00E0040A"/>
    <w:rsid w:val="00E0046F"/>
    <w:rsid w:val="00E00836"/>
    <w:rsid w:val="00E00E55"/>
    <w:rsid w:val="00E015C2"/>
    <w:rsid w:val="00E01623"/>
    <w:rsid w:val="00E021C0"/>
    <w:rsid w:val="00E0260A"/>
    <w:rsid w:val="00E0377F"/>
    <w:rsid w:val="00E038AA"/>
    <w:rsid w:val="00E038EE"/>
    <w:rsid w:val="00E03CE9"/>
    <w:rsid w:val="00E03E04"/>
    <w:rsid w:val="00E05330"/>
    <w:rsid w:val="00E06991"/>
    <w:rsid w:val="00E06B6C"/>
    <w:rsid w:val="00E06DC5"/>
    <w:rsid w:val="00E06E70"/>
    <w:rsid w:val="00E06F35"/>
    <w:rsid w:val="00E07705"/>
    <w:rsid w:val="00E07DCD"/>
    <w:rsid w:val="00E1059E"/>
    <w:rsid w:val="00E11417"/>
    <w:rsid w:val="00E1149A"/>
    <w:rsid w:val="00E11593"/>
    <w:rsid w:val="00E118C5"/>
    <w:rsid w:val="00E121EA"/>
    <w:rsid w:val="00E1224F"/>
    <w:rsid w:val="00E1350A"/>
    <w:rsid w:val="00E150A4"/>
    <w:rsid w:val="00E1536F"/>
    <w:rsid w:val="00E15CCB"/>
    <w:rsid w:val="00E16715"/>
    <w:rsid w:val="00E17218"/>
    <w:rsid w:val="00E172E5"/>
    <w:rsid w:val="00E17378"/>
    <w:rsid w:val="00E201C7"/>
    <w:rsid w:val="00E2063B"/>
    <w:rsid w:val="00E21553"/>
    <w:rsid w:val="00E215C0"/>
    <w:rsid w:val="00E221AD"/>
    <w:rsid w:val="00E2255D"/>
    <w:rsid w:val="00E23E13"/>
    <w:rsid w:val="00E248BF"/>
    <w:rsid w:val="00E249ED"/>
    <w:rsid w:val="00E254A6"/>
    <w:rsid w:val="00E26197"/>
    <w:rsid w:val="00E2662F"/>
    <w:rsid w:val="00E267E4"/>
    <w:rsid w:val="00E2685D"/>
    <w:rsid w:val="00E26F28"/>
    <w:rsid w:val="00E2765F"/>
    <w:rsid w:val="00E31836"/>
    <w:rsid w:val="00E32F11"/>
    <w:rsid w:val="00E33220"/>
    <w:rsid w:val="00E33635"/>
    <w:rsid w:val="00E34455"/>
    <w:rsid w:val="00E34E0F"/>
    <w:rsid w:val="00E35A43"/>
    <w:rsid w:val="00E36AC6"/>
    <w:rsid w:val="00E36F3B"/>
    <w:rsid w:val="00E37870"/>
    <w:rsid w:val="00E40648"/>
    <w:rsid w:val="00E4161A"/>
    <w:rsid w:val="00E4171E"/>
    <w:rsid w:val="00E41987"/>
    <w:rsid w:val="00E41E1C"/>
    <w:rsid w:val="00E41EE3"/>
    <w:rsid w:val="00E42391"/>
    <w:rsid w:val="00E42776"/>
    <w:rsid w:val="00E43893"/>
    <w:rsid w:val="00E443FB"/>
    <w:rsid w:val="00E4613D"/>
    <w:rsid w:val="00E47DF5"/>
    <w:rsid w:val="00E50366"/>
    <w:rsid w:val="00E5155C"/>
    <w:rsid w:val="00E51E1D"/>
    <w:rsid w:val="00E529B3"/>
    <w:rsid w:val="00E52ADB"/>
    <w:rsid w:val="00E53876"/>
    <w:rsid w:val="00E539FE"/>
    <w:rsid w:val="00E55DB0"/>
    <w:rsid w:val="00E55EE6"/>
    <w:rsid w:val="00E56013"/>
    <w:rsid w:val="00E60E46"/>
    <w:rsid w:val="00E61383"/>
    <w:rsid w:val="00E626DF"/>
    <w:rsid w:val="00E630C7"/>
    <w:rsid w:val="00E6324E"/>
    <w:rsid w:val="00E632A6"/>
    <w:rsid w:val="00E641BA"/>
    <w:rsid w:val="00E64386"/>
    <w:rsid w:val="00E64C1C"/>
    <w:rsid w:val="00E65032"/>
    <w:rsid w:val="00E65C36"/>
    <w:rsid w:val="00E66723"/>
    <w:rsid w:val="00E66C26"/>
    <w:rsid w:val="00E6799E"/>
    <w:rsid w:val="00E67F8A"/>
    <w:rsid w:val="00E70615"/>
    <w:rsid w:val="00E70697"/>
    <w:rsid w:val="00E7109E"/>
    <w:rsid w:val="00E710C3"/>
    <w:rsid w:val="00E7114D"/>
    <w:rsid w:val="00E73243"/>
    <w:rsid w:val="00E734AF"/>
    <w:rsid w:val="00E7463B"/>
    <w:rsid w:val="00E7463D"/>
    <w:rsid w:val="00E74BD3"/>
    <w:rsid w:val="00E74CEA"/>
    <w:rsid w:val="00E74D37"/>
    <w:rsid w:val="00E7509D"/>
    <w:rsid w:val="00E7584A"/>
    <w:rsid w:val="00E758E3"/>
    <w:rsid w:val="00E75E9F"/>
    <w:rsid w:val="00E765B5"/>
    <w:rsid w:val="00E76B45"/>
    <w:rsid w:val="00E77146"/>
    <w:rsid w:val="00E8083A"/>
    <w:rsid w:val="00E809FC"/>
    <w:rsid w:val="00E80B84"/>
    <w:rsid w:val="00E80F39"/>
    <w:rsid w:val="00E810AB"/>
    <w:rsid w:val="00E81616"/>
    <w:rsid w:val="00E81A97"/>
    <w:rsid w:val="00E81AFC"/>
    <w:rsid w:val="00E82277"/>
    <w:rsid w:val="00E83781"/>
    <w:rsid w:val="00E8396A"/>
    <w:rsid w:val="00E83F3C"/>
    <w:rsid w:val="00E8408F"/>
    <w:rsid w:val="00E840E0"/>
    <w:rsid w:val="00E84E49"/>
    <w:rsid w:val="00E854E2"/>
    <w:rsid w:val="00E86C93"/>
    <w:rsid w:val="00E872E1"/>
    <w:rsid w:val="00E90938"/>
    <w:rsid w:val="00E90E6C"/>
    <w:rsid w:val="00E91497"/>
    <w:rsid w:val="00E9165D"/>
    <w:rsid w:val="00E9176B"/>
    <w:rsid w:val="00E91A05"/>
    <w:rsid w:val="00E91BEF"/>
    <w:rsid w:val="00E92634"/>
    <w:rsid w:val="00E93D9D"/>
    <w:rsid w:val="00E94521"/>
    <w:rsid w:val="00E9503F"/>
    <w:rsid w:val="00E9577B"/>
    <w:rsid w:val="00E96CBC"/>
    <w:rsid w:val="00E97569"/>
    <w:rsid w:val="00E97CDF"/>
    <w:rsid w:val="00EA0330"/>
    <w:rsid w:val="00EA091B"/>
    <w:rsid w:val="00EA1326"/>
    <w:rsid w:val="00EA206B"/>
    <w:rsid w:val="00EA2110"/>
    <w:rsid w:val="00EA2CA8"/>
    <w:rsid w:val="00EA3EB6"/>
    <w:rsid w:val="00EA45BD"/>
    <w:rsid w:val="00EA4650"/>
    <w:rsid w:val="00EA4A52"/>
    <w:rsid w:val="00EA50BD"/>
    <w:rsid w:val="00EA54B2"/>
    <w:rsid w:val="00EA54D5"/>
    <w:rsid w:val="00EA693E"/>
    <w:rsid w:val="00EA7117"/>
    <w:rsid w:val="00EB041C"/>
    <w:rsid w:val="00EB107C"/>
    <w:rsid w:val="00EB114E"/>
    <w:rsid w:val="00EB1F39"/>
    <w:rsid w:val="00EB2DA8"/>
    <w:rsid w:val="00EB2EBF"/>
    <w:rsid w:val="00EB3A53"/>
    <w:rsid w:val="00EB4076"/>
    <w:rsid w:val="00EB4E48"/>
    <w:rsid w:val="00EB55D0"/>
    <w:rsid w:val="00EB6E3B"/>
    <w:rsid w:val="00EB7BA2"/>
    <w:rsid w:val="00EC0077"/>
    <w:rsid w:val="00EC06BD"/>
    <w:rsid w:val="00EC0846"/>
    <w:rsid w:val="00EC17CF"/>
    <w:rsid w:val="00EC1A53"/>
    <w:rsid w:val="00EC1F06"/>
    <w:rsid w:val="00EC3DA0"/>
    <w:rsid w:val="00EC48D5"/>
    <w:rsid w:val="00EC54DE"/>
    <w:rsid w:val="00EC5B58"/>
    <w:rsid w:val="00EC6393"/>
    <w:rsid w:val="00EC7075"/>
    <w:rsid w:val="00ED0311"/>
    <w:rsid w:val="00ED045D"/>
    <w:rsid w:val="00ED1501"/>
    <w:rsid w:val="00ED15B5"/>
    <w:rsid w:val="00ED190E"/>
    <w:rsid w:val="00ED2378"/>
    <w:rsid w:val="00ED29B7"/>
    <w:rsid w:val="00ED3851"/>
    <w:rsid w:val="00ED3FBB"/>
    <w:rsid w:val="00ED6099"/>
    <w:rsid w:val="00ED78E6"/>
    <w:rsid w:val="00EE0B40"/>
    <w:rsid w:val="00EE0DD3"/>
    <w:rsid w:val="00EE1625"/>
    <w:rsid w:val="00EE2389"/>
    <w:rsid w:val="00EE3B3D"/>
    <w:rsid w:val="00EE451E"/>
    <w:rsid w:val="00EE49BD"/>
    <w:rsid w:val="00EE5800"/>
    <w:rsid w:val="00EE5C3D"/>
    <w:rsid w:val="00EE60AA"/>
    <w:rsid w:val="00EE76BA"/>
    <w:rsid w:val="00EE7CC4"/>
    <w:rsid w:val="00EF0AFB"/>
    <w:rsid w:val="00EF0E5B"/>
    <w:rsid w:val="00EF0E80"/>
    <w:rsid w:val="00EF1834"/>
    <w:rsid w:val="00EF250E"/>
    <w:rsid w:val="00EF51AE"/>
    <w:rsid w:val="00EF5437"/>
    <w:rsid w:val="00EF59A0"/>
    <w:rsid w:val="00EF6AC6"/>
    <w:rsid w:val="00EF7594"/>
    <w:rsid w:val="00F00AE3"/>
    <w:rsid w:val="00F010F3"/>
    <w:rsid w:val="00F011E8"/>
    <w:rsid w:val="00F02A78"/>
    <w:rsid w:val="00F0359E"/>
    <w:rsid w:val="00F0384E"/>
    <w:rsid w:val="00F04959"/>
    <w:rsid w:val="00F04B05"/>
    <w:rsid w:val="00F0512B"/>
    <w:rsid w:val="00F068CF"/>
    <w:rsid w:val="00F06C74"/>
    <w:rsid w:val="00F10068"/>
    <w:rsid w:val="00F11A3F"/>
    <w:rsid w:val="00F12712"/>
    <w:rsid w:val="00F12A6C"/>
    <w:rsid w:val="00F12BEF"/>
    <w:rsid w:val="00F13D49"/>
    <w:rsid w:val="00F14002"/>
    <w:rsid w:val="00F146D6"/>
    <w:rsid w:val="00F16CD3"/>
    <w:rsid w:val="00F17B69"/>
    <w:rsid w:val="00F20076"/>
    <w:rsid w:val="00F2238A"/>
    <w:rsid w:val="00F230EC"/>
    <w:rsid w:val="00F23249"/>
    <w:rsid w:val="00F2334C"/>
    <w:rsid w:val="00F23B7C"/>
    <w:rsid w:val="00F23C50"/>
    <w:rsid w:val="00F24054"/>
    <w:rsid w:val="00F243DF"/>
    <w:rsid w:val="00F2452F"/>
    <w:rsid w:val="00F24830"/>
    <w:rsid w:val="00F2618A"/>
    <w:rsid w:val="00F30A59"/>
    <w:rsid w:val="00F31030"/>
    <w:rsid w:val="00F3163D"/>
    <w:rsid w:val="00F3197F"/>
    <w:rsid w:val="00F32250"/>
    <w:rsid w:val="00F328CE"/>
    <w:rsid w:val="00F32BA2"/>
    <w:rsid w:val="00F32DC3"/>
    <w:rsid w:val="00F3301F"/>
    <w:rsid w:val="00F33569"/>
    <w:rsid w:val="00F34126"/>
    <w:rsid w:val="00F348AF"/>
    <w:rsid w:val="00F351D7"/>
    <w:rsid w:val="00F35374"/>
    <w:rsid w:val="00F35470"/>
    <w:rsid w:val="00F35770"/>
    <w:rsid w:val="00F36170"/>
    <w:rsid w:val="00F36747"/>
    <w:rsid w:val="00F36B8F"/>
    <w:rsid w:val="00F36CB9"/>
    <w:rsid w:val="00F36F99"/>
    <w:rsid w:val="00F3729C"/>
    <w:rsid w:val="00F407B6"/>
    <w:rsid w:val="00F40AD3"/>
    <w:rsid w:val="00F41205"/>
    <w:rsid w:val="00F4152E"/>
    <w:rsid w:val="00F4235E"/>
    <w:rsid w:val="00F43325"/>
    <w:rsid w:val="00F43C43"/>
    <w:rsid w:val="00F43DD1"/>
    <w:rsid w:val="00F456B3"/>
    <w:rsid w:val="00F45AC3"/>
    <w:rsid w:val="00F46693"/>
    <w:rsid w:val="00F4695C"/>
    <w:rsid w:val="00F504A9"/>
    <w:rsid w:val="00F50EB2"/>
    <w:rsid w:val="00F50F4E"/>
    <w:rsid w:val="00F5125B"/>
    <w:rsid w:val="00F51C93"/>
    <w:rsid w:val="00F534B3"/>
    <w:rsid w:val="00F53769"/>
    <w:rsid w:val="00F53ED9"/>
    <w:rsid w:val="00F548C2"/>
    <w:rsid w:val="00F54DBF"/>
    <w:rsid w:val="00F55137"/>
    <w:rsid w:val="00F551D7"/>
    <w:rsid w:val="00F552E3"/>
    <w:rsid w:val="00F569B6"/>
    <w:rsid w:val="00F56D57"/>
    <w:rsid w:val="00F5700B"/>
    <w:rsid w:val="00F60144"/>
    <w:rsid w:val="00F606E5"/>
    <w:rsid w:val="00F60953"/>
    <w:rsid w:val="00F61A2E"/>
    <w:rsid w:val="00F62023"/>
    <w:rsid w:val="00F620EC"/>
    <w:rsid w:val="00F62926"/>
    <w:rsid w:val="00F63358"/>
    <w:rsid w:val="00F63405"/>
    <w:rsid w:val="00F64A6D"/>
    <w:rsid w:val="00F65116"/>
    <w:rsid w:val="00F656C8"/>
    <w:rsid w:val="00F65E88"/>
    <w:rsid w:val="00F663F2"/>
    <w:rsid w:val="00F6680A"/>
    <w:rsid w:val="00F67B10"/>
    <w:rsid w:val="00F70E18"/>
    <w:rsid w:val="00F7247A"/>
    <w:rsid w:val="00F729A2"/>
    <w:rsid w:val="00F738D2"/>
    <w:rsid w:val="00F74696"/>
    <w:rsid w:val="00F75917"/>
    <w:rsid w:val="00F75C23"/>
    <w:rsid w:val="00F76209"/>
    <w:rsid w:val="00F77A38"/>
    <w:rsid w:val="00F77E90"/>
    <w:rsid w:val="00F77EF2"/>
    <w:rsid w:val="00F80F81"/>
    <w:rsid w:val="00F815EE"/>
    <w:rsid w:val="00F81E19"/>
    <w:rsid w:val="00F823A7"/>
    <w:rsid w:val="00F84560"/>
    <w:rsid w:val="00F85626"/>
    <w:rsid w:val="00F85D6D"/>
    <w:rsid w:val="00F85DFB"/>
    <w:rsid w:val="00F878C0"/>
    <w:rsid w:val="00F8792D"/>
    <w:rsid w:val="00F879D5"/>
    <w:rsid w:val="00F87C06"/>
    <w:rsid w:val="00F90AAB"/>
    <w:rsid w:val="00F91277"/>
    <w:rsid w:val="00F91563"/>
    <w:rsid w:val="00F917B0"/>
    <w:rsid w:val="00F926DE"/>
    <w:rsid w:val="00F92B87"/>
    <w:rsid w:val="00F92D08"/>
    <w:rsid w:val="00F92DEA"/>
    <w:rsid w:val="00F9333D"/>
    <w:rsid w:val="00F9355F"/>
    <w:rsid w:val="00F942FE"/>
    <w:rsid w:val="00F9462B"/>
    <w:rsid w:val="00F94F49"/>
    <w:rsid w:val="00F964B9"/>
    <w:rsid w:val="00F96C02"/>
    <w:rsid w:val="00F96C6D"/>
    <w:rsid w:val="00F96D1B"/>
    <w:rsid w:val="00F96FDD"/>
    <w:rsid w:val="00FA0E74"/>
    <w:rsid w:val="00FA1017"/>
    <w:rsid w:val="00FA11F2"/>
    <w:rsid w:val="00FA1852"/>
    <w:rsid w:val="00FA205A"/>
    <w:rsid w:val="00FA2439"/>
    <w:rsid w:val="00FA24FD"/>
    <w:rsid w:val="00FA2D05"/>
    <w:rsid w:val="00FA2E13"/>
    <w:rsid w:val="00FA3443"/>
    <w:rsid w:val="00FA3654"/>
    <w:rsid w:val="00FA40FA"/>
    <w:rsid w:val="00FA44D7"/>
    <w:rsid w:val="00FA46B1"/>
    <w:rsid w:val="00FA6535"/>
    <w:rsid w:val="00FA68C6"/>
    <w:rsid w:val="00FA6B8B"/>
    <w:rsid w:val="00FA7196"/>
    <w:rsid w:val="00FA7856"/>
    <w:rsid w:val="00FA79FE"/>
    <w:rsid w:val="00FB095B"/>
    <w:rsid w:val="00FB0CB0"/>
    <w:rsid w:val="00FB11A9"/>
    <w:rsid w:val="00FB159D"/>
    <w:rsid w:val="00FB2286"/>
    <w:rsid w:val="00FB22BE"/>
    <w:rsid w:val="00FB293E"/>
    <w:rsid w:val="00FB55DF"/>
    <w:rsid w:val="00FB6094"/>
    <w:rsid w:val="00FB6807"/>
    <w:rsid w:val="00FC0A36"/>
    <w:rsid w:val="00FC0DB2"/>
    <w:rsid w:val="00FC11A8"/>
    <w:rsid w:val="00FC1417"/>
    <w:rsid w:val="00FC2D79"/>
    <w:rsid w:val="00FC387C"/>
    <w:rsid w:val="00FC4994"/>
    <w:rsid w:val="00FC4995"/>
    <w:rsid w:val="00FC4BC7"/>
    <w:rsid w:val="00FC5638"/>
    <w:rsid w:val="00FC65CA"/>
    <w:rsid w:val="00FC6B8C"/>
    <w:rsid w:val="00FC75FE"/>
    <w:rsid w:val="00FC7BCA"/>
    <w:rsid w:val="00FD0469"/>
    <w:rsid w:val="00FD100B"/>
    <w:rsid w:val="00FD1D56"/>
    <w:rsid w:val="00FD2938"/>
    <w:rsid w:val="00FD2CE2"/>
    <w:rsid w:val="00FD3BEC"/>
    <w:rsid w:val="00FD4334"/>
    <w:rsid w:val="00FD44F8"/>
    <w:rsid w:val="00FD4883"/>
    <w:rsid w:val="00FD4E36"/>
    <w:rsid w:val="00FD526A"/>
    <w:rsid w:val="00FD54A3"/>
    <w:rsid w:val="00FD5DB6"/>
    <w:rsid w:val="00FD66AF"/>
    <w:rsid w:val="00FD738E"/>
    <w:rsid w:val="00FD7B91"/>
    <w:rsid w:val="00FE0044"/>
    <w:rsid w:val="00FE0353"/>
    <w:rsid w:val="00FE082F"/>
    <w:rsid w:val="00FE0BA0"/>
    <w:rsid w:val="00FE1451"/>
    <w:rsid w:val="00FE149F"/>
    <w:rsid w:val="00FE1BDF"/>
    <w:rsid w:val="00FE2564"/>
    <w:rsid w:val="00FE2758"/>
    <w:rsid w:val="00FE27F7"/>
    <w:rsid w:val="00FE30D7"/>
    <w:rsid w:val="00FE388E"/>
    <w:rsid w:val="00FE4733"/>
    <w:rsid w:val="00FE483A"/>
    <w:rsid w:val="00FE4BFC"/>
    <w:rsid w:val="00FE4C9C"/>
    <w:rsid w:val="00FE61AB"/>
    <w:rsid w:val="00FF0CCC"/>
    <w:rsid w:val="00FF1036"/>
    <w:rsid w:val="00FF19C4"/>
    <w:rsid w:val="00FF1FF1"/>
    <w:rsid w:val="00FF2A1E"/>
    <w:rsid w:val="00FF2F49"/>
    <w:rsid w:val="00FF2F51"/>
    <w:rsid w:val="00FF3683"/>
    <w:rsid w:val="00FF4A31"/>
    <w:rsid w:val="00FF4F3C"/>
    <w:rsid w:val="00FF55C4"/>
    <w:rsid w:val="00FF617C"/>
    <w:rsid w:val="00FF6CB0"/>
    <w:rsid w:val="00FF6DC6"/>
    <w:rsid w:val="00FF7B21"/>
    <w:rsid w:val="00FF7D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E7166"/>
  <w15:docId w15:val="{D235A9C7-1DDA-47D2-A7AC-F9E8653D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
    <w:basedOn w:val="Normal"/>
    <w:next w:val="Normal"/>
    <w:link w:val="Ttulo2Char"/>
    <w:uiPriority w:val="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aliases w:val="Nota de rodapé"/>
    <w:basedOn w:val="Normal"/>
    <w:next w:val="FootnoteTextcont"/>
    <w:link w:val="TextodenotaderodapChar"/>
    <w:rsid w:val="00097071"/>
    <w:pPr>
      <w:keepLines/>
      <w:tabs>
        <w:tab w:val="left" w:pos="227"/>
      </w:tabs>
      <w:ind w:left="227" w:hanging="227"/>
      <w:jc w:val="both"/>
    </w:pPr>
    <w:rPr>
      <w:sz w:val="16"/>
      <w:szCs w:val="20"/>
    </w:rPr>
  </w:style>
  <w:style w:type="paragraph" w:styleId="Cabealho">
    <w:name w:val="header"/>
    <w:aliases w:val="Guideline,Heade,hd,Header@,Project Name"/>
    <w:basedOn w:val="Normal"/>
    <w:link w:val="Cabealho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elacomgrade">
    <w:name w:val="Table Grid"/>
    <w:basedOn w:val="Tabelanormal"/>
    <w:uiPriority w:val="59"/>
    <w:rsid w:val="00A7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4">
    <w:name w:val="Light List Accent 4"/>
    <w:basedOn w:val="Tabelanormal"/>
    <w:rsid w:val="005E563E"/>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CE46EA"/>
    <w:rPr>
      <w:rFonts w:ascii="Tahoma" w:hAnsi="Tahoma" w:cs="Tahoma"/>
      <w:sz w:val="16"/>
      <w:szCs w:val="16"/>
    </w:rPr>
  </w:style>
  <w:style w:type="character" w:customStyle="1" w:styleId="TextodebaloChar">
    <w:name w:val="Texto de balão Char"/>
    <w:basedOn w:val="Fontepargpadro"/>
    <w:link w:val="Textodebalo"/>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o">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PargrafodaLista">
    <w:name w:val="List Paragraph"/>
    <w:basedOn w:val="Normal"/>
    <w:qFormat/>
    <w:rsid w:val="00330C65"/>
    <w:pPr>
      <w:ind w:left="720"/>
      <w:contextualSpacing/>
    </w:pPr>
  </w:style>
  <w:style w:type="character" w:customStyle="1" w:styleId="CabealhoChar">
    <w:name w:val="Cabeçalho Char"/>
    <w:aliases w:val="Guideline Char,Heade Char,hd Char,Header@ Char,Project Name Char"/>
    <w:link w:val="Cabealho"/>
    <w:rsid w:val="00EA693E"/>
    <w:rPr>
      <w:rFonts w:ascii="Arial" w:hAnsi="Arial"/>
      <w:kern w:val="20"/>
      <w:szCs w:val="24"/>
      <w:lang w:val="pt-BR"/>
    </w:rPr>
  </w:style>
  <w:style w:type="character" w:customStyle="1" w:styleId="TextodenotaderodapChar">
    <w:name w:val="Texto de nota de rodapé Char"/>
    <w:aliases w:val="Nota de rodapé Char"/>
    <w:link w:val="Textodenotaderodap"/>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Ttulo2Char">
    <w:name w:val="Título 2 Char"/>
    <w:aliases w:val="N2 Normal HOME BR Char"/>
    <w:link w:val="Ttulo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elanormal"/>
    <w:next w:val="Tabelacomgrade"/>
    <w:uiPriority w:val="59"/>
    <w:rsid w:val="009A49D9"/>
    <w:rPr>
      <w:rFonts w:ascii="Calibri" w:hAnsi="Calibri"/>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F63358"/>
    <w:rPr>
      <w:sz w:val="16"/>
      <w:szCs w:val="16"/>
    </w:rPr>
  </w:style>
  <w:style w:type="character" w:customStyle="1" w:styleId="TextodecomentrioChar">
    <w:name w:val="Texto de comentário Char"/>
    <w:link w:val="Textodecomentrio"/>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styleId="MenoPendente">
    <w:name w:val="Unresolved Mention"/>
    <w:basedOn w:val="Fontepargpadro"/>
    <w:uiPriority w:val="99"/>
    <w:semiHidden/>
    <w:unhideWhenUsed/>
    <w:rsid w:val="009E2FA7"/>
    <w:rPr>
      <w:color w:val="605E5C"/>
      <w:shd w:val="clear" w:color="auto" w:fill="E1DFDD"/>
    </w:rPr>
  </w:style>
  <w:style w:type="paragraph" w:styleId="Assuntodocomentrio">
    <w:name w:val="annotation subject"/>
    <w:basedOn w:val="Textodecomentrio"/>
    <w:next w:val="Textodecomentrio"/>
    <w:link w:val="AssuntodocomentrioChar"/>
    <w:semiHidden/>
    <w:unhideWhenUsed/>
    <w:rsid w:val="00475BD7"/>
    <w:rPr>
      <w:b/>
      <w:bCs/>
    </w:rPr>
  </w:style>
  <w:style w:type="character" w:customStyle="1" w:styleId="AssuntodocomentrioChar">
    <w:name w:val="Assunto do comentário Char"/>
    <w:basedOn w:val="TextodecomentrioChar"/>
    <w:link w:val="Assuntodocomentrio"/>
    <w:semiHidden/>
    <w:rsid w:val="00475BD7"/>
    <w:rPr>
      <w:rFonts w:ascii="Arial" w:hAnsi="Arial"/>
      <w:b/>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2709">
      <w:bodyDiv w:val="1"/>
      <w:marLeft w:val="0"/>
      <w:marRight w:val="0"/>
      <w:marTop w:val="0"/>
      <w:marBottom w:val="0"/>
      <w:divBdr>
        <w:top w:val="none" w:sz="0" w:space="0" w:color="auto"/>
        <w:left w:val="none" w:sz="0" w:space="0" w:color="auto"/>
        <w:bottom w:val="none" w:sz="0" w:space="0" w:color="auto"/>
        <w:right w:val="none" w:sz="0" w:space="0" w:color="auto"/>
      </w:divBdr>
    </w:div>
    <w:div w:id="163740891">
      <w:bodyDiv w:val="1"/>
      <w:marLeft w:val="0"/>
      <w:marRight w:val="0"/>
      <w:marTop w:val="0"/>
      <w:marBottom w:val="0"/>
      <w:divBdr>
        <w:top w:val="none" w:sz="0" w:space="0" w:color="auto"/>
        <w:left w:val="none" w:sz="0" w:space="0" w:color="auto"/>
        <w:bottom w:val="none" w:sz="0" w:space="0" w:color="auto"/>
        <w:right w:val="none" w:sz="0" w:space="0" w:color="auto"/>
      </w:divBdr>
    </w:div>
    <w:div w:id="178860341">
      <w:bodyDiv w:val="1"/>
      <w:marLeft w:val="0"/>
      <w:marRight w:val="0"/>
      <w:marTop w:val="0"/>
      <w:marBottom w:val="0"/>
      <w:divBdr>
        <w:top w:val="none" w:sz="0" w:space="0" w:color="auto"/>
        <w:left w:val="none" w:sz="0" w:space="0" w:color="auto"/>
        <w:bottom w:val="none" w:sz="0" w:space="0" w:color="auto"/>
        <w:right w:val="none" w:sz="0" w:space="0" w:color="auto"/>
      </w:divBdr>
    </w:div>
    <w:div w:id="208344970">
      <w:bodyDiv w:val="1"/>
      <w:marLeft w:val="0"/>
      <w:marRight w:val="0"/>
      <w:marTop w:val="0"/>
      <w:marBottom w:val="0"/>
      <w:divBdr>
        <w:top w:val="none" w:sz="0" w:space="0" w:color="auto"/>
        <w:left w:val="none" w:sz="0" w:space="0" w:color="auto"/>
        <w:bottom w:val="none" w:sz="0" w:space="0" w:color="auto"/>
        <w:right w:val="none" w:sz="0" w:space="0" w:color="auto"/>
      </w:divBdr>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92774825">
      <w:bodyDiv w:val="1"/>
      <w:marLeft w:val="0"/>
      <w:marRight w:val="0"/>
      <w:marTop w:val="0"/>
      <w:marBottom w:val="0"/>
      <w:divBdr>
        <w:top w:val="none" w:sz="0" w:space="0" w:color="auto"/>
        <w:left w:val="none" w:sz="0" w:space="0" w:color="auto"/>
        <w:bottom w:val="none" w:sz="0" w:space="0" w:color="auto"/>
        <w:right w:val="none" w:sz="0" w:space="0" w:color="auto"/>
      </w:divBdr>
    </w:div>
    <w:div w:id="407845550">
      <w:bodyDiv w:val="1"/>
      <w:marLeft w:val="0"/>
      <w:marRight w:val="0"/>
      <w:marTop w:val="0"/>
      <w:marBottom w:val="0"/>
      <w:divBdr>
        <w:top w:val="none" w:sz="0" w:space="0" w:color="auto"/>
        <w:left w:val="none" w:sz="0" w:space="0" w:color="auto"/>
        <w:bottom w:val="none" w:sz="0" w:space="0" w:color="auto"/>
        <w:right w:val="none" w:sz="0" w:space="0" w:color="auto"/>
      </w:divBdr>
    </w:div>
    <w:div w:id="461314786">
      <w:bodyDiv w:val="1"/>
      <w:marLeft w:val="0"/>
      <w:marRight w:val="0"/>
      <w:marTop w:val="0"/>
      <w:marBottom w:val="0"/>
      <w:divBdr>
        <w:top w:val="none" w:sz="0" w:space="0" w:color="auto"/>
        <w:left w:val="none" w:sz="0" w:space="0" w:color="auto"/>
        <w:bottom w:val="none" w:sz="0" w:space="0" w:color="auto"/>
        <w:right w:val="none" w:sz="0" w:space="0" w:color="auto"/>
      </w:divBdr>
    </w:div>
    <w:div w:id="769281172">
      <w:bodyDiv w:val="1"/>
      <w:marLeft w:val="0"/>
      <w:marRight w:val="0"/>
      <w:marTop w:val="0"/>
      <w:marBottom w:val="0"/>
      <w:divBdr>
        <w:top w:val="none" w:sz="0" w:space="0" w:color="auto"/>
        <w:left w:val="none" w:sz="0" w:space="0" w:color="auto"/>
        <w:bottom w:val="none" w:sz="0" w:space="0" w:color="auto"/>
        <w:right w:val="none" w:sz="0" w:space="0" w:color="auto"/>
      </w:divBdr>
    </w:div>
    <w:div w:id="907419779">
      <w:bodyDiv w:val="1"/>
      <w:marLeft w:val="0"/>
      <w:marRight w:val="0"/>
      <w:marTop w:val="0"/>
      <w:marBottom w:val="0"/>
      <w:divBdr>
        <w:top w:val="none" w:sz="0" w:space="0" w:color="auto"/>
        <w:left w:val="none" w:sz="0" w:space="0" w:color="auto"/>
        <w:bottom w:val="none" w:sz="0" w:space="0" w:color="auto"/>
        <w:right w:val="none" w:sz="0" w:space="0" w:color="auto"/>
      </w:divBdr>
    </w:div>
    <w:div w:id="968584241">
      <w:bodyDiv w:val="1"/>
      <w:marLeft w:val="0"/>
      <w:marRight w:val="0"/>
      <w:marTop w:val="0"/>
      <w:marBottom w:val="0"/>
      <w:divBdr>
        <w:top w:val="none" w:sz="0" w:space="0" w:color="auto"/>
        <w:left w:val="none" w:sz="0" w:space="0" w:color="auto"/>
        <w:bottom w:val="none" w:sz="0" w:space="0" w:color="auto"/>
        <w:right w:val="none" w:sz="0" w:space="0" w:color="auto"/>
      </w:divBdr>
    </w:div>
    <w:div w:id="1226647853">
      <w:bodyDiv w:val="1"/>
      <w:marLeft w:val="0"/>
      <w:marRight w:val="0"/>
      <w:marTop w:val="0"/>
      <w:marBottom w:val="0"/>
      <w:divBdr>
        <w:top w:val="none" w:sz="0" w:space="0" w:color="auto"/>
        <w:left w:val="none" w:sz="0" w:space="0" w:color="auto"/>
        <w:bottom w:val="none" w:sz="0" w:space="0" w:color="auto"/>
        <w:right w:val="none" w:sz="0" w:space="0" w:color="auto"/>
      </w:divBdr>
    </w:div>
    <w:div w:id="1254048263">
      <w:bodyDiv w:val="1"/>
      <w:marLeft w:val="0"/>
      <w:marRight w:val="0"/>
      <w:marTop w:val="0"/>
      <w:marBottom w:val="0"/>
      <w:divBdr>
        <w:top w:val="none" w:sz="0" w:space="0" w:color="auto"/>
        <w:left w:val="none" w:sz="0" w:space="0" w:color="auto"/>
        <w:bottom w:val="none" w:sz="0" w:space="0" w:color="auto"/>
        <w:right w:val="none" w:sz="0" w:space="0" w:color="auto"/>
      </w:divBdr>
    </w:div>
    <w:div w:id="1284119298">
      <w:bodyDiv w:val="1"/>
      <w:marLeft w:val="0"/>
      <w:marRight w:val="0"/>
      <w:marTop w:val="0"/>
      <w:marBottom w:val="0"/>
      <w:divBdr>
        <w:top w:val="none" w:sz="0" w:space="0" w:color="auto"/>
        <w:left w:val="none" w:sz="0" w:space="0" w:color="auto"/>
        <w:bottom w:val="none" w:sz="0" w:space="0" w:color="auto"/>
        <w:right w:val="none" w:sz="0" w:space="0" w:color="auto"/>
      </w:divBdr>
    </w:div>
    <w:div w:id="1314602574">
      <w:bodyDiv w:val="1"/>
      <w:marLeft w:val="0"/>
      <w:marRight w:val="0"/>
      <w:marTop w:val="0"/>
      <w:marBottom w:val="0"/>
      <w:divBdr>
        <w:top w:val="none" w:sz="0" w:space="0" w:color="auto"/>
        <w:left w:val="none" w:sz="0" w:space="0" w:color="auto"/>
        <w:bottom w:val="none" w:sz="0" w:space="0" w:color="auto"/>
        <w:right w:val="none" w:sz="0" w:space="0" w:color="auto"/>
      </w:divBdr>
    </w:div>
    <w:div w:id="1384867933">
      <w:bodyDiv w:val="1"/>
      <w:marLeft w:val="0"/>
      <w:marRight w:val="0"/>
      <w:marTop w:val="0"/>
      <w:marBottom w:val="0"/>
      <w:divBdr>
        <w:top w:val="none" w:sz="0" w:space="0" w:color="auto"/>
        <w:left w:val="none" w:sz="0" w:space="0" w:color="auto"/>
        <w:bottom w:val="none" w:sz="0" w:space="0" w:color="auto"/>
        <w:right w:val="none" w:sz="0" w:space="0" w:color="auto"/>
      </w:divBdr>
    </w:div>
    <w:div w:id="1409111696">
      <w:bodyDiv w:val="1"/>
      <w:marLeft w:val="0"/>
      <w:marRight w:val="0"/>
      <w:marTop w:val="0"/>
      <w:marBottom w:val="0"/>
      <w:divBdr>
        <w:top w:val="none" w:sz="0" w:space="0" w:color="auto"/>
        <w:left w:val="none" w:sz="0" w:space="0" w:color="auto"/>
        <w:bottom w:val="none" w:sz="0" w:space="0" w:color="auto"/>
        <w:right w:val="none" w:sz="0" w:space="0" w:color="auto"/>
      </w:divBdr>
    </w:div>
    <w:div w:id="1440174048">
      <w:bodyDiv w:val="1"/>
      <w:marLeft w:val="0"/>
      <w:marRight w:val="0"/>
      <w:marTop w:val="0"/>
      <w:marBottom w:val="0"/>
      <w:divBdr>
        <w:top w:val="none" w:sz="0" w:space="0" w:color="auto"/>
        <w:left w:val="none" w:sz="0" w:space="0" w:color="auto"/>
        <w:bottom w:val="none" w:sz="0" w:space="0" w:color="auto"/>
        <w:right w:val="none" w:sz="0" w:space="0" w:color="auto"/>
      </w:divBdr>
    </w:div>
    <w:div w:id="1460300254">
      <w:bodyDiv w:val="1"/>
      <w:marLeft w:val="0"/>
      <w:marRight w:val="0"/>
      <w:marTop w:val="0"/>
      <w:marBottom w:val="0"/>
      <w:divBdr>
        <w:top w:val="none" w:sz="0" w:space="0" w:color="auto"/>
        <w:left w:val="none" w:sz="0" w:space="0" w:color="auto"/>
        <w:bottom w:val="none" w:sz="0" w:space="0" w:color="auto"/>
        <w:right w:val="none" w:sz="0" w:space="0" w:color="auto"/>
      </w:divBdr>
    </w:div>
    <w:div w:id="1485512074">
      <w:bodyDiv w:val="1"/>
      <w:marLeft w:val="0"/>
      <w:marRight w:val="0"/>
      <w:marTop w:val="0"/>
      <w:marBottom w:val="0"/>
      <w:divBdr>
        <w:top w:val="none" w:sz="0" w:space="0" w:color="auto"/>
        <w:left w:val="none" w:sz="0" w:space="0" w:color="auto"/>
        <w:bottom w:val="none" w:sz="0" w:space="0" w:color="auto"/>
        <w:right w:val="none" w:sz="0" w:space="0" w:color="auto"/>
      </w:divBdr>
      <w:divsChild>
        <w:div w:id="1931506094">
          <w:marLeft w:val="360"/>
          <w:marRight w:val="0"/>
          <w:marTop w:val="120"/>
          <w:marBottom w:val="0"/>
          <w:divBdr>
            <w:top w:val="none" w:sz="0" w:space="0" w:color="auto"/>
            <w:left w:val="none" w:sz="0" w:space="0" w:color="auto"/>
            <w:bottom w:val="none" w:sz="0" w:space="0" w:color="auto"/>
            <w:right w:val="none" w:sz="0" w:space="0" w:color="auto"/>
          </w:divBdr>
        </w:div>
      </w:divsChild>
    </w:div>
    <w:div w:id="1574043871">
      <w:bodyDiv w:val="1"/>
      <w:marLeft w:val="0"/>
      <w:marRight w:val="0"/>
      <w:marTop w:val="0"/>
      <w:marBottom w:val="0"/>
      <w:divBdr>
        <w:top w:val="none" w:sz="0" w:space="0" w:color="auto"/>
        <w:left w:val="none" w:sz="0" w:space="0" w:color="auto"/>
        <w:bottom w:val="none" w:sz="0" w:space="0" w:color="auto"/>
        <w:right w:val="none" w:sz="0" w:space="0" w:color="auto"/>
      </w:divBdr>
    </w:div>
    <w:div w:id="1613898062">
      <w:bodyDiv w:val="1"/>
      <w:marLeft w:val="0"/>
      <w:marRight w:val="0"/>
      <w:marTop w:val="0"/>
      <w:marBottom w:val="0"/>
      <w:divBdr>
        <w:top w:val="none" w:sz="0" w:space="0" w:color="auto"/>
        <w:left w:val="none" w:sz="0" w:space="0" w:color="auto"/>
        <w:bottom w:val="none" w:sz="0" w:space="0" w:color="auto"/>
        <w:right w:val="none" w:sz="0" w:space="0" w:color="auto"/>
      </w:divBdr>
    </w:div>
    <w:div w:id="1904292099">
      <w:bodyDiv w:val="1"/>
      <w:marLeft w:val="0"/>
      <w:marRight w:val="0"/>
      <w:marTop w:val="0"/>
      <w:marBottom w:val="0"/>
      <w:divBdr>
        <w:top w:val="none" w:sz="0" w:space="0" w:color="auto"/>
        <w:left w:val="none" w:sz="0" w:space="0" w:color="auto"/>
        <w:bottom w:val="none" w:sz="0" w:space="0" w:color="auto"/>
        <w:right w:val="none" w:sz="0" w:space="0" w:color="auto"/>
      </w:divBdr>
    </w:div>
    <w:div w:id="2011326269">
      <w:bodyDiv w:val="1"/>
      <w:marLeft w:val="0"/>
      <w:marRight w:val="0"/>
      <w:marTop w:val="0"/>
      <w:marBottom w:val="0"/>
      <w:divBdr>
        <w:top w:val="none" w:sz="0" w:space="0" w:color="auto"/>
        <w:left w:val="none" w:sz="0" w:space="0" w:color="auto"/>
        <w:bottom w:val="none" w:sz="0" w:space="0" w:color="auto"/>
        <w:right w:val="none" w:sz="0" w:space="0" w:color="auto"/>
      </w:divBdr>
    </w:div>
    <w:div w:id="2095667412">
      <w:bodyDiv w:val="1"/>
      <w:marLeft w:val="0"/>
      <w:marRight w:val="0"/>
      <w:marTop w:val="0"/>
      <w:marBottom w:val="0"/>
      <w:divBdr>
        <w:top w:val="none" w:sz="0" w:space="0" w:color="auto"/>
        <w:left w:val="none" w:sz="0" w:space="0" w:color="auto"/>
        <w:bottom w:val="none" w:sz="0" w:space="0" w:color="auto"/>
        <w:right w:val="none" w:sz="0" w:space="0" w:color="auto"/>
      </w:divBdr>
    </w:div>
    <w:div w:id="21009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LDOC-3-308115</_dlc_DocId>
    <_dlc_DocIdUrl xmlns="e63af235-6539-4873-9a74-7e32b5cc1aee">
      <Url>http://sharepoint/_layouts/15/DocIdRedir.aspx?ID=LDOC-3-308115</Url>
      <Description>LDOC-3-308115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LDOC-3-308115/3.0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LDOC-3-308115/3.0</DLCPolicyLabelValue>
    <IDUnico xmlns="e63af235-6539-4873-9a74-7e32b5cc1aee">LDOC-3-308115</IDUnico>
    <VersaoDocumento xmlns="e63af235-6539-4873-9a74-7e32b5cc1aee">3.0</VersaoDocumento>
  </documentManagement>
</p:properties>
</file>

<file path=customXml/item7.xml>��< ? x m l   v e r s i o n = " 1 . 0 "   e n c o d i n g = " u t f - 1 6 " ? > < p r o p e r t i e s   x m l n s = " h t t p : / / w w w . i m a n a g e . c o m / w o r k / x m l s c h e m a " >  
     < d o c u m e n t i d > L E F O S S E ! 6 9 6 8 4 2 . 9 < / d o c u m e n t i d >  
     < s e n d e r i d > C P E N I T E N < / s e n d e r i d >  
     < s e n d e r e m a i l > C A I O . P E N I T E N T E @ L E F O S S E . C O M < / s e n d e r e m a i l >  
     < l a s t m o d i f i e d > 2 0 1 9 - 0 8 - 2 7 T 1 5 : 3 3 : 0 0 . 0 0 0 0 0 0 0 - 0 3 : 0 0 < / l a s t m o d i f i e d >  
     < d a t a b a s e > L E F O S S E < / d a t a b a s e >  
 < / p r o p e r t i e s > 
</file>

<file path=customXml/itemProps1.xml><?xml version="1.0" encoding="utf-8"?>
<ds:datastoreItem xmlns:ds="http://schemas.openxmlformats.org/officeDocument/2006/customXml" ds:itemID="{3B18FAB6-6470-4874-A7CC-777B27D2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35018-7109-456B-92B8-092E8A9BFA41}">
  <ds:schemaRefs>
    <ds:schemaRef ds:uri="http://schemas.microsoft.com/sharepoint/v3/contenttype/forms"/>
  </ds:schemaRefs>
</ds:datastoreItem>
</file>

<file path=customXml/itemProps3.xml><?xml version="1.0" encoding="utf-8"?>
<ds:datastoreItem xmlns:ds="http://schemas.openxmlformats.org/officeDocument/2006/customXml" ds:itemID="{DB9D4388-036A-4AEF-B535-530955319385}">
  <ds:schemaRefs>
    <ds:schemaRef ds:uri="http://schemas.openxmlformats.org/officeDocument/2006/bibliography"/>
  </ds:schemaRefs>
</ds:datastoreItem>
</file>

<file path=customXml/itemProps4.xml><?xml version="1.0" encoding="utf-8"?>
<ds:datastoreItem xmlns:ds="http://schemas.openxmlformats.org/officeDocument/2006/customXml" ds:itemID="{58063B55-5676-4FCE-A885-3AAFBBF0F67D}">
  <ds:schemaRefs>
    <ds:schemaRef ds:uri="office.server.policy"/>
  </ds:schemaRefs>
</ds:datastoreItem>
</file>

<file path=customXml/itemProps5.xml><?xml version="1.0" encoding="utf-8"?>
<ds:datastoreItem xmlns:ds="http://schemas.openxmlformats.org/officeDocument/2006/customXml" ds:itemID="{06B781A2-36C7-46BF-B58C-29F0C79C85B7}">
  <ds:schemaRefs>
    <ds:schemaRef ds:uri="http://schemas.microsoft.com/sharepoint/events"/>
  </ds:schemaRefs>
</ds:datastoreItem>
</file>

<file path=customXml/itemProps6.xml><?xml version="1.0" encoding="utf-8"?>
<ds:datastoreItem xmlns:ds="http://schemas.openxmlformats.org/officeDocument/2006/customXml" ds:itemID="{650478CE-F8E2-45BC-AD9F-1C17B21D017E}">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5F52574D-A58F-405D-9DCB-04741BA131D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HouseStyle</Template>
  <TotalTime>7</TotalTime>
  <Pages>52</Pages>
  <Words>13397</Words>
  <Characters>72344</Characters>
  <Application>Microsoft Office Word</Application>
  <DocSecurity>0</DocSecurity>
  <Lines>602</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85570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DocumentDEMAREST_SP-#11754692-v15-Deb_400_São_Martinho_-_Aviso_ao_Mercado (PRINTER)_13.12.21 compared with DEMAREST_SP-#11754692-v17-Deb_400_São_Martinho_-_Aviso_ao_Mercado</dc:title>
  <dc:subject>
  </dc:subject>
  <dc:creator>/</dc:creator>
  <cp:keywords>
  </cp:keywords>
  <dc:description>
  </dc:description>
  <cp:lastModifiedBy>Caio Alves</cp:lastModifiedBy>
  <cp:revision>4</cp:revision>
  <cp:lastPrinted>2021-12-22T05:50:00Z</cp:lastPrinted>
  <dcterms:created xsi:type="dcterms:W3CDTF">2021-12-22T04:01:00Z</dcterms:created>
  <dcterms:modified xsi:type="dcterms:W3CDTF">2021-12-22T05:53:00Z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Portuguese (Brazil)</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09001dc88a8705f7</vt:lpwstr>
  </property>
  <property fmtid="{D5CDD505-2E9C-101B-9397-08002B2CF9AE}" pid="16" name="Document Number">
    <vt:lpwstr>A15602219</vt:lpwstr>
  </property>
  <property fmtid="{D5CDD505-2E9C-101B-9397-08002B2CF9AE}" pid="17" name="Version">
    <vt:lpwstr>0.1</vt:lpwstr>
  </property>
  <property fmtid="{D5CDD505-2E9C-101B-9397-08002B2CF9AE}" pid="18" name="Last Modified">
    <vt:lpwstr>02 out 2012</vt:lpwstr>
  </property>
  <property fmtid="{D5CDD505-2E9C-101B-9397-08002B2CF9AE}" pid="19" name="Matter Number">
    <vt:lpwstr>L-204622</vt:lpwstr>
  </property>
  <property fmtid="{D5CDD505-2E9C-101B-9397-08002B2CF9AE}" pid="20" name="Client Code">
    <vt:lpwstr>10188362</vt:lpwstr>
  </property>
  <property fmtid="{D5CDD505-2E9C-101B-9397-08002B2CF9AE}" pid="21" name="Mode">
    <vt:lpwstr>SendAs</vt:lpwstr>
  </property>
  <property fmtid="{D5CDD505-2E9C-101B-9397-08002B2CF9AE}" pid="22" name="DEDocumentLocation">
    <vt:lpwstr>H:\Documentum\__Viewed\09001dc88a8705f7\Crystal_Aviso ao Mercado_v2.docx</vt:lpwstr>
  </property>
  <property fmtid="{D5CDD505-2E9C-101B-9397-08002B2CF9AE}" pid="23" name="ContentTypeId">
    <vt:lpwstr>0x0101006EF17356CF70944FBC2751F899F610F400F0B6EB119FFDF04E826FAC6AE872118A</vt:lpwstr>
  </property>
  <property fmtid="{D5CDD505-2E9C-101B-9397-08002B2CF9AE}" pid="24" name="_dlc_DocIdItemGuid">
    <vt:lpwstr>89d4b050-afd5-41a7-a458-4932d437c0db</vt:lpwstr>
  </property>
  <property fmtid="{D5CDD505-2E9C-101B-9397-08002B2CF9AE}" pid="25" name="IDUnico">
    <vt:lpwstr>LDOC-3-268963</vt:lpwstr>
  </property>
  <property fmtid="{D5CDD505-2E9C-101B-9397-08002B2CF9AE}" pid="26" name="AutorDocumento">
    <vt:lpwstr>
    </vt:lpwstr>
  </property>
  <property fmtid="{D5CDD505-2E9C-101B-9397-08002B2CF9AE}" pid="27" name="Cliente">
    <vt:lpwstr>894;#Banco Do Brasil:BB Banco de Investimento SA|6520fef4-723d-4f1e-8866-3d331518c3da</vt:lpwstr>
  </property>
  <property fmtid="{D5CDD505-2E9C-101B-9397-08002B2CF9AE}" pid="28" name="Keywords1">
    <vt:lpwstr>
    </vt:lpwstr>
  </property>
  <property fmtid="{D5CDD505-2E9C-101B-9397-08002B2CF9AE}" pid="29" name="VersaoDocumento">
    <vt:lpwstr>5.0</vt:lpwstr>
  </property>
  <property fmtid="{D5CDD505-2E9C-101B-9397-08002B2CF9AE}" pid="30" name="iManageCod">
    <vt:lpwstr>Lefosse - 696842v9</vt:lpwstr>
  </property>
  <property fmtid="{D5CDD505-2E9C-101B-9397-08002B2CF9AE}" pid="31" name="/bp_dc_modversion">
    <vt:lpwstr>V//O/7DP1WR11/S1 D0/D_7S!70ET5M*05MS4/*711AE62*13R9:</vt:lpwstr>
  </property>
  <property fmtid="{D5CDD505-2E9C-101B-9397-08002B2CF9AE}" pid="32" name="/bp_dc_orgversion">
    <vt:lpwstr>CdcommP5Ms(2:aioaCropueS-1-_aio P1.:\noLlspcacn_#vDorv_oR.2*Uo\\\c\ rotT1-eãtAadI31*sbAaTopseDDS12bSi_oaN1.*egpteDdcD\EE79__n-_cT_d!r\pam\foosMR5640h_MrE)oxsDpDcA40oeRc</vt:lpwstr>
  </property>
  <property fmtid="{D5CDD505-2E9C-101B-9397-08002B2CF9AE}" pid="33" name="bp_dc_comparedocs">
    <vt:lpwstr>5.0.200.14 _tc</vt:lpwstr>
  </property>
  <property fmtid="{D5CDD505-2E9C-101B-9397-08002B2CF9AE}" pid="34" name="/bp_dc_filepath">
    <vt:lpwstr>Cdcomu--aoo:aioaCropptP#7DMrs_dc\noLlspcat\S11e_tia.xUo\\\c\ ruD_1vboivoosbAaTopseOET7-_ãnA_degpteDdcD\MS524Sh_Mar\pam\foosAE490_o-ecsDpDcR60_r</vt:lpwstr>
  </property>
</Properties>
</file>